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1-AMALIY MASHG‘ULOT. TILSHUNOSLIKDA ANTROPOSENTRIZMNING SHAKLLANISHI (1-qism): ILMIY PARADIGMALAR VA V. FON GUMBOLDT TA’LIMOTI</w:t>
      </w:r>
    </w:p>
    <w:p>
      <w:pPr>
        <w:spacing w:after="160"/>
        <w:jc w:val="both"/>
      </w:pPr>
      <w:r>
        <w:rPr>
          <w:b/>
          <w:bCs/>
        </w:rPr>
        <w:t xml:space="preserve">Mashg‘ulot maqsadi: </w:t>
      </w:r>
      <w:r>
        <w:rPr>
          <w:i/>
          <w:iCs/>
        </w:rPr>
        <w:t xml:space="preserve">Talabalarda tilshunoslik ilmiy paradigmalarining almashinuvi, ularning tadqiqot ob’ekti va metodlari haqidagi bilimlarni mustahkamlash; V. fon Gumboldt g‘oyalarini o‘zbek tili materialida izohlash ko‘nikmasini shakllantirish.</w:t>
      </w:r>
    </w:p>
    <w:p>
      <w:pPr>
        <w:pStyle w:val="Heading2"/>
      </w:pPr>
      <w:r>
        <w:t xml:space="preserve">I. Amaliy topshiriqlar</w:t>
      </w:r>
    </w:p>
    <w:p>
      <w:pPr>
        <w:keepNext/>
        <w:spacing w:after="80" w:before="200"/>
        <w:jc w:val="both"/>
      </w:pPr>
      <w:r>
        <w:rPr>
          <w:b/>
          <w:bCs/>
        </w:rPr>
        <w:t xml:space="preserve">1-topshiriq. Tilshunoslik paradigmalarini qiyoslovchi jadvalni to‘ldiring.</w:t>
      </w:r>
    </w:p>
    <w:p>
      <w:pPr>
        <w:spacing w:after="80"/>
        <w:ind w:firstLine="709"/>
        <w:jc w:val="both"/>
      </w:pPr>
      <w:r>
        <w:t xml:space="preserve">Jadvalda har bir paradigma uchun davr, asosiy namoyandalar, tadqiqot ob’ekti, yetakchi metod va paradigma javob izlaydigan asosiy savolni ko‘rsating. Birinchi qator namuna sifatida to‘ldirilgan.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559"/>
        <w:gridCol w:w="1559"/>
        <w:gridCol w:w="1559"/>
        <w:gridCol w:w="1559"/>
        <w:gridCol w:w="1559"/>
        <w:gridCol w:w="1560"/>
      </w:tblGrid>
      <w:tr>
        <w:trPr>
          <w:tblHeader/>
        </w:trPr>
        <w:tc>
          <w:tcPr>
            <w:tcW w:type="dxa" w:w="155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Paradigma</w:t>
            </w:r>
          </w:p>
        </w:tc>
        <w:tc>
          <w:tcPr>
            <w:tcW w:type="dxa" w:w="155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Davr</w:t>
            </w:r>
          </w:p>
        </w:tc>
        <w:tc>
          <w:tcPr>
            <w:tcW w:type="dxa" w:w="155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Namoyandalar</w:t>
            </w:r>
          </w:p>
        </w:tc>
        <w:tc>
          <w:tcPr>
            <w:tcW w:type="dxa" w:w="155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Tadqiqot ob’ekti</w:t>
            </w:r>
          </w:p>
        </w:tc>
        <w:tc>
          <w:tcPr>
            <w:tcW w:type="dxa" w:w="1559"/>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Yetakchi metod</w:t>
            </w:r>
          </w:p>
        </w:tc>
        <w:tc>
          <w:tcPr>
            <w:tcW w:type="dxa" w:w="15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Asosiy savol</w:t>
            </w:r>
          </w:p>
        </w:tc>
      </w:tr>
      <w:tr>
        <w:trPr>
          <w:tblHeader w:val="false"/>
        </w:trPr>
        <w:tc>
          <w:tcPr>
            <w:tcW w:type="dxa" w:w="155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Qiyosiy-tarixiy</w:t>
            </w:r>
          </w:p>
        </w:tc>
        <w:tc>
          <w:tcPr>
            <w:tcW w:type="dxa" w:w="155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XIX asr</w:t>
            </w:r>
          </w:p>
        </w:tc>
        <w:tc>
          <w:tcPr>
            <w:tcW w:type="dxa" w:w="155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F. Bopp, R. Rask, Ya. Grimm, A. Shleyxer</w:t>
            </w:r>
          </w:p>
        </w:tc>
        <w:tc>
          <w:tcPr>
            <w:tcW w:type="dxa" w:w="155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Qarindosh tillar, ularning tarixi</w:t>
            </w:r>
          </w:p>
        </w:tc>
        <w:tc>
          <w:tcPr>
            <w:tcW w:type="dxa" w:w="155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Qiyosiy-tarixiy metod, bobotilni tiklash</w:t>
            </w:r>
          </w:p>
        </w:tc>
        <w:tc>
          <w:tcPr>
            <w:tcW w:type="dxa" w:w="156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Til qanday paydo bo‘lgan va qanday o‘zgargan?</w:t>
            </w:r>
          </w:p>
        </w:tc>
      </w:tr>
      <w:tr>
        <w:trPr>
          <w:tblHeader w:val="false"/>
        </w:trPr>
        <w:tc>
          <w:tcPr>
            <w:tcW w:type="dxa" w:w="155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Sistem-struktur</w:t>
            </w:r>
          </w:p>
        </w:tc>
        <w:tc>
          <w:tcPr>
            <w:tcW w:type="dxa" w:w="155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155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155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155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156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155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Antroposentrik</w:t>
            </w:r>
          </w:p>
        </w:tc>
        <w:tc>
          <w:tcPr>
            <w:tcW w:type="dxa" w:w="155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155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155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155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156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bl>
    <w:p>
      <w:pPr>
        <w:spacing w:after="60"/>
      </w:pPr>
    </w:p>
    <w:p>
      <w:pPr>
        <w:keepNext/>
        <w:spacing w:after="80" w:before="200"/>
        <w:jc w:val="both"/>
      </w:pPr>
      <w:r>
        <w:rPr>
          <w:b/>
          <w:bCs/>
        </w:rPr>
        <w:t xml:space="preserve">2-topshiriq. Iqtiboslar qaysi paradigmaga mansubligini aniqlang va javobingizni asoslang.</w:t>
      </w:r>
    </w:p>
    <w:p>
      <w:pPr>
        <w:pStyle w:val="ListParagraph"/>
        <w:numPr>
          <w:ilvl w:val="0"/>
          <w:numId w:val="2"/>
        </w:numPr>
        <w:spacing w:after="40"/>
        <w:jc w:val="both"/>
      </w:pPr>
      <w:r>
        <w:t xml:space="preserve">«Tilning yagona va haqiqiy ob’ekti – o‘z-o‘zida va o‘zi uchun olingan tildir.»</w:t>
      </w:r>
    </w:p>
    <w:p>
      <w:pPr>
        <w:pStyle w:val="ListParagraph"/>
        <w:numPr>
          <w:ilvl w:val="0"/>
          <w:numId w:val="2"/>
        </w:numPr>
        <w:spacing w:after="40"/>
        <w:jc w:val="both"/>
      </w:pPr>
      <w:r>
        <w:t xml:space="preserve">«Til – tayyor mahsulot (ergon) emas, balki faoliyat (energeia)dir.»</w:t>
      </w:r>
    </w:p>
    <w:p>
      <w:pPr>
        <w:pStyle w:val="ListParagraph"/>
        <w:numPr>
          <w:ilvl w:val="0"/>
          <w:numId w:val="2"/>
        </w:numPr>
        <w:spacing w:after="40"/>
        <w:jc w:val="both"/>
      </w:pPr>
      <w:r>
        <w:t xml:space="preserve">«Tillar tabiiy organizmlar kabi tug‘iladi, o‘sadi, qariydi va o‘ladi.»</w:t>
      </w:r>
    </w:p>
    <w:p>
      <w:pPr>
        <w:pStyle w:val="ListParagraph"/>
        <w:numPr>
          <w:ilvl w:val="0"/>
          <w:numId w:val="2"/>
        </w:numPr>
        <w:spacing w:after="40"/>
        <w:jc w:val="both"/>
      </w:pPr>
      <w:r>
        <w:t xml:space="preserve">«Tilda inson va insonda til munosabatini o‘rganish lozim.»</w:t>
      </w:r>
    </w:p>
    <w:p>
      <w:pPr>
        <w:pStyle w:val="ListParagraph"/>
        <w:numPr>
          <w:ilvl w:val="0"/>
          <w:numId w:val="2"/>
        </w:numPr>
        <w:spacing w:after="40"/>
        <w:jc w:val="both"/>
      </w:pPr>
      <w:r>
        <w:t xml:space="preserve">«Til shaxsi – nutqiy asarlar yaratish va idrok etish qobiliyatiga ega inson.»</w:t>
      </w:r>
    </w:p>
    <w:p>
      <w:pPr>
        <w:pStyle w:val="ListParagraph"/>
        <w:numPr>
          <w:ilvl w:val="0"/>
          <w:numId w:val="2"/>
        </w:numPr>
        <w:spacing w:after="40"/>
        <w:jc w:val="both"/>
      </w:pPr>
      <w:r>
        <w:t xml:space="preserve">«German tillaridagi jarangsiz portlovchi undoshlar hind-yevropa bobotilidagi jarangli undoshlarga muvofiq keladi.»</w:t>
      </w:r>
    </w:p>
    <w:p>
      <w:pPr>
        <w:pBdr>
          <w:left w:val="single" w:color="2E75B6" w:sz="12" w:space="6"/>
        </w:pBdr>
        <w:shd w:fill="F2F2F2" w:color="auto" w:val="clear"/>
        <w:spacing w:after="40"/>
        <w:ind w:left="284"/>
        <w:jc w:val="both"/>
      </w:pPr>
      <w:r>
        <w:rPr>
          <w:b/>
          <w:bCs/>
        </w:rPr>
        <w:t xml:space="preserve">Namuna:</w:t>
      </w:r>
      <w:r>
        <w:t xml:space="preserve"> «Til – tayyor mahsulot (ergon) emas, balki faoliyat (energeia)dir.» – Bu V. fon Gumboldt fikri bo‘lib, </w:t>
      </w:r>
      <w:r>
        <w:rPr>
          <w:b/>
          <w:bCs/>
        </w:rPr>
        <w:t xml:space="preserve">antroposentrik paradigmaning</w:t>
      </w:r>
      <w:r>
        <w:t xml:space="preserve"> g‘oyaviy manbai hisoblanadi. Sababi: til so‘zlovchi faoliyati sifatida qaralmoqda, ya’ni diqqat markazida tizim emas, balki tildan foydalanuvchi inson turibdi.</w:t>
      </w:r>
    </w:p>
    <w:p>
      <w:pPr>
        <w:keepNext/>
        <w:spacing w:after="80" w:before="200"/>
        <w:jc w:val="both"/>
      </w:pPr>
      <w:r>
        <w:rPr>
          <w:b/>
          <w:bCs/>
        </w:rPr>
        <w:t xml:space="preserve">3-topshiriq. Bitta so‘zni uch paradigma nuqtai nazaridan tavsiflang.</w:t>
      </w:r>
    </w:p>
    <w:p>
      <w:pPr>
        <w:spacing w:after="80"/>
        <w:ind w:firstLine="709"/>
        <w:jc w:val="both"/>
      </w:pPr>
      <w:r>
        <w:t xml:space="preserve">«Ona», «yer», «suv» so‘zlaridan birini tanlang va uni qiyosiy-tarixiy, sistem-struktur va antroposentrik yondashuvlar asosida qisqacha tavsiflang.</w:t>
      </w:r>
    </w:p>
    <w:p>
      <w:pPr>
        <w:pBdr>
          <w:left w:val="single" w:color="2E75B6" w:sz="12" w:space="6"/>
        </w:pBdr>
        <w:shd w:fill="F2F2F2" w:color="auto" w:val="clear"/>
        <w:spacing w:after="40"/>
        <w:ind w:left="284"/>
        <w:jc w:val="both"/>
      </w:pPr>
      <w:r>
        <w:rPr>
          <w:b/>
          <w:bCs/>
        </w:rPr>
        <w:t xml:space="preserve">Namuna («ota» so‘zi):</w:t>
      </w:r>
    </w:p>
    <w:p>
      <w:pPr>
        <w:pBdr>
          <w:left w:val="single" w:color="2E75B6" w:sz="12" w:space="6"/>
        </w:pBdr>
        <w:shd w:fill="F2F2F2" w:color="auto" w:val="clear"/>
        <w:spacing w:after="40"/>
        <w:ind w:left="284"/>
        <w:jc w:val="both"/>
      </w:pPr>
      <w:r>
        <w:t xml:space="preserve">1) </w:t>
      </w:r>
      <w:r>
        <w:rPr>
          <w:b/>
          <w:bCs/>
        </w:rPr>
        <w:t xml:space="preserve">Qiyosiy-tarixiy yondashuv:</w:t>
      </w:r>
      <w:r>
        <w:t xml:space="preserve"> so‘z qadimgi turkiy «ata» shaklida qayd etilgan, boshqa turkiy tillarda ham uchraydi (turk. «ata», qozoq. «ata» – «bobo» ma’nosida ham); o‘zbek tilida a &gt; o o‘zgarishi kuzatiladi.</w:t>
      </w:r>
    </w:p>
    <w:p>
      <w:pPr>
        <w:pBdr>
          <w:left w:val="single" w:color="2E75B6" w:sz="12" w:space="6"/>
        </w:pBdr>
        <w:shd w:fill="F2F2F2" w:color="auto" w:val="clear"/>
        <w:spacing w:after="40"/>
        <w:ind w:left="284"/>
        <w:jc w:val="both"/>
      </w:pPr>
      <w:r>
        <w:t xml:space="preserve">2) </w:t>
      </w:r>
      <w:r>
        <w:rPr>
          <w:b/>
          <w:bCs/>
        </w:rPr>
        <w:t xml:space="preserve">Sistem-struktur yondashuv:</w:t>
      </w:r>
      <w:r>
        <w:t xml:space="preserve"> so‘zning semalari: [+shaxs], [+erkak], [+qarindosh], [+bir avlod yuqori]; «ona» bilan antonimik (konversiv) juftlik, «ota-ona» juft so‘zi; «ota» – «otaxon» – «otalik» so‘z yasash uyasi.</w:t>
      </w:r>
    </w:p>
    <w:p>
      <w:pPr>
        <w:pBdr>
          <w:left w:val="single" w:color="2E75B6" w:sz="12" w:space="6"/>
        </w:pBdr>
        <w:shd w:fill="F2F2F2" w:color="auto" w:val="clear"/>
        <w:spacing w:after="40"/>
        <w:ind w:left="284"/>
        <w:jc w:val="both"/>
      </w:pPr>
      <w:r>
        <w:t xml:space="preserve">3) </w:t>
      </w:r>
      <w:r>
        <w:rPr>
          <w:b/>
          <w:bCs/>
        </w:rPr>
        <w:t xml:space="preserve">Antroposentrik yondashuv:</w:t>
      </w:r>
      <w:r>
        <w:t xml:space="preserve"> «ota» konseptida hurmat, oila boshi, homiylik belgilari mavjud: «Ota rozi – Xudo rozi», «Otang – podshoh». So‘z begona keksa erkakka hurmat bilan murojaatda ham qo‘llanadi («Ota, yo‘l bo‘lsin?»). Bu o‘zbek madaniyatida kattalarga hurmat qadriyatini aks ettiradi.</w:t>
      </w:r>
    </w:p>
    <w:p>
      <w:pPr>
        <w:keepNext/>
        <w:spacing w:after="80" w:before="200"/>
        <w:jc w:val="both"/>
      </w:pPr>
      <w:r>
        <w:rPr>
          <w:b/>
          <w:bCs/>
        </w:rPr>
        <w:t xml:space="preserve">4-topshiriq. V. fon Gumboldt g‘oyalarini o‘zbek tili misollari bilan izohlang.</w:t>
      </w:r>
    </w:p>
    <w:p>
      <w:pPr>
        <w:spacing w:after="80"/>
        <w:ind w:firstLine="709"/>
        <w:jc w:val="both"/>
      </w:pPr>
      <w:r>
        <w:t xml:space="preserve">Quyidagi g‘oyalarning har biriga o‘zbek tilidan kamida ikkitadan dalil toping: 1) har bir til o‘ziga xos dunyoqarashni ifodalaydi; 2) xalqning tili – uning ruhi; 3) til xalq va olam o‘rtasidagi oraliq dunyodir.</w:t>
      </w:r>
    </w:p>
    <w:p>
      <w:pPr>
        <w:pBdr>
          <w:left w:val="single" w:color="2E75B6" w:sz="12" w:space="6"/>
        </w:pBdr>
        <w:shd w:fill="F2F2F2" w:color="auto" w:val="clear"/>
        <w:spacing w:after="40"/>
        <w:ind w:left="284"/>
        <w:jc w:val="both"/>
      </w:pPr>
      <w:r>
        <w:rPr>
          <w:b/>
          <w:bCs/>
        </w:rPr>
        <w:t xml:space="preserve">Namuna (1-g‘oya):</w:t>
      </w:r>
      <w:r>
        <w:t xml:space="preserve"> O‘zbek tilida tug‘ishganlar yoshiga qarab farqlanadi: «aka» – «uka», «opa» – «singil». Ingliz tilida esa yosh farqi so‘z bilan ifodalanmaydi: «brother», «sister». Demak, o‘zbek dunyoqarashida oiladagi yosh ierarxiyasi muhim belgi sifatida tilda mustahkamlangan.</w:t>
      </w:r>
    </w:p>
    <w:p>
      <w:pPr>
        <w:pStyle w:val="Heading2"/>
      </w:pPr>
      <w:r>
        <w:t xml:space="preserve">II. Keys-stadi</w:t>
      </w:r>
    </w:p>
    <w:p>
      <w:pPr>
        <w:keepNext/>
        <w:spacing w:after="80" w:before="200"/>
        <w:jc w:val="both"/>
      </w:pPr>
      <w:r>
        <w:rPr>
          <w:b/>
          <w:bCs/>
        </w:rPr>
        <w:t xml:space="preserve">Keys: «Alisher Navoiy va V. fon Gumboldt: til va xalq tafakkuri».</w:t>
      </w:r>
    </w:p>
    <w:p>
      <w:pPr>
        <w:spacing w:after="80"/>
        <w:ind w:firstLine="709"/>
        <w:jc w:val="both"/>
      </w:pPr>
      <w:r>
        <w:t xml:space="preserve">Alisher Navoiy «Muhokamat ul-lug‘atayn» (1499) asarida turkiy va forsiy tillarni qiyoslab, turkiy tilda ma’no nozikliklarini ifodalovchi va forsiy tilda muqobili bo‘lmagan ko‘plab so‘zlar (jumladan, yuzta fe’l) borligini ko‘rsatgan. Oradan uch asr o‘tib, V. fon Gumboldt har bir til olamni o‘ziga xos tarzda ko‘rish usuli ekanini nazariy jihatdan asoslagan.</w:t>
      </w:r>
    </w:p>
    <w:p>
      <w:pPr>
        <w:spacing w:after="80"/>
        <w:ind w:firstLine="709"/>
        <w:jc w:val="both"/>
      </w:pPr>
      <w:r>
        <w:t xml:space="preserve">Topshiriqlar:</w:t>
      </w:r>
    </w:p>
    <w:p>
      <w:pPr>
        <w:pStyle w:val="ListParagraph"/>
        <w:numPr>
          <w:ilvl w:val="0"/>
          <w:numId w:val="2"/>
        </w:numPr>
        <w:spacing w:after="40"/>
        <w:jc w:val="both"/>
      </w:pPr>
      <w:r>
        <w:t xml:space="preserve">«Muhokamat ul-lug‘atayn» matnidan (izohli nashri asosida) Navoiy keltirgan beshta fe’lni toping va ularning ma’nolarini izohlang.</w:t>
      </w:r>
    </w:p>
    <w:p>
      <w:pPr>
        <w:pStyle w:val="ListParagraph"/>
        <w:numPr>
          <w:ilvl w:val="0"/>
          <w:numId w:val="2"/>
        </w:numPr>
        <w:spacing w:after="40"/>
        <w:jc w:val="both"/>
      </w:pPr>
      <w:r>
        <w:t xml:space="preserve">Navoiy va Gumboldt qarashlaridagi umumiy va farqli jihatlarni aniqlang.</w:t>
      </w:r>
    </w:p>
    <w:p>
      <w:pPr>
        <w:pStyle w:val="ListParagraph"/>
        <w:numPr>
          <w:ilvl w:val="0"/>
          <w:numId w:val="2"/>
        </w:numPr>
        <w:spacing w:after="40"/>
        <w:jc w:val="both"/>
      </w:pPr>
      <w:r>
        <w:t xml:space="preserve">Navoiy kuzatishlarini zamonaviy antroposentrik tilshunoslik atamalari bilan qanday nomlash mumkin?</w:t>
      </w:r>
    </w:p>
    <w:p>
      <w:pPr>
        <w:pBdr>
          <w:left w:val="single" w:color="2E75B6" w:sz="12" w:space="6"/>
        </w:pBdr>
        <w:shd w:fill="F2F2F2" w:color="auto" w:val="clear"/>
        <w:spacing w:after="40"/>
        <w:ind w:left="284"/>
        <w:jc w:val="both"/>
      </w:pPr>
      <w:r>
        <w:rPr>
          <w:b/>
          <w:bCs/>
        </w:rPr>
        <w:t xml:space="preserve">Namuna javob (2-savol qismi):</w:t>
      </w:r>
      <w:r>
        <w:t xml:space="preserve"> Umumiy jihat: ikkala mutafakkir ham tilni xalqning ma’naviy boyligi, tafakkur nozikligining ko‘rsatkichi deb biladi. Farqli jihat: Navoiyning maqsadi amaliy – turkiy tilning badiiy imkoniyatlarini isbotlash va shoirlarni turkiy tilda ijod qilishga chorlash; Gumboldtning maqsadi esa nazariy – til va tafakkur munosabatining umumiy qonuniyatini ochish.</w:t>
      </w:r>
    </w:p>
    <w:p>
      <w:pPr>
        <w:pStyle w:val="Heading2"/>
      </w:pPr>
      <w:r>
        <w:t xml:space="preserve">III. Kazuslar</w:t>
      </w:r>
    </w:p>
    <w:p>
      <w:pPr>
        <w:keepNext/>
        <w:spacing w:after="80" w:before="200"/>
        <w:jc w:val="both"/>
      </w:pPr>
      <w:r>
        <w:rPr>
          <w:b/>
          <w:bCs/>
        </w:rPr>
        <w:t xml:space="preserve">1-kazus. Seminar mashg‘ulotida talaba shunday fikr bildirdi: «Struktur tilshunoslik eskirgan. Endi faqat antroposentrik tilshunoslik bilan shug‘ullanish kerak, fonema va morfema tahlili keraksiz.» Ushbu fikrga munosabat bildiring.</w:t>
      </w:r>
    </w:p>
    <w:p>
      <w:pPr>
        <w:pBdr>
          <w:left w:val="single" w:color="2E75B6" w:sz="12" w:space="6"/>
        </w:pBdr>
        <w:shd w:fill="F2F2F2" w:color="auto" w:val="clear"/>
        <w:spacing w:after="40"/>
        <w:ind w:left="284"/>
        <w:jc w:val="both"/>
      </w:pPr>
      <w:r>
        <w:rPr>
          <w:b/>
          <w:bCs/>
        </w:rPr>
        <w:t xml:space="preserve">Namuna yechim:</w:t>
      </w:r>
      <w:r>
        <w:t xml:space="preserve"> Fikr noto‘g‘ri. Birinchidan, ilmiy paradigmalar bir-birini butunlay inkor etmaydi: yangi paradigma oldingisining yutuqlariga tayanadi. E.S. Kubryakova ham paradigmalar «yonma-yon yashashi» mumkinligini ta’kidlagan. Ikkinchidan, kognitiv tahlilning o‘zi ham til birliklarining aniq tizimli tavsifiga (semalar, ma’nolar, so‘z yasalishi) tayanadi. Masalan, konseptni tahlil qilish uchun avval so‘zning ma’nolar tizimini bilish zarur. Demak, struktur va antroposentrik yondashuvlar bir-birini to‘ldiradi.</w:t>
      </w:r>
    </w:p>
    <w:p>
      <w:pPr>
        <w:keepNext/>
        <w:spacing w:after="80" w:before="200"/>
        <w:jc w:val="both"/>
      </w:pPr>
      <w:r>
        <w:rPr>
          <w:b/>
          <w:bCs/>
        </w:rPr>
        <w:t xml:space="preserve">2-kazus. Ikki tadqiqotchi «non» so‘zini o‘rgandi. Birinchisi so‘zning fonetik tarkibi, ko‘plik va egalik shakllari hamda «non» – «nonvoy» – «nonushta» so‘z yasash uyasini tavsifladi. Ikkinchisi nonni oyoq ostiga tashlamaslik odati, «non sindirish» marosimi va «Non – ulug‘» maqolini tahlil qildi. Har bir tadqiqotchi qaysi paradigma doirasida ishlagan? Tadqiqotlarni birlashtirish mumkinmi?</w:t>
      </w:r>
    </w:p>
    <w:p>
      <w:pPr>
        <w:pBdr>
          <w:left w:val="single" w:color="2E75B6" w:sz="12" w:space="6"/>
        </w:pBdr>
        <w:shd w:fill="F2F2F2" w:color="auto" w:val="clear"/>
        <w:spacing w:after="40"/>
        <w:ind w:left="284"/>
        <w:jc w:val="both"/>
      </w:pPr>
      <w:r>
        <w:rPr>
          <w:b/>
          <w:bCs/>
        </w:rPr>
        <w:t xml:space="preserve">Namuna yechim (boshlanishi):</w:t>
      </w:r>
      <w:r>
        <w:t xml:space="preserve"> Birinchi tadqiqotchi sistem-struktur paradigma doirasida ishlagan, chunki u tilni ichki tizim sifatida, inson omilidan tashqarida o‘rgangan...</w:t>
      </w:r>
    </w:p>
    <w:p>
      <w:pPr>
        <w:pStyle w:val="Heading2"/>
      </w:pPr>
      <w:r>
        <w:t xml:space="preserve">IV. Testlar</w:t>
      </w:r>
    </w:p>
    <w:p>
      <w:pPr>
        <w:pStyle w:val="ListParagraph"/>
        <w:keepNext/>
        <w:numPr>
          <w:ilvl w:val="0"/>
          <w:numId w:val="3"/>
        </w:numPr>
        <w:spacing w:after="20" w:before="100"/>
      </w:pPr>
      <w:r>
        <w:t xml:space="preserve">«Paradigma» atamasini fan falsafasiga kim kiritgan?</w:t>
      </w:r>
    </w:p>
    <w:p>
      <w:pPr>
        <w:spacing w:after="0"/>
        <w:ind w:left="1069"/>
      </w:pPr>
      <w:r>
        <w:t xml:space="preserve">A) F. de Sossyur</w:t>
      </w:r>
    </w:p>
    <w:p>
      <w:pPr>
        <w:spacing w:after="0"/>
        <w:ind w:left="1069"/>
      </w:pPr>
      <w:r>
        <w:t xml:space="preserve">B) T. Kun</w:t>
      </w:r>
    </w:p>
    <w:p>
      <w:pPr>
        <w:spacing w:after="0"/>
        <w:ind w:left="1069"/>
      </w:pPr>
      <w:r>
        <w:t xml:space="preserve">C) V. fon Gumboldt</w:t>
      </w:r>
    </w:p>
    <w:p>
      <w:pPr>
        <w:spacing w:after="0"/>
        <w:ind w:left="1069"/>
      </w:pPr>
      <w:r>
        <w:t xml:space="preserve">D) N. Xomskiy</w:t>
      </w:r>
    </w:p>
    <w:p>
      <w:pPr>
        <w:pStyle w:val="ListParagraph"/>
        <w:keepNext/>
        <w:numPr>
          <w:ilvl w:val="0"/>
          <w:numId w:val="3"/>
        </w:numPr>
        <w:spacing w:after="20" w:before="100"/>
      </w:pPr>
      <w:r>
        <w:t xml:space="preserve">F. de Sossyurning «Umumiy tilshunoslik kursi» qachon nashr etilgan?</w:t>
      </w:r>
    </w:p>
    <w:p>
      <w:pPr>
        <w:spacing w:after="0"/>
        <w:ind w:left="1069"/>
      </w:pPr>
      <w:r>
        <w:t xml:space="preserve">A) 1857</w:t>
      </w:r>
    </w:p>
    <w:p>
      <w:pPr>
        <w:spacing w:after="0"/>
        <w:ind w:left="1069"/>
      </w:pPr>
      <w:r>
        <w:t xml:space="preserve">B) 1916</w:t>
      </w:r>
    </w:p>
    <w:p>
      <w:pPr>
        <w:spacing w:after="0"/>
        <w:ind w:left="1069"/>
      </w:pPr>
      <w:r>
        <w:t xml:space="preserve">C) 1957</w:t>
      </w:r>
    </w:p>
    <w:p>
      <w:pPr>
        <w:spacing w:after="0"/>
        <w:ind w:left="1069"/>
      </w:pPr>
      <w:r>
        <w:t xml:space="preserve">D) 1987</w:t>
      </w:r>
    </w:p>
    <w:p>
      <w:pPr>
        <w:pStyle w:val="ListParagraph"/>
        <w:keepNext/>
        <w:numPr>
          <w:ilvl w:val="0"/>
          <w:numId w:val="3"/>
        </w:numPr>
        <w:spacing w:after="20" w:before="100"/>
      </w:pPr>
      <w:r>
        <w:t xml:space="preserve">«Til – faoliyat (energeia)» degan fikr kimga tegishli?</w:t>
      </w:r>
    </w:p>
    <w:p>
      <w:pPr>
        <w:spacing w:after="0"/>
        <w:ind w:left="1069"/>
      </w:pPr>
      <w:r>
        <w:t xml:space="preserve">A) A. Shleyxer</w:t>
      </w:r>
    </w:p>
    <w:p>
      <w:pPr>
        <w:spacing w:after="0"/>
        <w:ind w:left="1069"/>
      </w:pPr>
      <w:r>
        <w:t xml:space="preserve">B) V. fon Gumboldt</w:t>
      </w:r>
    </w:p>
    <w:p>
      <w:pPr>
        <w:spacing w:after="0"/>
        <w:ind w:left="1069"/>
      </w:pPr>
      <w:r>
        <w:t xml:space="preserve">C) L. Vaysgerber</w:t>
      </w:r>
    </w:p>
    <w:p>
      <w:pPr>
        <w:spacing w:after="0"/>
        <w:ind w:left="1069"/>
      </w:pPr>
      <w:r>
        <w:t xml:space="preserve">D) E. Benvenist</w:t>
      </w:r>
    </w:p>
    <w:p>
      <w:pPr>
        <w:pStyle w:val="ListParagraph"/>
        <w:keepNext/>
        <w:numPr>
          <w:ilvl w:val="0"/>
          <w:numId w:val="3"/>
        </w:numPr>
        <w:spacing w:after="20" w:before="100"/>
      </w:pPr>
      <w:r>
        <w:t xml:space="preserve">Antroposentrik paradigmada tadqiqot markazida nima turadi?</w:t>
      </w:r>
    </w:p>
    <w:p>
      <w:pPr>
        <w:spacing w:after="0"/>
        <w:ind w:left="1069"/>
      </w:pPr>
      <w:r>
        <w:t xml:space="preserve">A) Tillarning qarindoshligi</w:t>
      </w:r>
    </w:p>
    <w:p>
      <w:pPr>
        <w:spacing w:after="0"/>
        <w:ind w:left="1069"/>
      </w:pPr>
      <w:r>
        <w:t xml:space="preserve">B) Til tizimining ichki tuzilishi</w:t>
      </w:r>
    </w:p>
    <w:p>
      <w:pPr>
        <w:spacing w:after="0"/>
        <w:ind w:left="1069"/>
      </w:pPr>
      <w:r>
        <w:t xml:space="preserve">C) Til egasi – inson</w:t>
      </w:r>
    </w:p>
    <w:p>
      <w:pPr>
        <w:spacing w:after="0"/>
        <w:ind w:left="1069"/>
      </w:pPr>
      <w:r>
        <w:t xml:space="preserve">D) Tillarning tipologik tasnifi</w:t>
      </w:r>
    </w:p>
    <w:p>
      <w:pPr>
        <w:pStyle w:val="ListParagraph"/>
        <w:keepNext/>
        <w:numPr>
          <w:ilvl w:val="0"/>
          <w:numId w:val="3"/>
        </w:numPr>
        <w:spacing w:after="20" w:before="100"/>
      </w:pPr>
      <w:r>
        <w:t xml:space="preserve">So‘zning «ichki shakli» haqidagi ta’limotni kim yaratgan?</w:t>
      </w:r>
    </w:p>
    <w:p>
      <w:pPr>
        <w:spacing w:after="0"/>
        <w:ind w:left="1069"/>
      </w:pPr>
      <w:r>
        <w:t xml:space="preserve">A) A.A. Potebnya</w:t>
      </w:r>
    </w:p>
    <w:p>
      <w:pPr>
        <w:spacing w:after="0"/>
        <w:ind w:left="1069"/>
      </w:pPr>
      <w:r>
        <w:t xml:space="preserve">B) I.A. Boduen de Kurtene</w:t>
      </w:r>
    </w:p>
    <w:p>
      <w:pPr>
        <w:spacing w:after="0"/>
        <w:ind w:left="1069"/>
      </w:pPr>
      <w:r>
        <w:t xml:space="preserve">C) V.V. Vinogradov</w:t>
      </w:r>
    </w:p>
    <w:p>
      <w:pPr>
        <w:spacing w:after="0"/>
        <w:ind w:left="1069"/>
      </w:pPr>
      <w:r>
        <w:t xml:space="preserve">D) L.V. Shcherba</w:t>
      </w:r>
    </w:p>
    <w:p>
      <w:pPr>
        <w:pStyle w:val="ListParagraph"/>
        <w:keepNext/>
        <w:numPr>
          <w:ilvl w:val="0"/>
          <w:numId w:val="3"/>
        </w:numPr>
        <w:spacing w:after="20" w:before="100"/>
      </w:pPr>
      <w:r>
        <w:t xml:space="preserve">Qaysi asar turkiy xalqlar dunyoqarashini so‘zlar orqali aks ettirgan dastlabki lingvokulturologik manba hisoblanadi?</w:t>
      </w:r>
    </w:p>
    <w:p>
      <w:pPr>
        <w:spacing w:after="0"/>
        <w:ind w:left="1069"/>
      </w:pPr>
      <w:r>
        <w:t xml:space="preserve">A) «Qutadg‘u bilig»</w:t>
      </w:r>
    </w:p>
    <w:p>
      <w:pPr>
        <w:spacing w:after="0"/>
        <w:ind w:left="1069"/>
      </w:pPr>
      <w:r>
        <w:t xml:space="preserve">B) «Devonu lug‘otit turk»</w:t>
      </w:r>
    </w:p>
    <w:p>
      <w:pPr>
        <w:spacing w:after="0"/>
        <w:ind w:left="1069"/>
      </w:pPr>
      <w:r>
        <w:t xml:space="preserve">C) «Boburnoma»</w:t>
      </w:r>
    </w:p>
    <w:p>
      <w:pPr>
        <w:spacing w:after="0"/>
        <w:ind w:left="1069"/>
      </w:pPr>
      <w:r>
        <w:t xml:space="preserve">D) «Mezon ul-avzon»</w:t>
      </w:r>
    </w:p>
    <w:p>
      <w:pPr>
        <w:spacing w:before="160"/>
      </w:pPr>
      <w:r>
        <w:rPr>
          <w:b/>
          <w:bCs/>
        </w:rPr>
        <w:t xml:space="preserve">Testlar kaliti: </w:t>
      </w:r>
      <w:r>
        <w:t xml:space="preserve">1–B; 2–B; 3–B; 4–C; 5–A; 6–B.</w:t>
      </w:r>
    </w:p>
    <w:p>
      <w:pPr>
        <w:pStyle w:val="Heading2"/>
      </w:pPr>
      <w:r>
        <w:t xml:space="preserve">Nazariy savollar</w:t>
      </w:r>
    </w:p>
    <w:p>
      <w:pPr>
        <w:pStyle w:val="ListParagraph"/>
        <w:numPr>
          <w:ilvl w:val="0"/>
          <w:numId w:val="4"/>
        </w:numPr>
        <w:spacing w:after="40"/>
        <w:jc w:val="both"/>
      </w:pPr>
      <w:r>
        <w:t xml:space="preserve">Ilmiy paradigma nima va paradigmalar qanday almashinadi?</w:t>
      </w:r>
    </w:p>
    <w:p>
      <w:pPr>
        <w:pStyle w:val="ListParagraph"/>
        <w:numPr>
          <w:ilvl w:val="0"/>
          <w:numId w:val="4"/>
        </w:numPr>
        <w:spacing w:after="40"/>
        <w:jc w:val="both"/>
      </w:pPr>
      <w:r>
        <w:t xml:space="preserve">Qiyosiy-tarixiy, sistem-struktur va antroposentrik paradigmalarning tadqiqot ob’ektlarini qiyoslang.</w:t>
      </w:r>
    </w:p>
    <w:p>
      <w:pPr>
        <w:pStyle w:val="ListParagraph"/>
        <w:numPr>
          <w:ilvl w:val="0"/>
          <w:numId w:val="4"/>
        </w:numPr>
        <w:spacing w:after="40"/>
        <w:jc w:val="both"/>
      </w:pPr>
      <w:r>
        <w:t xml:space="preserve">V. fon Gumboldtning til haqidagi asosiy g‘oyalarini izohlang.</w:t>
      </w:r>
    </w:p>
    <w:p>
      <w:pPr>
        <w:pStyle w:val="ListParagraph"/>
        <w:numPr>
          <w:ilvl w:val="0"/>
          <w:numId w:val="4"/>
        </w:numPr>
        <w:spacing w:after="40"/>
        <w:jc w:val="both"/>
      </w:pPr>
      <w:r>
        <w:t xml:space="preserve">A.A. Potebnya Gumboldt g‘oyalarini qanday rivojlantirgan?</w:t>
      </w:r>
    </w:p>
    <w:p>
      <w:pPr>
        <w:pStyle w:val="ListParagraph"/>
        <w:numPr>
          <w:ilvl w:val="0"/>
          <w:numId w:val="4"/>
        </w:numPr>
        <w:spacing w:after="40"/>
        <w:jc w:val="both"/>
      </w:pPr>
      <w:r>
        <w:t xml:space="preserve">Sharq mutafakkirlarining til va tafakkur haqidagi qarashlarini misollar bilan izohlang.</w:t>
      </w:r>
    </w:p>
    <w:p>
      <w:pPr>
        <w:pStyle w:val="Heading2"/>
      </w:pPr>
      <w: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Mahmudov N. Tilning mukammal tadqiqi yo‘llarini izlab // O‘zbek tili va adabiyoti. – Toshkent, 2012. – №5.</w:t>
      </w:r>
    </w:p>
    <w:p>
      <w:pPr>
        <w:pStyle w:val="ListParagraph"/>
        <w:numPr>
          <w:ilvl w:val="0"/>
          <w:numId w:val="5"/>
        </w:numPr>
        <w:spacing w:after="40"/>
        <w:jc w:val="both"/>
      </w:pPr>
      <w:r>
        <w:t xml:space="preserve">Xudoyberganova D. Matnning antropotsentrik tadqiqi. – Toshkent: Fan, 2013.</w:t>
      </w:r>
    </w:p>
    <w:p>
      <w:pPr>
        <w:pStyle w:val="ListParagraph"/>
        <w:numPr>
          <w:ilvl w:val="0"/>
          <w:numId w:val="5"/>
        </w:numPr>
        <w:spacing w:after="40"/>
        <w:jc w:val="both"/>
      </w:pPr>
      <w:r>
        <w:t xml:space="preserve">Кун Т. Структура научных революций. – М.: Прогресс, 1975.</w:t>
      </w:r>
    </w:p>
    <w:p>
      <w:pPr>
        <w:pStyle w:val="ListParagraph"/>
        <w:numPr>
          <w:ilvl w:val="0"/>
          <w:numId w:val="5"/>
        </w:numPr>
        <w:spacing w:after="40"/>
        <w:jc w:val="both"/>
      </w:pPr>
      <w:r>
        <w:t xml:space="preserve">Гумбольдт В. фон. Избранные труды по языкознанию. – М.: Прогресс, 1984.</w:t>
      </w:r>
    </w:p>
    <w:p>
      <w:pPr>
        <w:pStyle w:val="ListParagraph"/>
        <w:numPr>
          <w:ilvl w:val="0"/>
          <w:numId w:val="5"/>
        </w:numPr>
        <w:spacing w:after="40"/>
        <w:jc w:val="both"/>
      </w:pPr>
      <w:r>
        <w:t xml:space="preserve">Бенвенист Э. Общая лингвистика. – М.: Прогресс, 1974.</w:t>
      </w:r>
    </w:p>
    <w:p>
      <w:pPr>
        <w:pStyle w:val="ListParagraph"/>
        <w:numPr>
          <w:ilvl w:val="0"/>
          <w:numId w:val="5"/>
        </w:numPr>
        <w:spacing w:after="40"/>
        <w:jc w:val="both"/>
      </w:pPr>
      <w:r>
        <w:t xml:space="preserve">Кубрякова Е.С. Язык и знание: На пути получения знаний о языке: Части речи с когнитивной точки зрения. Роль языка в познании мира. – М.: Языки славянской культуры, 2004.</w:t>
      </w:r>
    </w:p>
    <w:p>
      <w:pPr>
        <w:pStyle w:val="ListParagraph"/>
        <w:numPr>
          <w:ilvl w:val="0"/>
          <w:numId w:val="5"/>
        </w:numPr>
        <w:spacing w:after="40"/>
        <w:jc w:val="both"/>
      </w:pPr>
      <w:r>
        <w:t xml:space="preserve">Попова З.Д., Стернин И.А. Когнитивная лингвистика. – М.: АСТ: Восток–Запад, 2007.</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0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1-AMALIY MASHG‘ULOT. TILSHUNOSLIKDA ANTROPOSENTRIZMNING SHAKLLANISHI (1-qism): ILMIY PARADIGMALAR VA V. FON GUMBOLDT TA’LIMOTI</dc:title>
  <dc:creator>Un-named</dc:creator>
  <cp:lastModifiedBy>Un-named</cp:lastModifiedBy>
  <cp:revision>1</cp:revision>
  <dcterms:created xsi:type="dcterms:W3CDTF">2026-10-30T07:58:17.287Z</dcterms:created>
  <dcterms:modified xsi:type="dcterms:W3CDTF">2026-10-30T07:58:17.299Z</dcterms:modified>
</cp:coreProperties>
</file>

<file path=docProps/custom.xml><?xml version="1.0" encoding="utf-8"?>
<Properties xmlns="http://schemas.openxmlformats.org/officeDocument/2006/custom-properties" xmlns:vt="http://schemas.openxmlformats.org/officeDocument/2006/docPropsVTypes"/>
</file>