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2-AMALIY MASHG‘ULOT. TILSHUNOSLIKDA ANTROPOSENTRIZMNING SHAKLLANISHI (2-qism): LINGVISTIK NISBIYLIK VA TIL SHAXSI</w:t>
      </w:r>
    </w:p>
    <w:p>
      <w:pPr>
        <w:spacing w:after="160"/>
        <w:jc w:val="both"/>
      </w:pPr>
      <w:r>
        <w:rPr>
          <w:b/>
          <w:bCs/>
        </w:rPr>
        <w:t xml:space="preserve">Mashg‘ulot maqsadi: </w:t>
      </w:r>
      <w:r>
        <w:rPr>
          <w:i/>
          <w:iCs/>
        </w:rPr>
        <w:t xml:space="preserve">Sepir–Uorf gipotezasi, Yu.N. Karaulovning til shaxsi nazariyasi va antroposentrik tilshunoslik yo‘nalishlari bo‘yicha bilimlarni amaliy materialda mustahkamlash; tillarni qiyoslash orqali lingvistik nisbiylik hodisasini tahlil qilish ko‘nikmasini rivojlantirish.</w:t>
      </w:r>
    </w:p>
    <w:p>
      <w:pPr>
        <w:pStyle w:val="Heading2"/>
      </w:pPr>
      <w:r>
        <w:t xml:space="preserve">I. Amaliy topshiriqlar</w:t>
      </w:r>
    </w:p>
    <w:p>
      <w:pPr>
        <w:keepNext/>
        <w:spacing w:after="80" w:before="200"/>
        <w:jc w:val="both"/>
      </w:pPr>
      <w:r>
        <w:rPr>
          <w:b/>
          <w:bCs/>
        </w:rPr>
        <w:t xml:space="preserve">1-topshiriq. Qarindoshlik terminlarini uch tilda qiyoslang.</w:t>
      </w:r>
    </w:p>
    <w:p>
      <w:pPr>
        <w:spacing w:after="80"/>
        <w:ind w:firstLine="709"/>
        <w:jc w:val="both"/>
      </w:pPr>
      <w:r>
        <w:t xml:space="preserve">Jadvalni to‘ldiring va xulosa chiqaring: qaysi tilda qarindoshlik munosabatlari batafsilroq farqlanadi va bu nimadan dalolat beradi?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O‘zbek tili</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Rus tili</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Ingliz tili</w:t>
            </w:r>
          </w:p>
        </w:tc>
        <w:tc>
          <w:tcPr>
            <w:tcW w:type="dxa" w:w="23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Farqlovchi belgi</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amaki / tog‘a</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дядя</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uncle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otaning yoki onaning tomoni</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amma / xola</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aka / uka</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opa / singil</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qaynona / qayinona (er tomonidan)</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kelin</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jiyan</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bl>
    <w:p>
      <w:pPr>
        <w:spacing w:after="60"/>
      </w:pPr>
    </w:p>
    <w:p>
      <w:pPr>
        <w:pBdr>
          <w:left w:val="single" w:color="2E75B6" w:sz="12" w:space="6"/>
        </w:pBdr>
        <w:shd w:fill="F2F2F2" w:color="auto" w:val="clear"/>
        <w:spacing w:after="40"/>
        <w:ind w:left="284"/>
        <w:jc w:val="both"/>
      </w:pPr>
      <w:r>
        <w:rPr>
          <w:b/>
          <w:bCs/>
        </w:rPr>
        <w:t xml:space="preserve">Namuna xulosa (1-qator asosida):</w:t>
      </w:r>
      <w:r>
        <w:t xml:space="preserve"> O‘zbek tilida otaning akasi yoki ukasi («amaki») va onaning akasi yoki ukasi («tog‘a») ikki alohida so‘z bilan ataladi. Rus va ingliz tillarida bu farq leksik jihatdan ifodalanmaydi. Bu o‘zbek madaniyatida qarindoshlikning ota yoki ona tomonidan ekani muhim ijtimoiy ahamiyatga ega ekanini ko‘rsatadi. Ushbu fakt Sepir–Uorf gipotezasining kuchsiz talqinini qo‘llab-quvvatlaydi.</w:t>
      </w:r>
    </w:p>
    <w:p>
      <w:pPr>
        <w:keepNext/>
        <w:spacing w:after="80" w:before="200"/>
        <w:jc w:val="both"/>
      </w:pPr>
      <w:r>
        <w:rPr>
          <w:b/>
          <w:bCs/>
        </w:rPr>
        <w:t xml:space="preserve">2-topshiriq. Matn muallifining til shaxsini Yu.N. Karaulov modeli asosida tahlil qiling.</w:t>
      </w:r>
    </w:p>
    <w:p>
      <w:pPr>
        <w:spacing w:after="80"/>
        <w:ind w:firstLine="709"/>
        <w:jc w:val="both"/>
      </w:pPr>
      <w:r>
        <w:t xml:space="preserve">Quyidagi nutq parchasini o‘qing va til shaxsining uch darajasini (verbal-semantik, lingvokognitiv, motivatsion) aniqlang: «Hurmatli hamkasblar! Bugungi seminarimizda kognitiv tilshunoslikning dolzarb masalalari – konsept va freym tushunchalarini muhokama qilamiz. Ishonamanki, bu bilimlar sizga dissertatsiya ishingizda asqotadi.»</w:t>
      </w:r>
    </w:p>
    <w:p>
      <w:pPr>
        <w:pBdr>
          <w:left w:val="single" w:color="2E75B6" w:sz="12" w:space="6"/>
        </w:pBdr>
        <w:shd w:fill="F2F2F2" w:color="auto" w:val="clear"/>
        <w:spacing w:after="40"/>
        <w:ind w:left="284"/>
        <w:jc w:val="both"/>
      </w:pPr>
      <w:r>
        <w:rPr>
          <w:b/>
          <w:bCs/>
        </w:rPr>
        <w:t xml:space="preserve">Namuna tahlil (boshqa matn asosida).</w:t>
      </w:r>
      <w:r>
        <w:t xml:space="preserve"> Matn: «Bolam, ilm – tuganmas xazina. O‘qisang, el-yurtga yaraysan.»</w:t>
      </w:r>
    </w:p>
    <w:p>
      <w:pPr>
        <w:pBdr>
          <w:left w:val="single" w:color="2E75B6" w:sz="12" w:space="6"/>
        </w:pBdr>
        <w:shd w:fill="F2F2F2" w:color="auto" w:val="clear"/>
        <w:spacing w:after="40"/>
        <w:ind w:left="284"/>
        <w:jc w:val="both"/>
      </w:pPr>
      <w:r>
        <w:t xml:space="preserve">– </w:t>
      </w:r>
      <w:r>
        <w:rPr>
          <w:b/>
          <w:bCs/>
        </w:rPr>
        <w:t xml:space="preserve">Verbal-semantik daraja:</w:t>
      </w:r>
      <w:r>
        <w:t xml:space="preserve"> so‘zlovchi murojaat shakli («bolam»), metafora («ilm – xazina»), shart mayli («o‘qisang») kabi vositalardan erkin foydalanadi.</w:t>
      </w:r>
    </w:p>
    <w:p>
      <w:pPr>
        <w:pBdr>
          <w:left w:val="single" w:color="2E75B6" w:sz="12" w:space="6"/>
        </w:pBdr>
        <w:shd w:fill="F2F2F2" w:color="auto" w:val="clear"/>
        <w:spacing w:after="40"/>
        <w:ind w:left="284"/>
        <w:jc w:val="both"/>
      </w:pPr>
      <w:r>
        <w:t xml:space="preserve">– </w:t>
      </w:r>
      <w:r>
        <w:rPr>
          <w:b/>
          <w:bCs/>
        </w:rPr>
        <w:t xml:space="preserve">Lingvokognitiv daraja:</w:t>
      </w:r>
      <w:r>
        <w:t xml:space="preserve"> matnda «ilm – boylik», «inson qadri – jamiyatga foydasi bilan» degan qadriyatlar tizimi aks etgan.</w:t>
      </w:r>
    </w:p>
    <w:p>
      <w:pPr>
        <w:pBdr>
          <w:left w:val="single" w:color="2E75B6" w:sz="12" w:space="6"/>
        </w:pBdr>
        <w:shd w:fill="F2F2F2" w:color="auto" w:val="clear"/>
        <w:spacing w:after="40"/>
        <w:ind w:left="284"/>
        <w:jc w:val="both"/>
      </w:pPr>
      <w:r>
        <w:t xml:space="preserve">– </w:t>
      </w:r>
      <w:r>
        <w:rPr>
          <w:b/>
          <w:bCs/>
        </w:rPr>
        <w:t xml:space="preserve">Motivatsion daraja:</w:t>
      </w:r>
      <w:r>
        <w:t xml:space="preserve"> so‘zlovchining maqsadi – nasihat qilish, tinglovchini o‘qishga undash.</w:t>
      </w:r>
    </w:p>
    <w:p>
      <w:pPr>
        <w:keepNext/>
        <w:spacing w:after="80" w:before="200"/>
        <w:jc w:val="both"/>
      </w:pPr>
      <w:r>
        <w:rPr>
          <w:b/>
          <w:bCs/>
        </w:rPr>
        <w:t xml:space="preserve">3-topshiriq. Tadqiqot mavzularini antroposentrik tilshunoslik yo‘nalishlariga ajrating.</w:t>
      </w:r>
    </w:p>
    <w:p>
      <w:pPr>
        <w:pStyle w:val="ListParagraph"/>
        <w:numPr>
          <w:ilvl w:val="0"/>
          <w:numId w:val="2"/>
        </w:numPr>
        <w:spacing w:after="40"/>
        <w:jc w:val="both"/>
      </w:pPr>
      <w:r>
        <w:t xml:space="preserve">«O‘zbek tilida "mehr" konseptining ifodalanishi»</w:t>
      </w:r>
    </w:p>
    <w:p>
      <w:pPr>
        <w:pStyle w:val="ListParagraph"/>
        <w:numPr>
          <w:ilvl w:val="0"/>
          <w:numId w:val="2"/>
        </w:numPr>
        <w:spacing w:after="40"/>
        <w:jc w:val="both"/>
      </w:pPr>
      <w:r>
        <w:t xml:space="preserve">«Bolalarda so‘z ma’nosini o‘zlashtirish bosqichlari»</w:t>
      </w:r>
    </w:p>
    <w:p>
      <w:pPr>
        <w:pStyle w:val="ListParagraph"/>
        <w:numPr>
          <w:ilvl w:val="0"/>
          <w:numId w:val="2"/>
        </w:numPr>
        <w:spacing w:after="40"/>
        <w:jc w:val="both"/>
      </w:pPr>
      <w:r>
        <w:t xml:space="preserve">«Toshkent shahri yoshlari nutqida inglizcha o‘zlashmalar»</w:t>
      </w:r>
    </w:p>
    <w:p>
      <w:pPr>
        <w:pStyle w:val="ListParagraph"/>
        <w:numPr>
          <w:ilvl w:val="0"/>
          <w:numId w:val="2"/>
        </w:numPr>
        <w:spacing w:after="40"/>
        <w:jc w:val="both"/>
      </w:pPr>
      <w:r>
        <w:t xml:space="preserve">«Talabaning o‘qituvchiga murojaatida iltimos nutqiy akti»</w:t>
      </w:r>
    </w:p>
    <w:p>
      <w:pPr>
        <w:pStyle w:val="ListParagraph"/>
        <w:numPr>
          <w:ilvl w:val="0"/>
          <w:numId w:val="2"/>
        </w:numPr>
        <w:spacing w:after="40"/>
        <w:jc w:val="both"/>
      </w:pPr>
      <w:r>
        <w:t xml:space="preserve">«O‘zbek va ingliz maqollarida "vaqt" tushunchasi»</w:t>
      </w:r>
    </w:p>
    <w:p>
      <w:pPr>
        <w:pStyle w:val="ListParagraph"/>
        <w:numPr>
          <w:ilvl w:val="0"/>
          <w:numId w:val="2"/>
        </w:numPr>
        <w:spacing w:after="40"/>
        <w:jc w:val="both"/>
      </w:pPr>
      <w:r>
        <w:t xml:space="preserve">«Afaziya bilan og‘rigan bemorlar nutqining xususiyatlari»</w:t>
      </w:r>
    </w:p>
    <w:p>
      <w:pPr>
        <w:pBdr>
          <w:left w:val="single" w:color="2E75B6" w:sz="12" w:space="6"/>
        </w:pBdr>
        <w:shd w:fill="F2F2F2" w:color="auto" w:val="clear"/>
        <w:spacing w:after="40"/>
        <w:ind w:left="284"/>
        <w:jc w:val="both"/>
      </w:pPr>
      <w:r>
        <w:rPr>
          <w:b/>
          <w:bCs/>
        </w:rPr>
        <w:t xml:space="preserve">Namuna:</w:t>
      </w:r>
      <w:r>
        <w:t xml:space="preserve"> «Toshkent shahri yoshlari nutqida inglizcha o‘zlashmalar» – </w:t>
      </w:r>
      <w:r>
        <w:rPr>
          <w:b/>
          <w:bCs/>
        </w:rPr>
        <w:t xml:space="preserve">sotsiolingvistika</w:t>
      </w:r>
      <w:r>
        <w:t xml:space="preserve">, chunki unda tilning ijtimoiy guruh (yoshlar) va hudud (shahar) bilan bog‘liq holda qo‘llanishi o‘rganiladi.</w:t>
      </w:r>
    </w:p>
    <w:p>
      <w:pPr>
        <w:pStyle w:val="Heading2"/>
      </w:pPr>
      <w:r>
        <w:t xml:space="preserve">II. Keys-stadi</w:t>
      </w:r>
    </w:p>
    <w:p>
      <w:pPr>
        <w:keepNext/>
        <w:spacing w:after="80" w:before="200"/>
        <w:jc w:val="both"/>
      </w:pPr>
      <w:r>
        <w:rPr>
          <w:b/>
          <w:bCs/>
        </w:rPr>
        <w:t xml:space="preserve">Keys: «Ko‘k osmon, ko‘k o‘t, ko‘k choy».</w:t>
      </w:r>
    </w:p>
    <w:p>
      <w:pPr>
        <w:spacing w:after="80"/>
        <w:ind w:firstLine="709"/>
        <w:jc w:val="both"/>
      </w:pPr>
      <w:r>
        <w:t xml:space="preserve">B. Berlin va P. Key «Asosiy rang nomlari» (1969) tadqiqotida tillardagi asosiy rang nomlari muayyan universal tartibda paydo bo‘lishini ko‘rsatgan. O‘zbek tilida «ko‘k» so‘zi ham osmon rangini («ko‘m-ko‘k osmon»), ham o‘simlik rangini («ko‘k o‘t», «ko‘kat», «ko‘klam») ifodalaydi; «yashil» so‘zi esa nisbatan keyinroq faollashgan.</w:t>
      </w:r>
    </w:p>
    <w:p>
      <w:pPr>
        <w:spacing w:after="80"/>
        <w:ind w:firstLine="709"/>
        <w:jc w:val="both"/>
      </w:pPr>
      <w:r>
        <w:t xml:space="preserve">Topshiriqlar:</w:t>
      </w:r>
    </w:p>
    <w:p>
      <w:pPr>
        <w:pStyle w:val="ListParagraph"/>
        <w:numPr>
          <w:ilvl w:val="0"/>
          <w:numId w:val="2"/>
        </w:numPr>
        <w:spacing w:after="40"/>
        <w:jc w:val="both"/>
      </w:pPr>
      <w:r>
        <w:t xml:space="preserve">O‘zbek tilidagi «ko‘k» so‘zining ma’nolarini izohli lug‘at asosida aniqlang.</w:t>
      </w:r>
    </w:p>
    <w:p>
      <w:pPr>
        <w:pStyle w:val="ListParagraph"/>
        <w:numPr>
          <w:ilvl w:val="0"/>
          <w:numId w:val="2"/>
        </w:numPr>
        <w:spacing w:after="40"/>
        <w:jc w:val="both"/>
      </w:pPr>
      <w:r>
        <w:t xml:space="preserve">Bu holat Sepir–Uorf gipotezasining qaysi talqinini tasdiqlaydi yoki inkor etadi?</w:t>
      </w:r>
    </w:p>
    <w:p>
      <w:pPr>
        <w:pStyle w:val="ListParagraph"/>
        <w:numPr>
          <w:ilvl w:val="0"/>
          <w:numId w:val="2"/>
        </w:numPr>
        <w:spacing w:after="40"/>
        <w:jc w:val="both"/>
      </w:pPr>
      <w:r>
        <w:t xml:space="preserve">O‘zbek tilida so‘zlashuvchi kishi ko‘k va yashil ranglarni farqlay oladimi? Javobingizni asoslang.</w:t>
      </w:r>
    </w:p>
    <w:p>
      <w:pPr>
        <w:pBdr>
          <w:left w:val="single" w:color="2E75B6" w:sz="12" w:space="6"/>
        </w:pBdr>
        <w:shd w:fill="F2F2F2" w:color="auto" w:val="clear"/>
        <w:spacing w:after="40"/>
        <w:ind w:left="284"/>
        <w:jc w:val="both"/>
      </w:pPr>
      <w:r>
        <w:rPr>
          <w:b/>
          <w:bCs/>
        </w:rPr>
        <w:t xml:space="preserve">Namuna javob (3-savol):</w:t>
      </w:r>
      <w:r>
        <w:t xml:space="preserve"> Albatta farqlay oladi. Til idrokni to‘liq belgilamaydi: zarurat tug‘ilganda farq boshqa vositalar bilan ifodalanadi («yashil», «osmonrang», «zangori», «moviy»). Demak, bu holat gipotezaning kuchli talqinini (lingvistik determinizmni) inkor etadi. Ammo tilning qaysi farqlarni odatiy holda «majburiy» qilishi idrokka muayyan ta’sir ko‘rsatishi mumkin – bu kuchsiz talqinga mos keladi.</w:t>
      </w:r>
    </w:p>
    <w:p>
      <w:pPr>
        <w:pStyle w:val="Heading2"/>
      </w:pPr>
      <w:r>
        <w:t xml:space="preserve">III. Kazuslar</w:t>
      </w:r>
    </w:p>
    <w:p>
      <w:pPr>
        <w:keepNext/>
        <w:spacing w:after="80" w:before="200"/>
        <w:jc w:val="both"/>
      </w:pPr>
      <w:r>
        <w:rPr>
          <w:b/>
          <w:bCs/>
        </w:rPr>
        <w:t xml:space="preserve">1-kazus. Bir maqolada shunday fikr bildirilgan: «Agar tilda grammatik kelasi zamon shakli bo‘lmasa, bu til egalari kelajak haqida o‘ylay olmaydi.» Fikrni baholang.</w:t>
      </w:r>
    </w:p>
    <w:p>
      <w:pPr>
        <w:pBdr>
          <w:left w:val="single" w:color="2E75B6" w:sz="12" w:space="6"/>
        </w:pBdr>
        <w:shd w:fill="F2F2F2" w:color="auto" w:val="clear"/>
        <w:spacing w:after="40"/>
        <w:ind w:left="284"/>
        <w:jc w:val="both"/>
      </w:pPr>
      <w:r>
        <w:rPr>
          <w:b/>
          <w:bCs/>
        </w:rPr>
        <w:t xml:space="preserve">Namuna yechim:</w:t>
      </w:r>
      <w:r>
        <w:t xml:space="preserve"> Bu fikr lingvistik determinizmga (kuchli talqinga) asoslangan va ilmiy jihatdan asossiz. Grammatik kelasi zamon shakli bo‘lmagan tillarda ham kelajak leksik vositalar («ertaga», «kelasi yili»), hozirgi zamon shakli yoki modal so‘zlar orqali ifodalanadi. Masalan, o‘zbek tilida ham «Ertaga boraman» gapida hozirgi-kelasi zamon shakli qo‘llanadi va kelajak ma’nosi «ertaga» so‘zi bilan aniqlashadi.</w:t>
      </w:r>
    </w:p>
    <w:p>
      <w:pPr>
        <w:keepNext/>
        <w:spacing w:after="80" w:before="200"/>
        <w:jc w:val="both"/>
      </w:pPr>
      <w:r>
        <w:rPr>
          <w:b/>
          <w:bCs/>
        </w:rPr>
        <w:t xml:space="preserve">2-kazus. Ikki talaba bahslashmoqda. Birinchisi: «Til shaxsi – bu faqat yozuvchi yoki shoir, chunki ular tilni mukammal biladi.» Ikkinchisi: «Har bir so‘zlovchi – til shaxsi.» Kim haq?</w:t>
      </w:r>
    </w:p>
    <w:p>
      <w:pPr>
        <w:pBdr>
          <w:left w:val="single" w:color="2E75B6" w:sz="12" w:space="6"/>
        </w:pBdr>
        <w:shd w:fill="F2F2F2" w:color="auto" w:val="clear"/>
        <w:spacing w:after="40"/>
        <w:ind w:left="284"/>
        <w:jc w:val="both"/>
      </w:pPr>
      <w:r>
        <w:rPr>
          <w:b/>
          <w:bCs/>
        </w:rPr>
        <w:t xml:space="preserve">Namuna yechim (yo‘nalish):</w:t>
      </w:r>
      <w:r>
        <w:t xml:space="preserve"> Karaulov ta’rifiga ko‘ra, nutqiy asar yaratish va idrok etish qobiliyatiga ega har qanday inson til shaxsidir. Biroq til shaxslari darajalari bo‘yicha farqlanadi: yozuvchining leksikoni, tezaurusi va pragmatikoni odatda boyroq bo‘ladi...</w:t>
      </w:r>
    </w:p>
    <w:p>
      <w:pPr>
        <w:pStyle w:val="Heading2"/>
      </w:pPr>
      <w:r>
        <w:t xml:space="preserve">IV. Testlar</w:t>
      </w:r>
    </w:p>
    <w:p>
      <w:pPr>
        <w:pStyle w:val="ListParagraph"/>
        <w:keepNext/>
        <w:numPr>
          <w:ilvl w:val="0"/>
          <w:numId w:val="3"/>
        </w:numPr>
        <w:spacing w:after="20" w:before="100"/>
      </w:pPr>
      <w:r>
        <w:t xml:space="preserve">«Til shaxsi» nazariyasini monografik asosda ishlab chiqqan olim kim?</w:t>
      </w:r>
    </w:p>
    <w:p>
      <w:pPr>
        <w:spacing w:after="0"/>
        <w:ind w:left="1069"/>
      </w:pPr>
      <w:r>
        <w:t xml:space="preserve">A) V.V. Vinogradov</w:t>
      </w:r>
    </w:p>
    <w:p>
      <w:pPr>
        <w:spacing w:after="0"/>
        <w:ind w:left="1069"/>
      </w:pPr>
      <w:r>
        <w:t xml:space="preserve">B) Yu.N. Karaulov</w:t>
      </w:r>
    </w:p>
    <w:p>
      <w:pPr>
        <w:spacing w:after="0"/>
        <w:ind w:left="1069"/>
      </w:pPr>
      <w:r>
        <w:t xml:space="preserve">C) E.S. Kubryakova</w:t>
      </w:r>
    </w:p>
    <w:p>
      <w:pPr>
        <w:spacing w:after="0"/>
        <w:ind w:left="1069"/>
      </w:pPr>
      <w:r>
        <w:t xml:space="preserve">D) A.A. Leontyev</w:t>
      </w:r>
    </w:p>
    <w:p>
      <w:pPr>
        <w:pStyle w:val="ListParagraph"/>
        <w:keepNext/>
        <w:numPr>
          <w:ilvl w:val="0"/>
          <w:numId w:val="3"/>
        </w:numPr>
        <w:spacing w:after="20" w:before="100"/>
      </w:pPr>
      <w:r>
        <w:t xml:space="preserve">Karaulov modelida shaxsning tushunchalar va qadriyatlar tizimi qaysi darajaga to‘g‘ri keladi?</w:t>
      </w:r>
    </w:p>
    <w:p>
      <w:pPr>
        <w:spacing w:after="0"/>
        <w:ind w:left="1069"/>
      </w:pPr>
      <w:r>
        <w:t xml:space="preserve">A) Verbal-semantik</w:t>
      </w:r>
    </w:p>
    <w:p>
      <w:pPr>
        <w:spacing w:after="0"/>
        <w:ind w:left="1069"/>
      </w:pPr>
      <w:r>
        <w:t xml:space="preserve">B) Lingvokognitiv (tezaurus)</w:t>
      </w:r>
    </w:p>
    <w:p>
      <w:pPr>
        <w:spacing w:after="0"/>
        <w:ind w:left="1069"/>
      </w:pPr>
      <w:r>
        <w:t xml:space="preserve">C) Motivatsion</w:t>
      </w:r>
    </w:p>
    <w:p>
      <w:pPr>
        <w:spacing w:after="0"/>
        <w:ind w:left="1069"/>
      </w:pPr>
      <w:r>
        <w:t xml:space="preserve">D) Fonetik</w:t>
      </w:r>
    </w:p>
    <w:p>
      <w:pPr>
        <w:pStyle w:val="ListParagraph"/>
        <w:keepNext/>
        <w:numPr>
          <w:ilvl w:val="0"/>
          <w:numId w:val="3"/>
        </w:numPr>
        <w:spacing w:after="20" w:before="100"/>
      </w:pPr>
      <w:r>
        <w:t xml:space="preserve">Xopi tilini o‘rganib, lingvistik nisbiylik g‘oyasini ilgari surgan olim kim?</w:t>
      </w:r>
    </w:p>
    <w:p>
      <w:pPr>
        <w:spacing w:after="0"/>
        <w:ind w:left="1069"/>
      </w:pPr>
      <w:r>
        <w:t xml:space="preserve">A) F. Boas</w:t>
      </w:r>
    </w:p>
    <w:p>
      <w:pPr>
        <w:spacing w:after="0"/>
        <w:ind w:left="1069"/>
      </w:pPr>
      <w:r>
        <w:t xml:space="preserve">B) B.L. Uorf</w:t>
      </w:r>
    </w:p>
    <w:p>
      <w:pPr>
        <w:spacing w:after="0"/>
        <w:ind w:left="1069"/>
      </w:pPr>
      <w:r>
        <w:t xml:space="preserve">C) L. Vaysgerber</w:t>
      </w:r>
    </w:p>
    <w:p>
      <w:pPr>
        <w:spacing w:after="0"/>
        <w:ind w:left="1069"/>
      </w:pPr>
      <w:r>
        <w:t xml:space="preserve">D) E. Rosh</w:t>
      </w:r>
    </w:p>
    <w:p>
      <w:pPr>
        <w:pStyle w:val="ListParagraph"/>
        <w:keepNext/>
        <w:numPr>
          <w:ilvl w:val="0"/>
          <w:numId w:val="3"/>
        </w:numPr>
        <w:spacing w:after="20" w:before="100"/>
      </w:pPr>
      <w:r>
        <w:t xml:space="preserve">«Tilning olam manzarasi» (sprachliches Weltbild) tushunchasini ilgari surgan olim kim?</w:t>
      </w:r>
    </w:p>
    <w:p>
      <w:pPr>
        <w:spacing w:after="0"/>
        <w:ind w:left="1069"/>
      </w:pPr>
      <w:r>
        <w:t xml:space="preserve">A) L. Vaysgerber</w:t>
      </w:r>
    </w:p>
    <w:p>
      <w:pPr>
        <w:spacing w:after="0"/>
        <w:ind w:left="1069"/>
      </w:pPr>
      <w:r>
        <w:t xml:space="preserve">B) E. Sepir</w:t>
      </w:r>
    </w:p>
    <w:p>
      <w:pPr>
        <w:spacing w:after="0"/>
        <w:ind w:left="1069"/>
      </w:pPr>
      <w:r>
        <w:t xml:space="preserve">C) A. Vejbitskaya</w:t>
      </w:r>
    </w:p>
    <w:p>
      <w:pPr>
        <w:spacing w:after="0"/>
        <w:ind w:left="1069"/>
      </w:pPr>
      <w:r>
        <w:t xml:space="preserve">D) Yu.D. Apresyan</w:t>
      </w:r>
    </w:p>
    <w:p>
      <w:pPr>
        <w:pStyle w:val="ListParagraph"/>
        <w:keepNext/>
        <w:numPr>
          <w:ilvl w:val="0"/>
          <w:numId w:val="3"/>
        </w:numPr>
        <w:spacing w:after="20" w:before="100"/>
      </w:pPr>
      <w:r>
        <w:t xml:space="preserve">Nutq hosil qilish va idrok etish jarayonlarini o‘rganuvchi yo‘nalishni ko‘rsating.</w:t>
      </w:r>
    </w:p>
    <w:p>
      <w:pPr>
        <w:spacing w:after="0"/>
        <w:ind w:left="1069"/>
      </w:pPr>
      <w:r>
        <w:t xml:space="preserve">A) Sotsiolingvistika</w:t>
      </w:r>
    </w:p>
    <w:p>
      <w:pPr>
        <w:spacing w:after="0"/>
        <w:ind w:left="1069"/>
      </w:pPr>
      <w:r>
        <w:t xml:space="preserve">B) Psixolingvistika</w:t>
      </w:r>
    </w:p>
    <w:p>
      <w:pPr>
        <w:spacing w:after="0"/>
        <w:ind w:left="1069"/>
      </w:pPr>
      <w:r>
        <w:t xml:space="preserve">C) Lingvokulturologiya</w:t>
      </w:r>
    </w:p>
    <w:p>
      <w:pPr>
        <w:spacing w:after="0"/>
        <w:ind w:left="1069"/>
      </w:pPr>
      <w:r>
        <w:t xml:space="preserve">D) Etnolingvistika</w:t>
      </w:r>
    </w:p>
    <w:p>
      <w:pPr>
        <w:pStyle w:val="ListParagraph"/>
        <w:keepNext/>
        <w:numPr>
          <w:ilvl w:val="0"/>
          <w:numId w:val="3"/>
        </w:numPr>
        <w:spacing w:after="20" w:before="100"/>
      </w:pPr>
      <w:r>
        <w:t xml:space="preserve">Nutqiy aktlar nazariyasi qaysi olimlar nomi bilan bog‘liq?</w:t>
      </w:r>
    </w:p>
    <w:p>
      <w:pPr>
        <w:spacing w:after="0"/>
        <w:ind w:left="1069"/>
      </w:pPr>
      <w:r>
        <w:t xml:space="preserve">A) J. Ostin, J. Syorl</w:t>
      </w:r>
    </w:p>
    <w:p>
      <w:pPr>
        <w:spacing w:after="0"/>
        <w:ind w:left="1069"/>
      </w:pPr>
      <w:r>
        <w:t xml:space="preserve">B) J. Lakoff, M. Jonson</w:t>
      </w:r>
    </w:p>
    <w:p>
      <w:pPr>
        <w:spacing w:after="0"/>
        <w:ind w:left="1069"/>
      </w:pPr>
      <w:r>
        <w:t xml:space="preserve">C) R. Shenk, R. Abelson</w:t>
      </w:r>
    </w:p>
    <w:p>
      <w:pPr>
        <w:spacing w:after="0"/>
        <w:ind w:left="1069"/>
      </w:pPr>
      <w:r>
        <w:t xml:space="preserve">D) E. Rosh, U. Labov</w:t>
      </w:r>
    </w:p>
    <w:p>
      <w:pPr>
        <w:spacing w:before="160"/>
      </w:pPr>
      <w:r>
        <w:rPr>
          <w:b/>
          <w:bCs/>
        </w:rPr>
        <w:t xml:space="preserve">Testlar kaliti: </w:t>
      </w:r>
      <w:r>
        <w:t xml:space="preserve">1–B; 2–B; 3–B; 4–A; 5–B; 6–A.</w:t>
      </w:r>
    </w:p>
    <w:p>
      <w:pPr>
        <w:pStyle w:val="Heading2"/>
      </w:pPr>
      <w:r>
        <w:t xml:space="preserve">Nazariy savollar</w:t>
      </w:r>
    </w:p>
    <w:p>
      <w:pPr>
        <w:pStyle w:val="ListParagraph"/>
        <w:numPr>
          <w:ilvl w:val="0"/>
          <w:numId w:val="4"/>
        </w:numPr>
        <w:spacing w:after="40"/>
        <w:jc w:val="both"/>
      </w:pPr>
      <w:r>
        <w:t xml:space="preserve">Sepir–Uorf gipotezasining kuchli va kuchsiz talqinlarini misollar bilan izohlang.</w:t>
      </w:r>
    </w:p>
    <w:p>
      <w:pPr>
        <w:pStyle w:val="ListParagraph"/>
        <w:numPr>
          <w:ilvl w:val="0"/>
          <w:numId w:val="4"/>
        </w:numPr>
        <w:spacing w:after="40"/>
        <w:jc w:val="both"/>
      </w:pPr>
      <w:r>
        <w:t xml:space="preserve">Neogumboldtchilikning asosiy g‘oyalari nimadan iborat?</w:t>
      </w:r>
    </w:p>
    <w:p>
      <w:pPr>
        <w:pStyle w:val="ListParagraph"/>
        <w:numPr>
          <w:ilvl w:val="0"/>
          <w:numId w:val="4"/>
        </w:numPr>
        <w:spacing w:after="40"/>
        <w:jc w:val="both"/>
      </w:pPr>
      <w:r>
        <w:t xml:space="preserve">Yu.N. Karaulov til shaxsi tuzilishida qaysi darajalarni ajratadi?</w:t>
      </w:r>
    </w:p>
    <w:p>
      <w:pPr>
        <w:pStyle w:val="ListParagraph"/>
        <w:numPr>
          <w:ilvl w:val="0"/>
          <w:numId w:val="4"/>
        </w:numPr>
        <w:spacing w:after="40"/>
        <w:jc w:val="both"/>
      </w:pPr>
      <w:r>
        <w:t xml:space="preserve">Antroposentrik tilshunoslikning asosiy yo‘nalishlari qanday masalalarni o‘rganadi?</w:t>
      </w:r>
    </w:p>
    <w:p>
      <w:pPr>
        <w:pStyle w:val="ListParagraph"/>
        <w:numPr>
          <w:ilvl w:val="0"/>
          <w:numId w:val="4"/>
        </w:numPr>
        <w:spacing w:after="40"/>
        <w:jc w:val="both"/>
      </w:pPr>
      <w:r>
        <w:t xml:space="preserve">O‘zbek tilshunosligida antroposentrik yo‘nalishdagi qaysi tadqiqotlarni bilasiz?</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Xudoyberganova D. Matnning antropotsentrik tadqiqi. – Toshkent: Fan, 2013.</w:t>
      </w:r>
    </w:p>
    <w:p>
      <w:pPr>
        <w:pStyle w:val="ListParagraph"/>
        <w:numPr>
          <w:ilvl w:val="0"/>
          <w:numId w:val="5"/>
        </w:numPr>
        <w:spacing w:after="40"/>
        <w:jc w:val="both"/>
      </w:pPr>
      <w:r>
        <w:t xml:space="preserve">Караулов Ю.Н. Русский язык и языковая личность. – М.: Наука, 1987.</w:t>
      </w:r>
    </w:p>
    <w:p>
      <w:pPr>
        <w:pStyle w:val="ListParagraph"/>
        <w:numPr>
          <w:ilvl w:val="0"/>
          <w:numId w:val="5"/>
        </w:numPr>
        <w:spacing w:after="40"/>
        <w:jc w:val="both"/>
      </w:pPr>
      <w:r>
        <w:t xml:space="preserve">Сепир Э. Избранные труды по языкознанию и культурологии. – М.: Прогресс, 1993.</w:t>
      </w:r>
    </w:p>
    <w:p>
      <w:pPr>
        <w:pStyle w:val="ListParagraph"/>
        <w:numPr>
          <w:ilvl w:val="0"/>
          <w:numId w:val="5"/>
        </w:numPr>
        <w:spacing w:after="40"/>
        <w:jc w:val="both"/>
      </w:pPr>
      <w:r>
        <w:t xml:space="preserve">Уорф Б.Л. Отношение норм поведения и мышления к языку // Новое в лингвистике. Вып. 1. – М.: Изд-во иностранной литературы, 1960.</w:t>
      </w:r>
    </w:p>
    <w:p>
      <w:pPr>
        <w:pStyle w:val="ListParagraph"/>
        <w:numPr>
          <w:ilvl w:val="0"/>
          <w:numId w:val="5"/>
        </w:numPr>
        <w:spacing w:after="40"/>
        <w:jc w:val="both"/>
      </w:pPr>
      <w:r>
        <w:t xml:space="preserve">Маслова В.А. Лингвокультурология. – М.: Академия, 2001.</w:t>
      </w:r>
    </w:p>
    <w:p>
      <w:pPr>
        <w:pStyle w:val="ListParagraph"/>
        <w:numPr>
          <w:ilvl w:val="0"/>
          <w:numId w:val="5"/>
        </w:numPr>
        <w:spacing w:after="40"/>
        <w:jc w:val="both"/>
      </w:pPr>
      <w:r>
        <w:t xml:space="preserve">Попова З.Д., Стернин И.А. Когнитивная лингвистика. – М.: АСТ: Восток–Запад, 2007.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2-AMALIY MASHG‘ULOT. TILSHUNOSLIKDA ANTROPOSENTRIZMNING SHAKLLANISHI (2-qism): LINGVISTIK NISBIYLIK VA TIL SHAXSI</dc:title>
  <dc:creator>Un-named</dc:creator>
  <cp:lastModifiedBy>Un-named</cp:lastModifiedBy>
  <cp:revision>1</cp:revision>
  <dcterms:created xsi:type="dcterms:W3CDTF">2026-10-30T07:58:17.398Z</dcterms:created>
  <dcterms:modified xsi:type="dcterms:W3CDTF">2026-10-30T07:58:17.398Z</dcterms:modified>
</cp:coreProperties>
</file>

<file path=docProps/custom.xml><?xml version="1.0" encoding="utf-8"?>
<Properties xmlns="http://schemas.openxmlformats.org/officeDocument/2006/custom-properties" xmlns:vt="http://schemas.openxmlformats.org/officeDocument/2006/docPropsVTypes"/>
</file>