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4-AMALIY MASHG‘ULOT. KOGNITIV TILSHUNOSLIK ATAMASINING MAZMUNI. TAFAKKURNING TURLARI VA UNIVERSAL PREDMET KODI (UPK)</w:t>
      </w:r>
    </w:p>
    <w:p>
      <w:pPr>
        <w:spacing w:after="160"/>
        <w:jc w:val="both"/>
      </w:pPr>
      <w:r>
        <w:rPr>
          <w:b/>
          <w:bCs/>
        </w:rPr>
        <w:t xml:space="preserve">Mashg‘ulot maqsadi: </w:t>
      </w:r>
      <w:r>
        <w:rPr>
          <w:i/>
          <w:iCs/>
        </w:rPr>
        <w:t xml:space="preserve">«Kognitiv» atamasi va unga yaqin atamalar mazmunini o‘zlashtirish; tafakkur turlarini amaliy vaziyatlarda farqlash; universal predmet kodi (UPK) gipotezasini turli tillardagi ifodalarni qiyoslash orqali tushuntirish ko‘nikmasini shakllantirish.</w:t>
      </w:r>
    </w:p>
    <w:p>
      <w:pPr>
        <w:pStyle w:val="Heading2"/>
      </w:pPr>
      <w:r>
        <w:t xml:space="preserve">I. Amaliy topshiriqlar</w:t>
      </w:r>
    </w:p>
    <w:p>
      <w:pPr>
        <w:keepNext/>
        <w:spacing w:after="80" w:before="200"/>
        <w:jc w:val="both"/>
      </w:pPr>
      <w:r>
        <w:rPr>
          <w:b/>
          <w:bCs/>
        </w:rPr>
        <w:t xml:space="preserve">1-topshiriq. Kognitiv tilshunoslik atamalarining etimologiyasini aniqlang.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41"/>
      </w:tblGrid>
      <w:tr>
        <w:trPr>
          <w:tblHeader/>
        </w:trPr>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Atama</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Manba til</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Asl shakli va ma’nosi</w:t>
            </w:r>
          </w:p>
        </w:tc>
        <w:tc>
          <w:tcPr>
            <w:tcW w:type="dxa" w:w="23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Kognitiv tilshunoslikdagi ma’nosi</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kognitiv</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lotin tili</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cognitio – bilish, anglash</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bilish jarayonlariga oid</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konsept</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kategoriya</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geshtalt</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freym</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skript</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ssenariy</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bl>
    <w:p>
      <w:pPr>
        <w:spacing w:after="60"/>
      </w:pPr>
    </w:p>
    <w:p>
      <w:pPr>
        <w:pBdr>
          <w:left w:val="single" w:color="2E75B6" w:sz="12" w:space="6"/>
        </w:pBdr>
        <w:shd w:fill="F2F2F2" w:color="auto" w:val="clear"/>
        <w:spacing w:after="40"/>
        <w:ind w:left="284"/>
        <w:jc w:val="both"/>
      </w:pPr>
      <w:r>
        <w:rPr>
          <w:b/>
          <w:bCs/>
        </w:rPr>
        <w:t xml:space="preserve">Namuna:</w:t>
      </w:r>
      <w:r>
        <w:t xml:space="preserve"> Birinchi qator to‘ldirilgan. «Kognitiv» atamasi lotincha «cognitio» (bilish) so‘zidan olingan. Kognitiv tilshunoslikda u til birliklarining inson bilish faoliyati – idrok, xotira, tafakkur, kategoriyalash bilan bog‘liqligini bildiradi.</w:t>
      </w:r>
    </w:p>
    <w:p>
      <w:pPr>
        <w:keepNext/>
        <w:spacing w:after="80" w:before="200"/>
        <w:jc w:val="both"/>
      </w:pPr>
      <w:r>
        <w:rPr>
          <w:b/>
          <w:bCs/>
        </w:rPr>
        <w:t xml:space="preserve">2-topshiriq. Vaziyatlarda tafakkurning qaysi turi yetakchi ekanini aniqlang.</w:t>
      </w:r>
    </w:p>
    <w:p>
      <w:pPr>
        <w:pStyle w:val="ListParagraph"/>
        <w:numPr>
          <w:ilvl w:val="0"/>
          <w:numId w:val="2"/>
        </w:numPr>
        <w:spacing w:after="40"/>
        <w:jc w:val="both"/>
      </w:pPr>
      <w:r>
        <w:t xml:space="preserve">Ikki yoshli bola kubiklarni bir-birining ustiga qo‘yib, minora qurishga urinadi; minora qulasa, kubiklarni boshqacha joylashtiradi.</w:t>
      </w:r>
    </w:p>
    <w:p>
      <w:pPr>
        <w:pStyle w:val="ListParagraph"/>
        <w:numPr>
          <w:ilvl w:val="0"/>
          <w:numId w:val="2"/>
        </w:numPr>
        <w:spacing w:after="40"/>
        <w:jc w:val="both"/>
      </w:pPr>
      <w:r>
        <w:t xml:space="preserve">Me’mor yangi bino loyihasini ko‘z oldiga keltirib, eskiz chizadi.</w:t>
      </w:r>
    </w:p>
    <w:p>
      <w:pPr>
        <w:pStyle w:val="ListParagraph"/>
        <w:numPr>
          <w:ilvl w:val="0"/>
          <w:numId w:val="2"/>
        </w:numPr>
        <w:spacing w:after="40"/>
        <w:jc w:val="both"/>
      </w:pPr>
      <w:r>
        <w:t xml:space="preserve">Talaba sillogizm asosida xulosa chiqaradi: «Barcha konseptlar ongda mavjud. "Vatan" – konsept. Demak, "Vatan" ongda mavjud.»</w:t>
      </w:r>
    </w:p>
    <w:p>
      <w:pPr>
        <w:pStyle w:val="ListParagraph"/>
        <w:numPr>
          <w:ilvl w:val="0"/>
          <w:numId w:val="2"/>
        </w:numPr>
        <w:spacing w:after="40"/>
        <w:jc w:val="both"/>
      </w:pPr>
      <w:r>
        <w:t xml:space="preserve">Haydovchi mashinani tor joyga qo‘yish uchun rulni bir necha marta burab ko‘radi.</w:t>
      </w:r>
    </w:p>
    <w:p>
      <w:pPr>
        <w:pStyle w:val="ListParagraph"/>
        <w:numPr>
          <w:ilvl w:val="0"/>
          <w:numId w:val="2"/>
        </w:numPr>
        <w:spacing w:after="40"/>
        <w:jc w:val="both"/>
      </w:pPr>
      <w:r>
        <w:t xml:space="preserve">Shoir kuz manzarasini she’rga solishdan oldin uni xayolan «ko‘radi».</w:t>
      </w:r>
    </w:p>
    <w:p>
      <w:pPr>
        <w:pBdr>
          <w:left w:val="single" w:color="2E75B6" w:sz="12" w:space="6"/>
        </w:pBdr>
        <w:shd w:fill="F2F2F2" w:color="auto" w:val="clear"/>
        <w:spacing w:after="40"/>
        <w:ind w:left="284"/>
        <w:jc w:val="both"/>
      </w:pPr>
      <w:r>
        <w:rPr>
          <w:b/>
          <w:bCs/>
        </w:rPr>
        <w:t xml:space="preserve">Namuna:</w:t>
      </w:r>
      <w:r>
        <w:t xml:space="preserve"> «Ikki yoshli bola kubiklarni...» – </w:t>
      </w:r>
      <w:r>
        <w:rPr>
          <w:b/>
          <w:bCs/>
        </w:rPr>
        <w:t xml:space="preserve">ko‘rgazmali-harakatli tafakkur</w:t>
      </w:r>
      <w:r>
        <w:t xml:space="preserve">. Bola masalani predmetlar bilan amaliy harakat qilish, ya’ni sinab ko‘rish va xatoni tuzatish orqali hal qilmoqda; bu jarayon so‘z va mantiqiy xulosalarsiz kechadi.</w:t>
      </w:r>
    </w:p>
    <w:p>
      <w:pPr>
        <w:keepNext/>
        <w:spacing w:after="80" w:before="200"/>
        <w:jc w:val="both"/>
      </w:pPr>
      <w:r>
        <w:rPr>
          <w:b/>
          <w:bCs/>
        </w:rPr>
        <w:t xml:space="preserve">3-topshiriq. Bir vaziyatni uch tilda ifodalab, UPK mazmunini va tilga xos shakllarni ajrating.</w:t>
      </w:r>
    </w:p>
    <w:p>
      <w:pPr>
        <w:spacing w:after="80"/>
        <w:ind w:firstLine="709"/>
        <w:jc w:val="both"/>
      </w:pPr>
      <w:r>
        <w:t xml:space="preserve">Quyidagi vaziyatlarni o‘zbek, rus va ingliz tillarida ifodalang: 1) «Qizcha mushukchani quchoqlab turibdi»; 2) «Kecha qattiq yomg‘ir yog‘di»; 3) «Talabalar kutubxonaga kirishdi».</w:t>
      </w:r>
    </w:p>
    <w:p>
      <w:pPr>
        <w:pBdr>
          <w:left w:val="single" w:color="2E75B6" w:sz="12" w:space="6"/>
        </w:pBdr>
        <w:shd w:fill="F2F2F2" w:color="auto" w:val="clear"/>
        <w:spacing w:after="40"/>
        <w:ind w:left="284"/>
        <w:jc w:val="both"/>
      </w:pPr>
      <w:r>
        <w:rPr>
          <w:b/>
          <w:bCs/>
        </w:rPr>
        <w:t xml:space="preserve">Namuna.</w:t>
      </w:r>
      <w:r>
        <w:t xml:space="preserve"> Vaziyat: «Bola daraxtdan olma uzyapti». O‘zbekcha: «Bola daraxtdan olma uzyapti». Ruscha: «Мальчик срывает яблоко с дерева». Inglizcha: «A boy is picking an apple from a tree».</w:t>
      </w:r>
    </w:p>
    <w:p>
      <w:pPr>
        <w:pBdr>
          <w:left w:val="single" w:color="2E75B6" w:sz="12" w:space="6"/>
        </w:pBdr>
        <w:shd w:fill="F2F2F2" w:color="auto" w:val="clear"/>
        <w:spacing w:after="40"/>
        <w:ind w:left="284"/>
        <w:jc w:val="both"/>
      </w:pPr>
      <w:r>
        <w:t xml:space="preserve">– </w:t>
      </w:r>
      <w:r>
        <w:rPr>
          <w:b/>
          <w:bCs/>
        </w:rPr>
        <w:t xml:space="preserve">UPK darajasidagi umumiy mazmun:</w:t>
      </w:r>
      <w:r>
        <w:t xml:space="preserve"> harakat qiluvchi (bola), harakat (uzish), ob’ekt (olma), manba (daraxt), harakatning hozir davom etayotgani.</w:t>
      </w:r>
    </w:p>
    <w:p>
      <w:pPr>
        <w:pBdr>
          <w:left w:val="single" w:color="2E75B6" w:sz="12" w:space="6"/>
        </w:pBdr>
        <w:shd w:fill="F2F2F2" w:color="auto" w:val="clear"/>
        <w:spacing w:after="40"/>
        <w:ind w:left="284"/>
        <w:jc w:val="both"/>
      </w:pPr>
      <w:r>
        <w:t xml:space="preserve">– </w:t>
      </w:r>
      <w:r>
        <w:rPr>
          <w:b/>
          <w:bCs/>
        </w:rPr>
        <w:t xml:space="preserve">Tilga xos shakllar:</w:t>
      </w:r>
      <w:r>
        <w:t xml:space="preserve"> ingliz tilida artikl (a, an) majburiy, o‘zbek va rus tillarida yo‘q; rus tilida «мальчик» so‘zi grammatik jinsni ko‘rsatadi; o‘zbek tilida «bola» jinsni farqlamaydi; so‘z tartibi o‘zbek tilida SOV, rus va ingliz tillarida SVO.</w:t>
      </w:r>
    </w:p>
    <w:p>
      <w:pPr>
        <w:pBdr>
          <w:left w:val="single" w:color="2E75B6" w:sz="12" w:space="6"/>
        </w:pBdr>
        <w:shd w:fill="F2F2F2" w:color="auto" w:val="clear"/>
        <w:spacing w:after="40"/>
        <w:ind w:left="284"/>
        <w:jc w:val="both"/>
      </w:pPr>
      <w:r>
        <w:t xml:space="preserve">– </w:t>
      </w:r>
      <w:r>
        <w:rPr>
          <w:b/>
          <w:bCs/>
        </w:rPr>
        <w:t xml:space="preserve">Xulosa:</w:t>
      </w:r>
      <w:r>
        <w:t xml:space="preserve"> fikr mazmuni (UPK) bir xil, lekin har bir til uni o‘z grammatik «majburiyatlari» asosida verballashtiradi.</w:t>
      </w:r>
    </w:p>
    <w:p>
      <w:pPr>
        <w:keepNext/>
        <w:spacing w:after="80" w:before="200"/>
        <w:jc w:val="both"/>
      </w:pPr>
      <w:r>
        <w:rPr>
          <w:b/>
          <w:bCs/>
        </w:rPr>
        <w:t xml:space="preserve">4-topshiriq. «Tilning uchida turibdi» holatini kuzatish kundaligini tuzing.</w:t>
      </w:r>
    </w:p>
    <w:p>
      <w:pPr>
        <w:spacing w:after="80"/>
        <w:ind w:firstLine="709"/>
        <w:jc w:val="both"/>
      </w:pPr>
      <w:r>
        <w:t xml:space="preserve">Bir hafta davomida so‘zni eslay olmagan holatlaringizni qayd eting: vaziyat, eslay olmagan so‘z, ayni paytda nima eslanganini (birinchi harf, bo‘g‘inlar soni, o‘xshash so‘z, obraz) va so‘z qanday eslanganini yozing.</w:t>
      </w:r>
    </w:p>
    <w:p>
      <w:pPr>
        <w:pBdr>
          <w:left w:val="single" w:color="2E75B6" w:sz="12" w:space="6"/>
        </w:pBdr>
        <w:shd w:fill="F2F2F2" w:color="auto" w:val="clear"/>
        <w:spacing w:after="40"/>
        <w:ind w:left="284"/>
        <w:jc w:val="both"/>
      </w:pPr>
      <w:r>
        <w:rPr>
          <w:b/>
          <w:bCs/>
        </w:rPr>
        <w:t xml:space="preserve">Namuna yozuv:</w:t>
      </w:r>
      <w:r>
        <w:t xml:space="preserve"> Vaziyat: do‘stimga kitob haqida gapirib berayotgan edim. Eslay olmagan so‘z: «avtobiografiya». Ongda bo‘lgan narsa: so‘z «avto-» bilan boshlanishi, uzunligi, «biografiya» bilan bog‘liqligi, muallif o‘zi haqida yozgani. Natija: ikki daqiqadan so‘ng esladim. Xulosa: fikr va so‘zning ma’nosi ongda mavjud edi, faqat uning tovush shakli faollashmadi. Bu tafakkurning lisoniy shakldan muayyan darajada mustaqilligini ko‘rsatadi.</w:t>
      </w:r>
    </w:p>
    <w:p>
      <w:pPr>
        <w:pStyle w:val="Heading2"/>
      </w:pPr>
      <w:r>
        <w:t xml:space="preserve">II. Keys-stadi</w:t>
      </w:r>
    </w:p>
    <w:p>
      <w:pPr>
        <w:keepNext/>
        <w:spacing w:after="80" w:before="200"/>
        <w:jc w:val="both"/>
      </w:pPr>
      <w:r>
        <w:rPr>
          <w:b/>
          <w:bCs/>
        </w:rPr>
        <w:t xml:space="preserve">Keys: «Kompozitor V. Shebalin fenomeni».</w:t>
      </w:r>
    </w:p>
    <w:p>
      <w:pPr>
        <w:spacing w:after="80"/>
        <w:ind w:firstLine="709"/>
        <w:jc w:val="both"/>
      </w:pPr>
      <w:r>
        <w:t xml:space="preserve">Rus kompozitori Vissarion Shebalin (1902–1963) insultlardan so‘ng og‘ir sensor afaziyaga uchragan: u nutqni tushunish va so‘zlashda jiddiy qiynalgan. Shunga qaramay, u ijodini davom ettirib, Beshinchi simfoniyasini yakunlagan. D. Shostakovich bu asarni yuksak baholagan. Bu holatni neyropsixolog A.R. Luriya va hammualliflari ilmiy adabiyotda tavsiflagan.</w:t>
      </w:r>
    </w:p>
    <w:p>
      <w:pPr>
        <w:spacing w:after="80"/>
        <w:ind w:firstLine="709"/>
        <w:jc w:val="both"/>
      </w:pPr>
      <w:r>
        <w:t xml:space="preserve">Topshiriqlar:</w:t>
      </w:r>
    </w:p>
    <w:p>
      <w:pPr>
        <w:pStyle w:val="ListParagraph"/>
        <w:numPr>
          <w:ilvl w:val="0"/>
          <w:numId w:val="2"/>
        </w:numPr>
        <w:spacing w:after="40"/>
        <w:jc w:val="both"/>
      </w:pPr>
      <w:r>
        <w:t xml:space="preserve">Ushbu holat til va tafakkur munosabati haqida qanday xulosa chiqarishga imkon beradi?</w:t>
      </w:r>
    </w:p>
    <w:p>
      <w:pPr>
        <w:pStyle w:val="ListParagraph"/>
        <w:numPr>
          <w:ilvl w:val="0"/>
          <w:numId w:val="2"/>
        </w:numPr>
        <w:spacing w:after="40"/>
        <w:jc w:val="both"/>
      </w:pPr>
      <w:r>
        <w:t xml:space="preserve">Kompozitorning ijodiy tafakkuri qaysi turga mansub?</w:t>
      </w:r>
    </w:p>
    <w:p>
      <w:pPr>
        <w:pStyle w:val="ListParagraph"/>
        <w:numPr>
          <w:ilvl w:val="0"/>
          <w:numId w:val="2"/>
        </w:numPr>
        <w:spacing w:after="40"/>
        <w:jc w:val="both"/>
      </w:pPr>
      <w:r>
        <w:t xml:space="preserve">Bu keys N.I. Jinkinning UPK gipotezasini qo‘llab-quvvatlaydimi?</w:t>
      </w:r>
    </w:p>
    <w:p>
      <w:pPr>
        <w:pBdr>
          <w:left w:val="single" w:color="2E75B6" w:sz="12" w:space="6"/>
        </w:pBdr>
        <w:shd w:fill="F2F2F2" w:color="auto" w:val="clear"/>
        <w:spacing w:after="40"/>
        <w:ind w:left="284"/>
        <w:jc w:val="both"/>
      </w:pPr>
      <w:r>
        <w:rPr>
          <w:b/>
          <w:bCs/>
        </w:rPr>
        <w:t xml:space="preserve">Namuna javob (1-savol):</w:t>
      </w:r>
      <w:r>
        <w:t xml:space="preserve"> Keys tafakkurning muhim qismi, ayniqsa obrazli va musiqiy tafakkur, nutq mexanizmlaridan mustaqil ishlashi mumkinligini ko‘rsatadi. Nutqni tushunish va hosil qilish buzilgan bo‘lsa ham, murakkab ijodiy faoliyat saqlanib qolgan. Demak, til va tafakkur chambarchas bog‘liq, lekin aynan bir narsa emas.</w:t>
      </w:r>
    </w:p>
    <w:p>
      <w:pPr>
        <w:pStyle w:val="Heading2"/>
      </w:pPr>
      <w:r>
        <w:t xml:space="preserve">III. Kazuslar</w:t>
      </w:r>
    </w:p>
    <w:p>
      <w:pPr>
        <w:keepNext/>
        <w:spacing w:after="80" w:before="200"/>
        <w:jc w:val="both"/>
      </w:pPr>
      <w:r>
        <w:rPr>
          <w:b/>
          <w:bCs/>
        </w:rPr>
        <w:t xml:space="preserve">1-kazus. Bir kishi shunday dedi: «Kar-soqov odamlar so‘zlarni eshitmagani uchun ular so‘z-mantiqiy tafakkurga ega emas.» Bu fikrga munosabat bildiring.</w:t>
      </w:r>
    </w:p>
    <w:p>
      <w:pPr>
        <w:pBdr>
          <w:left w:val="single" w:color="2E75B6" w:sz="12" w:space="6"/>
        </w:pBdr>
        <w:shd w:fill="F2F2F2" w:color="auto" w:val="clear"/>
        <w:spacing w:after="40"/>
        <w:ind w:left="284"/>
        <w:jc w:val="both"/>
      </w:pPr>
      <w:r>
        <w:rPr>
          <w:b/>
          <w:bCs/>
        </w:rPr>
        <w:t xml:space="preserve">Namuna yechim:</w:t>
      </w:r>
      <w:r>
        <w:t xml:space="preserve"> Fikr noto‘g‘ri. Imo-ishora tillari (masalan, Amerika imo-ishora tili – ASL) to‘laqonli tillar hisoblanadi: ular o‘z leksikasi, grammatikasi va sintaksisiga ega. Bu tillarda so‘zlashuvchilar mavhum tushunchalar bilan fikrlaydi, mantiqiy xulosa chiqaradi, she’r yaratadi. Demak, so‘z-mantiqiy tafakkur tovushli nutqqa emas, til tizimiga – uning qaysi shaklda bo‘lishidan qat’i nazar – bog‘liq.</w:t>
      </w:r>
    </w:p>
    <w:p>
      <w:pPr>
        <w:keepNext/>
        <w:spacing w:after="80" w:before="200"/>
        <w:jc w:val="both"/>
      </w:pPr>
      <w:r>
        <w:rPr>
          <w:b/>
          <w:bCs/>
        </w:rPr>
        <w:t xml:space="preserve">2-kazus. Talaba «Men har doim ichimda gapirib o‘ylayman, demak, tafakkur va til – bir narsa» degan xulosaga keldi. Uning xulosasi to‘g‘rimi?</w:t>
      </w:r>
    </w:p>
    <w:p>
      <w:pPr>
        <w:pBdr>
          <w:left w:val="single" w:color="2E75B6" w:sz="12" w:space="6"/>
        </w:pBdr>
        <w:shd w:fill="F2F2F2" w:color="auto" w:val="clear"/>
        <w:spacing w:after="40"/>
        <w:ind w:left="284"/>
        <w:jc w:val="both"/>
      </w:pPr>
      <w:r>
        <w:rPr>
          <w:b/>
          <w:bCs/>
        </w:rPr>
        <w:t xml:space="preserve">Namuna yechim (yo‘nalish):</w:t>
      </w:r>
      <w:r>
        <w:t xml:space="preserve"> Ichki nutq haqiqatan ham so‘z-mantiqiy tafakkurning muhim shakli. Lekin ichki nutq tashqi nutqdan farq qiladi: u qisqargan, predikativ, «yarim so‘zli» bo‘ladi (L.S. Vigotskiy). Bundan tashqari, obrazli tafakkur va «tilning uchida turibdi» holatlari ham mavjud...</w:t>
      </w:r>
    </w:p>
    <w:p>
      <w:pPr>
        <w:pStyle w:val="Heading2"/>
      </w:pPr>
      <w:r>
        <w:t xml:space="preserve">IV. Testlar</w:t>
      </w:r>
    </w:p>
    <w:p>
      <w:pPr>
        <w:pStyle w:val="ListParagraph"/>
        <w:keepNext/>
        <w:numPr>
          <w:ilvl w:val="0"/>
          <w:numId w:val="3"/>
        </w:numPr>
        <w:spacing w:after="20" w:before="100"/>
      </w:pPr>
      <w:r>
        <w:t xml:space="preserve">«Kognitiv» so‘zi qaysi tildan olingan va qanday ma’noni bildiradi?</w:t>
      </w:r>
    </w:p>
    <w:p>
      <w:pPr>
        <w:spacing w:after="0"/>
        <w:ind w:left="1069"/>
      </w:pPr>
      <w:r>
        <w:t xml:space="preserve">A) Yunon tili – «tushuncha»</w:t>
      </w:r>
    </w:p>
    <w:p>
      <w:pPr>
        <w:spacing w:after="0"/>
        <w:ind w:left="1069"/>
      </w:pPr>
      <w:r>
        <w:t xml:space="preserve">B) Lotin tili – «bilish, anglash»</w:t>
      </w:r>
    </w:p>
    <w:p>
      <w:pPr>
        <w:spacing w:after="0"/>
        <w:ind w:left="1069"/>
      </w:pPr>
      <w:r>
        <w:t xml:space="preserve">C) Nemis tili – «shakl»</w:t>
      </w:r>
    </w:p>
    <w:p>
      <w:pPr>
        <w:spacing w:after="0"/>
        <w:ind w:left="1069"/>
      </w:pPr>
      <w:r>
        <w:t xml:space="preserve">D) Ingliz tili – «ramka»</w:t>
      </w:r>
    </w:p>
    <w:p>
      <w:pPr>
        <w:pStyle w:val="ListParagraph"/>
        <w:keepNext/>
        <w:numPr>
          <w:ilvl w:val="0"/>
          <w:numId w:val="3"/>
        </w:numPr>
        <w:spacing w:after="20" w:before="100"/>
      </w:pPr>
      <w:r>
        <w:t xml:space="preserve">Me’mor yoki rassom ijodida qaysi tafakkur turi yetakchi?</w:t>
      </w:r>
    </w:p>
    <w:p>
      <w:pPr>
        <w:spacing w:after="0"/>
        <w:ind w:left="1069"/>
      </w:pPr>
      <w:r>
        <w:t xml:space="preserve">A) Ko‘rgazmali-harakatli</w:t>
      </w:r>
    </w:p>
    <w:p>
      <w:pPr>
        <w:spacing w:after="0"/>
        <w:ind w:left="1069"/>
      </w:pPr>
      <w:r>
        <w:t xml:space="preserve">B) Ko‘rgazmali-obrazli</w:t>
      </w:r>
    </w:p>
    <w:p>
      <w:pPr>
        <w:spacing w:after="0"/>
        <w:ind w:left="1069"/>
      </w:pPr>
      <w:r>
        <w:t xml:space="preserve">C) So‘z-mantiqiy</w:t>
      </w:r>
    </w:p>
    <w:p>
      <w:pPr>
        <w:spacing w:after="0"/>
        <w:ind w:left="1069"/>
      </w:pPr>
      <w:r>
        <w:t xml:space="preserve">D) Reproduktiv</w:t>
      </w:r>
    </w:p>
    <w:p>
      <w:pPr>
        <w:pStyle w:val="ListParagraph"/>
        <w:keepNext/>
        <w:numPr>
          <w:ilvl w:val="0"/>
          <w:numId w:val="3"/>
        </w:numPr>
        <w:spacing w:after="20" w:before="100"/>
      </w:pPr>
      <w:r>
        <w:t xml:space="preserve">Universal predmet kodi (UPK) gipotezasini ilgari surgan olim kim?</w:t>
      </w:r>
    </w:p>
    <w:p>
      <w:pPr>
        <w:spacing w:after="0"/>
        <w:ind w:left="1069"/>
      </w:pPr>
      <w:r>
        <w:t xml:space="preserve">A) L.S. Vigotskiy</w:t>
      </w:r>
    </w:p>
    <w:p>
      <w:pPr>
        <w:spacing w:after="0"/>
        <w:ind w:left="1069"/>
      </w:pPr>
      <w:r>
        <w:t xml:space="preserve">B) N.I. Jinkin</w:t>
      </w:r>
    </w:p>
    <w:p>
      <w:pPr>
        <w:spacing w:after="0"/>
        <w:ind w:left="1069"/>
      </w:pPr>
      <w:r>
        <w:t xml:space="preserve">C) J. Fodor</w:t>
      </w:r>
    </w:p>
    <w:p>
      <w:pPr>
        <w:spacing w:after="0"/>
        <w:ind w:left="1069"/>
      </w:pPr>
      <w:r>
        <w:t xml:space="preserve">D) S. Pinker</w:t>
      </w:r>
    </w:p>
    <w:p>
      <w:pPr>
        <w:pStyle w:val="ListParagraph"/>
        <w:keepNext/>
        <w:numPr>
          <w:ilvl w:val="0"/>
          <w:numId w:val="3"/>
        </w:numPr>
        <w:spacing w:after="20" w:before="100"/>
      </w:pPr>
      <w:r>
        <w:t xml:space="preserve">«Mentalez» (mentalese) atamasi qaysi olimlar ishlari bilan bog‘liq?</w:t>
      </w:r>
    </w:p>
    <w:p>
      <w:pPr>
        <w:spacing w:after="0"/>
        <w:ind w:left="1069"/>
      </w:pPr>
      <w:r>
        <w:t xml:space="preserve">A) J. Fodor, S. Pinker</w:t>
      </w:r>
    </w:p>
    <w:p>
      <w:pPr>
        <w:spacing w:after="0"/>
        <w:ind w:left="1069"/>
      </w:pPr>
      <w:r>
        <w:t xml:space="preserve">B) J. Lakoff, M. Jonson</w:t>
      </w:r>
    </w:p>
    <w:p>
      <w:pPr>
        <w:spacing w:after="0"/>
        <w:ind w:left="1069"/>
      </w:pPr>
      <w:r>
        <w:t xml:space="preserve">C) E. Rosh, U. Labov</w:t>
      </w:r>
    </w:p>
    <w:p>
      <w:pPr>
        <w:spacing w:after="0"/>
        <w:ind w:left="1069"/>
      </w:pPr>
      <w:r>
        <w:t xml:space="preserve">D) Ch. Fillmor, M. Minskiy</w:t>
      </w:r>
    </w:p>
    <w:p>
      <w:pPr>
        <w:pStyle w:val="ListParagraph"/>
        <w:keepNext/>
        <w:numPr>
          <w:ilvl w:val="0"/>
          <w:numId w:val="3"/>
        </w:numPr>
        <w:spacing w:after="20" w:before="100"/>
      </w:pPr>
      <w:r>
        <w:t xml:space="preserve">Nolisoniy tafakkur mavjudligini qaysi dalil tasdiqlaydi?</w:t>
      </w:r>
    </w:p>
    <w:p>
      <w:pPr>
        <w:spacing w:after="0"/>
        <w:ind w:left="1069"/>
      </w:pPr>
      <w:r>
        <w:t xml:space="preserve">A) Odamlarning ko‘p tilli bo‘lishi</w:t>
      </w:r>
    </w:p>
    <w:p>
      <w:pPr>
        <w:spacing w:after="0"/>
        <w:ind w:left="1069"/>
      </w:pPr>
      <w:r>
        <w:t xml:space="preserve">B) Afaziya bilan og‘rigan bemorlarning mantiqiy masalalarni yecha olishi</w:t>
      </w:r>
    </w:p>
    <w:p>
      <w:pPr>
        <w:spacing w:after="0"/>
        <w:ind w:left="1069"/>
      </w:pPr>
      <w:r>
        <w:t xml:space="preserve">C) Tillarda sinonimlarning mavjudligi</w:t>
      </w:r>
    </w:p>
    <w:p>
      <w:pPr>
        <w:spacing w:after="0"/>
        <w:ind w:left="1069"/>
      </w:pPr>
      <w:r>
        <w:t xml:space="preserve">D) Yozuvning paydo bo‘lishi</w:t>
      </w:r>
    </w:p>
    <w:p>
      <w:pPr>
        <w:pStyle w:val="ListParagraph"/>
        <w:keepNext/>
        <w:numPr>
          <w:ilvl w:val="0"/>
          <w:numId w:val="3"/>
        </w:numPr>
        <w:spacing w:after="20" w:before="100"/>
      </w:pPr>
      <w:r>
        <w:t xml:space="preserve">Kognitiv fanni olti fanning kesishmasi sifatida tasvirlagan olim kim?</w:t>
      </w:r>
    </w:p>
    <w:p>
      <w:pPr>
        <w:spacing w:after="0"/>
        <w:ind w:left="1069"/>
      </w:pPr>
      <w:r>
        <w:t xml:space="preserve">A) G. Gardner</w:t>
      </w:r>
    </w:p>
    <w:p>
      <w:pPr>
        <w:spacing w:after="0"/>
        <w:ind w:left="1069"/>
      </w:pPr>
      <w:r>
        <w:t xml:space="preserve">B) N. Xomskiy</w:t>
      </w:r>
    </w:p>
    <w:p>
      <w:pPr>
        <w:spacing w:after="0"/>
        <w:ind w:left="1069"/>
      </w:pPr>
      <w:r>
        <w:t xml:space="preserve">C) J. Miller</w:t>
      </w:r>
    </w:p>
    <w:p>
      <w:pPr>
        <w:spacing w:after="0"/>
        <w:ind w:left="1069"/>
      </w:pPr>
      <w:r>
        <w:t xml:space="preserve">D) R. Lenekker</w:t>
      </w:r>
    </w:p>
    <w:p>
      <w:pPr>
        <w:spacing w:before="160"/>
      </w:pPr>
      <w:r>
        <w:rPr>
          <w:b/>
          <w:bCs/>
        </w:rPr>
        <w:t xml:space="preserve">Testlar kaliti: </w:t>
      </w:r>
      <w:r>
        <w:t xml:space="preserve">1–B; 2–B; 3–B; 4–A; 5–B; 6–A.</w:t>
      </w:r>
    </w:p>
    <w:p>
      <w:pPr>
        <w:pStyle w:val="Heading2"/>
      </w:pPr>
      <w:r>
        <w:t xml:space="preserve">Nazariy savollar</w:t>
      </w:r>
    </w:p>
    <w:p>
      <w:pPr>
        <w:pStyle w:val="ListParagraph"/>
        <w:numPr>
          <w:ilvl w:val="0"/>
          <w:numId w:val="4"/>
        </w:numPr>
        <w:spacing w:after="40"/>
        <w:jc w:val="both"/>
      </w:pPr>
      <w:r>
        <w:t xml:space="preserve">«Kognitiv», «kognitsiya», «kognitologiya» atamalarini izohlang.</w:t>
      </w:r>
    </w:p>
    <w:p>
      <w:pPr>
        <w:pStyle w:val="ListParagraph"/>
        <w:numPr>
          <w:ilvl w:val="0"/>
          <w:numId w:val="4"/>
        </w:numPr>
        <w:spacing w:after="40"/>
        <w:jc w:val="both"/>
      </w:pPr>
      <w:r>
        <w:t xml:space="preserve">Psixologiyada ajratiladigan tafakkur turlarini tavsiflang.</w:t>
      </w:r>
    </w:p>
    <w:p>
      <w:pPr>
        <w:pStyle w:val="ListParagraph"/>
        <w:numPr>
          <w:ilvl w:val="0"/>
          <w:numId w:val="4"/>
        </w:numPr>
        <w:spacing w:after="40"/>
        <w:jc w:val="both"/>
      </w:pPr>
      <w:r>
        <w:t xml:space="preserve">Lisoniy va nolisoniy tafakkurning farqi nimada?</w:t>
      </w:r>
    </w:p>
    <w:p>
      <w:pPr>
        <w:pStyle w:val="ListParagraph"/>
        <w:numPr>
          <w:ilvl w:val="0"/>
          <w:numId w:val="4"/>
        </w:numPr>
        <w:spacing w:after="40"/>
        <w:jc w:val="both"/>
      </w:pPr>
      <w:r>
        <w:t xml:space="preserve">N.I. Jinkinning universal predmet kodi haqidagi g‘oyasini izohlang.</w:t>
      </w:r>
    </w:p>
    <w:p>
      <w:pPr>
        <w:pStyle w:val="ListParagraph"/>
        <w:numPr>
          <w:ilvl w:val="0"/>
          <w:numId w:val="4"/>
        </w:numPr>
        <w:spacing w:after="40"/>
        <w:jc w:val="both"/>
      </w:pPr>
      <w:r>
        <w:t xml:space="preserve">«Mentalez» gipotezasi va UPK gipotezasini qiyoslang.</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Кубрякова Е.С. Язык и знание: На пути получения знаний о языке: Части речи с когнитивной точки зрения. Роль языка в познании мира. – М.: Языки славянской культуры, 2004.</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Выготский Л.С. Мышление и речь. – М.; Л.: Соцэкгиз, 1934.</w:t>
      </w:r>
    </w:p>
    <w:p>
      <w:pPr>
        <w:pStyle w:val="ListParagraph"/>
        <w:numPr>
          <w:ilvl w:val="0"/>
          <w:numId w:val="5"/>
        </w:numPr>
        <w:spacing w:after="40"/>
        <w:jc w:val="both"/>
      </w:pPr>
      <w:r>
        <w:t xml:space="preserve">Жинкин Н.И. Речь как проводник информации. – М.: Наука, 1982.</w:t>
      </w:r>
    </w:p>
    <w:p>
      <w:pPr>
        <w:pStyle w:val="ListParagraph"/>
        <w:numPr>
          <w:ilvl w:val="0"/>
          <w:numId w:val="5"/>
        </w:numPr>
        <w:spacing w:after="40"/>
        <w:jc w:val="both"/>
      </w:pPr>
      <w:r>
        <w:t xml:space="preserve">Pinker S. The Language Instinct: How the Mind Creates Language. – New York: William Morrow, 1994.</w:t>
      </w:r>
    </w:p>
    <w:p>
      <w:pPr>
        <w:pStyle w:val="ListParagraph"/>
        <w:numPr>
          <w:ilvl w:val="0"/>
          <w:numId w:val="5"/>
        </w:numPr>
        <w:spacing w:after="40"/>
        <w:jc w:val="both"/>
      </w:pPr>
      <w:r>
        <w:t xml:space="preserve">Evans V., Green M. Cognitive Linguistics: An Introduction. – Edinburgh: Edinburgh University Press, 2006.</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4-AMALIY MASHG‘ULOT. KOGNITIV TILSHUNOSLIK ATAMASINING MAZMUNI. TAFAKKURNING TURLARI VA UNIVERSAL PREDMET KODI (UPK)</dc:title>
  <dc:creator>Un-named</dc:creator>
  <cp:lastModifiedBy>Un-named</cp:lastModifiedBy>
  <cp:revision>1</cp:revision>
  <dcterms:created xsi:type="dcterms:W3CDTF">2026-10-30T07:58:17.499Z</dcterms:created>
  <dcterms:modified xsi:type="dcterms:W3CDTF">2026-10-30T07:58:17.499Z</dcterms:modified>
</cp:coreProperties>
</file>

<file path=docProps/custom.xml><?xml version="1.0" encoding="utf-8"?>
<Properties xmlns="http://schemas.openxmlformats.org/officeDocument/2006/custom-properties" xmlns:vt="http://schemas.openxmlformats.org/officeDocument/2006/docPropsVTypes"/>
</file>