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9-AMALIY MASHG‘ULOT. GESHTALT TUSHUNCHASI VA YAXLITLIK</w:t>
      </w:r>
    </w:p>
    <w:p>
      <w:pPr>
        <w:spacing w:after="160"/>
        <w:jc w:val="both"/>
      </w:pPr>
      <w:r>
        <w:rPr>
          <w:b/>
          <w:bCs/>
        </w:rPr>
        <w:t xml:space="preserve">Mashg‘ulot maqsadi: </w:t>
      </w:r>
      <w:r>
        <w:rPr>
          <w:i/>
          <w:iCs/>
        </w:rPr>
        <w:t xml:space="preserve">Geshtaltning asosiy belgisi – yaxlitlik tamoyilini til birliklari (frazeologizmlar, qo‘shma so‘zlar, matn) misolida aniqlash; «figura va fon» tamoyilini gaplar tahlilida qo‘llash; geshtalt qonunlarining til hodisalaridagi ko‘rinishlarini topish ko‘nikmasini shakllantirish.</w:t>
      </w:r>
    </w:p>
    <w:p>
      <w:pPr>
        <w:pStyle w:val="Heading2"/>
      </w:pPr>
      <w:r>
        <w:t xml:space="preserve">I. Amaliy topshiriqlar</w:t>
      </w:r>
    </w:p>
    <w:p>
      <w:pPr>
        <w:keepNext/>
        <w:spacing w:after="80" w:before="200"/>
        <w:jc w:val="both"/>
      </w:pPr>
      <w:r>
        <w:rPr>
          <w:b/>
          <w:bCs/>
        </w:rPr>
        <w:t xml:space="preserve">1-topshiriq. Frazeologizmlarni geshtalt sifatida tahlil qiling.</w:t>
      </w:r>
    </w:p>
    <w:p>
      <w:pPr>
        <w:spacing w:after="80"/>
        <w:ind w:firstLine="709"/>
        <w:jc w:val="both"/>
      </w:pPr>
      <w:r>
        <w:t xml:space="preserve">Har bir frazeologizm uchun: 1) tarkibidagi so‘zlarning ma’nolari yig‘indisini; 2) butunning (frazeologizmning) ma’nosini; 3) ular o‘rtasidagi farqni yozing: «qo‘li ochiq», «og‘zi qulog‘ida», «boshi qotdi», «ko‘zi ochildi», «tili qisiq», «yuragi tars yorildi».</w:t>
      </w:r>
    </w:p>
    <w:p>
      <w:pPr>
        <w:pBdr>
          <w:left w:val="single" w:color="2E75B6" w:sz="12" w:space="6"/>
        </w:pBdr>
        <w:shd w:fill="F2F2F2" w:color="auto" w:val="clear"/>
        <w:spacing w:after="40"/>
        <w:ind w:left="284"/>
        <w:jc w:val="both"/>
      </w:pPr>
      <w:r>
        <w:rPr>
          <w:b/>
          <w:bCs/>
        </w:rPr>
        <w:t xml:space="preserve">Namuna («tarvuzi qo‘ltig‘idan tushdi»):</w:t>
      </w:r>
    </w:p>
    <w:p>
      <w:pPr>
        <w:pBdr>
          <w:left w:val="single" w:color="2E75B6" w:sz="12" w:space="6"/>
        </w:pBdr>
        <w:shd w:fill="F2F2F2" w:color="auto" w:val="clear"/>
        <w:spacing w:after="40"/>
        <w:ind w:left="284"/>
        <w:jc w:val="both"/>
      </w:pPr>
      <w:r>
        <w:t xml:space="preserve">1) </w:t>
      </w:r>
      <w:r>
        <w:rPr>
          <w:b/>
          <w:bCs/>
        </w:rPr>
        <w:t xml:space="preserve">Qismlar yig‘indisi:</w:t>
      </w:r>
      <w:r>
        <w:t xml:space="preserve"> kishi qo‘ltig‘ida ko‘tarib ketayotgan tarvuzini tushirib yubordi.</w:t>
      </w:r>
    </w:p>
    <w:p>
      <w:pPr>
        <w:pBdr>
          <w:left w:val="single" w:color="2E75B6" w:sz="12" w:space="6"/>
        </w:pBdr>
        <w:shd w:fill="F2F2F2" w:color="auto" w:val="clear"/>
        <w:spacing w:after="40"/>
        <w:ind w:left="284"/>
        <w:jc w:val="both"/>
      </w:pPr>
      <w:r>
        <w:t xml:space="preserve">2) </w:t>
      </w:r>
      <w:r>
        <w:rPr>
          <w:b/>
          <w:bCs/>
        </w:rPr>
        <w:t xml:space="preserve">Butunning ma’nosi:</w:t>
      </w:r>
      <w:r>
        <w:t xml:space="preserve"> umidi puchga chiqdi, hafsalasi pir bo‘ldi.</w:t>
      </w:r>
    </w:p>
    <w:p>
      <w:pPr>
        <w:pBdr>
          <w:left w:val="single" w:color="2E75B6" w:sz="12" w:space="6"/>
        </w:pBdr>
        <w:shd w:fill="F2F2F2" w:color="auto" w:val="clear"/>
        <w:spacing w:after="40"/>
        <w:ind w:left="284"/>
        <w:jc w:val="both"/>
      </w:pPr>
      <w:r>
        <w:t xml:space="preserve">3) </w:t>
      </w:r>
      <w:r>
        <w:rPr>
          <w:b/>
          <w:bCs/>
        </w:rPr>
        <w:t xml:space="preserve">Farq:</w:t>
      </w:r>
      <w:r>
        <w:t xml:space="preserve"> frazeologik ma’no qismlar ma’nosidan bevosita kelib chiqmaydi; u butun obrazdan (tarvuzning tushib, yorilishi – kutilgan narsaning birdan yo‘qolishi) hosil bo‘ladi. Bu geshtaltning asosiy tamoyili – «butun qismlar yig‘indisiga teng emas» – ekanini ko‘rsatadi.</w:t>
      </w:r>
    </w:p>
    <w:p>
      <w:pPr>
        <w:keepNext/>
        <w:spacing w:after="80" w:before="200"/>
        <w:jc w:val="both"/>
      </w:pPr>
      <w:r>
        <w:rPr>
          <w:b/>
          <w:bCs/>
        </w:rPr>
        <w:t xml:space="preserve">2-topshiriq. Gaplarda figura va fonni aniqlang. So‘zlarning o‘rni almashtirilganda gap tabiiy bo‘lib qoladimi?</w:t>
      </w:r>
    </w:p>
    <w:p>
      <w:pPr>
        <w:pStyle w:val="ListParagraph"/>
        <w:numPr>
          <w:ilvl w:val="0"/>
          <w:numId w:val="2"/>
        </w:numPr>
        <w:spacing w:after="40"/>
        <w:jc w:val="both"/>
      </w:pPr>
      <w:r>
        <w:t xml:space="preserve">«Mushuk stol tagida yotibdi.»</w:t>
      </w:r>
    </w:p>
    <w:p>
      <w:pPr>
        <w:pStyle w:val="ListParagraph"/>
        <w:numPr>
          <w:ilvl w:val="0"/>
          <w:numId w:val="2"/>
        </w:numPr>
        <w:spacing w:after="40"/>
        <w:jc w:val="both"/>
      </w:pPr>
      <w:r>
        <w:t xml:space="preserve">«Qayiq ko‘prik ostidan o‘tdi.»</w:t>
      </w:r>
    </w:p>
    <w:p>
      <w:pPr>
        <w:pStyle w:val="ListParagraph"/>
        <w:numPr>
          <w:ilvl w:val="0"/>
          <w:numId w:val="2"/>
        </w:numPr>
        <w:spacing w:after="40"/>
        <w:jc w:val="both"/>
      </w:pPr>
      <w:r>
        <w:t xml:space="preserve">«Samolyot shahar ustida uchmoqda.»</w:t>
      </w:r>
    </w:p>
    <w:p>
      <w:pPr>
        <w:pStyle w:val="ListParagraph"/>
        <w:numPr>
          <w:ilvl w:val="0"/>
          <w:numId w:val="2"/>
        </w:numPr>
        <w:spacing w:after="40"/>
        <w:jc w:val="both"/>
      </w:pPr>
      <w:r>
        <w:t xml:space="preserve">«Ali Valiga o‘xshaydi.»</w:t>
      </w:r>
    </w:p>
    <w:p>
      <w:pPr>
        <w:pBdr>
          <w:left w:val="single" w:color="2E75B6" w:sz="12" w:space="6"/>
        </w:pBdr>
        <w:shd w:fill="F2F2F2" w:color="auto" w:val="clear"/>
        <w:spacing w:after="40"/>
        <w:ind w:left="284"/>
        <w:jc w:val="both"/>
      </w:pPr>
      <w:r>
        <w:rPr>
          <w:b/>
          <w:bCs/>
        </w:rPr>
        <w:t xml:space="preserve">Namuna:</w:t>
      </w:r>
      <w:r>
        <w:t xml:space="preserve"> «Mashina daraxt yonida turibdi.» Figura – </w:t>
      </w:r>
      <w:r>
        <w:rPr>
          <w:b/>
          <w:bCs/>
        </w:rPr>
        <w:t xml:space="preserve">mashina</w:t>
      </w:r>
      <w:r>
        <w:t xml:space="preserve"> (kichikroq, harakatchan ob’ekt); fon – </w:t>
      </w:r>
      <w:r>
        <w:rPr>
          <w:b/>
          <w:bCs/>
        </w:rPr>
        <w:t xml:space="preserve">daraxt</w:t>
      </w:r>
      <w:r>
        <w:t xml:space="preserve"> (barqaror mo‘ljal). O‘rin almashtirilsa: «Daraxt mashina yonida turibdi» – grammatik jihatdan to‘g‘ri, ammo g‘alati eshitiladi, chunki tilda barqaror ob’ekt odatda fon vazifasini bajaradi (L. Talmi).</w:t>
      </w:r>
    </w:p>
    <w:p>
      <w:pPr>
        <w:keepNext/>
        <w:spacing w:after="80" w:before="200"/>
        <w:jc w:val="both"/>
      </w:pPr>
      <w:r>
        <w:rPr>
          <w:b/>
          <w:bCs/>
        </w:rPr>
        <w:t xml:space="preserve">3-topshiriq. Geshtalt qonunlarining til hodisalaridagi ko‘rinishini toping.</w:t>
      </w:r>
    </w:p>
    <w:p>
      <w:pPr>
        <w:spacing w:after="80"/>
        <w:ind w:firstLine="709"/>
        <w:jc w:val="both"/>
      </w:pPr>
      <w:r>
        <w:t xml:space="preserve">Yopiqlik, yaqinlik, o‘xshashlik va uzluksizlik qonunlariga o‘zbek tilidan misollar keltiring.</w:t>
      </w:r>
    </w:p>
    <w:p>
      <w:pPr>
        <w:pBdr>
          <w:left w:val="single" w:color="2E75B6" w:sz="12" w:space="6"/>
        </w:pBdr>
        <w:shd w:fill="F2F2F2" w:color="auto" w:val="clear"/>
        <w:spacing w:after="40"/>
        <w:ind w:left="284"/>
        <w:jc w:val="both"/>
      </w:pPr>
      <w:r>
        <w:rPr>
          <w:b/>
          <w:bCs/>
        </w:rPr>
        <w:t xml:space="preserve">Namuna (yopiqlik qonuni):</w:t>
      </w:r>
      <w:r>
        <w:t xml:space="preserve"> Dialogdagi elliptik gaplar: «– Qayerga ketyapsan? – Universitetga.» Ikkinchi gapda ega va kesim yo‘q, ammo tinglovchi uni to‘liq gap sifatida idrok etadi («Men universitetga ketyapman»). Ong «uzilgan doira»ni to‘ldirgani kabi to‘liq bo‘lmagan gapni ham to‘ldiradi.</w:t>
      </w:r>
    </w:p>
    <w:p>
      <w:pPr>
        <w:keepNext/>
        <w:spacing w:after="80" w:before="200"/>
        <w:jc w:val="both"/>
      </w:pPr>
      <w:r>
        <w:rPr>
          <w:b/>
          <w:bCs/>
        </w:rPr>
        <w:t xml:space="preserve">4-topshiriq. Geshtalt konseptni tavsiflang.</w:t>
      </w:r>
    </w:p>
    <w:p>
      <w:pPr>
        <w:spacing w:after="80"/>
        <w:ind w:firstLine="709"/>
        <w:jc w:val="both"/>
      </w:pPr>
      <w:r>
        <w:t xml:space="preserve">«Navro‘z», «Toshkent» yoki «bolalik» konseptlaridan birini tanlang. Ushbu so‘zni eshitganda ongda yaxlit holda paydo bo‘ladigan obrazlar, hislar va baholarni yozing.</w:t>
      </w:r>
    </w:p>
    <w:p>
      <w:pPr>
        <w:pBdr>
          <w:left w:val="single" w:color="2E75B6" w:sz="12" w:space="6"/>
        </w:pBdr>
        <w:shd w:fill="F2F2F2" w:color="auto" w:val="clear"/>
        <w:spacing w:after="40"/>
        <w:ind w:left="284"/>
        <w:jc w:val="both"/>
      </w:pPr>
      <w:r>
        <w:rPr>
          <w:b/>
          <w:bCs/>
        </w:rPr>
        <w:t xml:space="preserve">Namuna («Samarqand»):</w:t>
      </w:r>
      <w:r>
        <w:t xml:space="preserve"> Registon maydoni, ko‘k gumbazlar, Amir Temur maqbarasi, Samarqand noni, «Sayqali ro‘yi zamin» iborasi, tarixiylik va ulug‘vorlik hissi. Bu belgilar alohida-alohida emas, balki bitta yaxlit obraz sifatida idrok etiladi. Shuning uchun «Samarqand» konsepti </w:t>
      </w:r>
      <w:r>
        <w:rPr>
          <w:b/>
          <w:bCs/>
        </w:rPr>
        <w:t xml:space="preserve">geshtalt</w:t>
      </w:r>
      <w:r>
        <w:t xml:space="preserve"> turiga mansub.</w:t>
      </w:r>
    </w:p>
    <w:p>
      <w:pPr>
        <w:pStyle w:val="Heading2"/>
      </w:pPr>
      <w:r>
        <w:t xml:space="preserve">II. Keys-stadi</w:t>
      </w:r>
    </w:p>
    <w:p>
      <w:pPr>
        <w:keepNext/>
        <w:spacing w:after="80" w:before="200"/>
        <w:jc w:val="both"/>
      </w:pPr>
      <w:r>
        <w:rPr>
          <w:b/>
          <w:bCs/>
        </w:rPr>
        <w:t xml:space="preserve">Keys: «Rubin vazasi va lisoniy ko‘p ma’nolilik».</w:t>
      </w:r>
    </w:p>
    <w:p>
      <w:pPr>
        <w:spacing w:after="80"/>
        <w:ind w:firstLine="709"/>
        <w:jc w:val="both"/>
      </w:pPr>
      <w:r>
        <w:t xml:space="preserve">E. Rubin rasmida tomoshabin goh vazani, goh ikki yuzni ko‘radi, lekin ikkalasini bir vaqtda ko‘ra olmaydi. Tilda ham shunday holatlar uchraydi: «Qizning rasmi» (qiz chizgan rasm yoki qizni tasvirlagan rasm); «Ota-onaning tashvishi» (ota-ona chekayotgan tashvish yoki ota-ona haqidagi tashvish); «Uchta talabaning kitobi».</w:t>
      </w:r>
    </w:p>
    <w:p>
      <w:pPr>
        <w:spacing w:after="80"/>
        <w:ind w:firstLine="709"/>
        <w:jc w:val="both"/>
      </w:pPr>
      <w:r>
        <w:t xml:space="preserve">Topshiriqlar:</w:t>
      </w:r>
    </w:p>
    <w:p>
      <w:pPr>
        <w:pStyle w:val="ListParagraph"/>
        <w:numPr>
          <w:ilvl w:val="0"/>
          <w:numId w:val="2"/>
        </w:numPr>
        <w:spacing w:after="40"/>
        <w:jc w:val="both"/>
      </w:pPr>
      <w:r>
        <w:t xml:space="preserve">Har bir birikmaning mumkin bo‘lgan talqinlarini aniqlang.</w:t>
      </w:r>
    </w:p>
    <w:p>
      <w:pPr>
        <w:pStyle w:val="ListParagraph"/>
        <w:numPr>
          <w:ilvl w:val="0"/>
          <w:numId w:val="2"/>
        </w:numPr>
        <w:spacing w:after="40"/>
        <w:jc w:val="both"/>
      </w:pPr>
      <w:r>
        <w:t xml:space="preserve">Ko‘p ma’nolilik qanday qilib Rubin vazasiga o‘xshaydi?</w:t>
      </w:r>
    </w:p>
    <w:p>
      <w:pPr>
        <w:pStyle w:val="ListParagraph"/>
        <w:numPr>
          <w:ilvl w:val="0"/>
          <w:numId w:val="2"/>
        </w:numPr>
        <w:spacing w:after="40"/>
        <w:jc w:val="both"/>
      </w:pPr>
      <w:r>
        <w:t xml:space="preserve">Kontekst «figura»ni qanday tanlashga yordam beradi?</w:t>
      </w:r>
    </w:p>
    <w:p>
      <w:pPr>
        <w:pBdr>
          <w:left w:val="single" w:color="2E75B6" w:sz="12" w:space="6"/>
        </w:pBdr>
        <w:shd w:fill="F2F2F2" w:color="auto" w:val="clear"/>
        <w:spacing w:after="40"/>
        <w:ind w:left="284"/>
        <w:jc w:val="both"/>
      </w:pPr>
      <w:r>
        <w:rPr>
          <w:b/>
          <w:bCs/>
        </w:rPr>
        <w:t xml:space="preserve">Namuna javob (2-savol):</w:t>
      </w:r>
      <w:r>
        <w:t xml:space="preserve"> Rubin vazasida bir xil chiziqlar ikki xil yaxlit shaklni hosil qiladi. «Qizning rasmi» birikmasida ham bir xil so‘zlar ikki xil yaxlit ma’noni beradi. Idrok kabi tushunish ham bir vaqtda faqat bitta talqinni «figura» sifatida tanlaydi, ikkinchisi «fon»da qoladi. Kontekst esa qaysi talqin figura bo‘lishini belgilaydi: «Qizning rasmi ko‘rgazmada birinchi o‘rinni oldi» (qiz chizgan rasm).</w:t>
      </w:r>
    </w:p>
    <w:p>
      <w:pPr>
        <w:pStyle w:val="Heading2"/>
      </w:pPr>
      <w:r>
        <w:t xml:space="preserve">III. Kazuslar</w:t>
      </w:r>
    </w:p>
    <w:p>
      <w:pPr>
        <w:keepNext/>
        <w:spacing w:after="80" w:before="200"/>
        <w:jc w:val="both"/>
      </w:pPr>
      <w:r>
        <w:rPr>
          <w:b/>
          <w:bCs/>
        </w:rPr>
        <w:t xml:space="preserve">1-kazus. Quyidagi gaplar aralashtirib berilgan. Ularni yaxlit matnga aylantiring va qaysi vositalar sizga yordam berganini aniqlang: «Shuning uchun uni "sayqali ro‘yi zamin" deb atashgan.» «Samarqand – dunyoning eng qadimiy shaharlaridan biri.» «Uning yoshi 2750 yildan oshadi.» «Shahar o‘zining me’moriy obidalari bilan mashhur.»</w:t>
      </w:r>
    </w:p>
    <w:p>
      <w:pPr>
        <w:pBdr>
          <w:left w:val="single" w:color="2E75B6" w:sz="12" w:space="6"/>
        </w:pBdr>
        <w:shd w:fill="F2F2F2" w:color="auto" w:val="clear"/>
        <w:spacing w:after="40"/>
        <w:ind w:left="284"/>
        <w:jc w:val="both"/>
      </w:pPr>
      <w:r>
        <w:rPr>
          <w:b/>
          <w:bCs/>
        </w:rPr>
        <w:t xml:space="preserve">Namuna yechim:</w:t>
      </w:r>
      <w:r>
        <w:t xml:space="preserve"> To‘g‘ri tartib: 2 – 3 – 4 – 1. Yordam bergan vositalar: olmoshlar («uning», «uni» – oldingi gapdagi «Samarqand»ga ishora), bog‘lovchi vosita («shuning uchun» – xulosa, shu sababli oxirida keladi), mavzu–rema rivoji (umumiy ma’lumotdan xususiyga). Matn alohida gaplar yig‘indisi emas, balki yaxlitlik (geshtalt) bo‘lib, uning qismlari butun ichidagi vazifasiga ko‘ra tartiblanadi.</w:t>
      </w:r>
    </w:p>
    <w:p>
      <w:pPr>
        <w:keepNext/>
        <w:spacing w:after="80" w:before="200"/>
        <w:jc w:val="both"/>
      </w:pPr>
      <w:r>
        <w:rPr>
          <w:b/>
          <w:bCs/>
        </w:rPr>
        <w:t xml:space="preserve">2-kazus. Talaba «Qo‘shma so‘zlar ham geshtaltmi?» deb so‘radi. «Belbog‘», «oshqozon», «ko‘zoynak», «kungaboqar» so‘zlari misolida javob bering.</w:t>
      </w:r>
    </w:p>
    <w:p>
      <w:pPr>
        <w:pBdr>
          <w:left w:val="single" w:color="2E75B6" w:sz="12" w:space="6"/>
        </w:pBdr>
        <w:shd w:fill="F2F2F2" w:color="auto" w:val="clear"/>
        <w:spacing w:after="40"/>
        <w:ind w:left="284"/>
        <w:jc w:val="both"/>
      </w:pPr>
      <w:r>
        <w:rPr>
          <w:b/>
          <w:bCs/>
        </w:rPr>
        <w:t xml:space="preserve">Namuna yechim (yo‘nalish):</w:t>
      </w:r>
      <w:r>
        <w:t xml:space="preserve"> «Kungaboqar» – qismlar ma’nosidan qisman motivlangan («kunga qaraydigan o‘simlik»), lekin so‘z ma’nosi aniq o‘simlik turini bildiradi; «oshqozon» esa endi «ovqat solinadigan qozon» deb tushunilmaydi...</w:t>
      </w:r>
    </w:p>
    <w:p>
      <w:pPr>
        <w:pStyle w:val="Heading2"/>
      </w:pPr>
      <w:r>
        <w:t xml:space="preserve">IV. Testlar</w:t>
      </w:r>
    </w:p>
    <w:p>
      <w:pPr>
        <w:pStyle w:val="ListParagraph"/>
        <w:keepNext/>
        <w:numPr>
          <w:ilvl w:val="0"/>
          <w:numId w:val="3"/>
        </w:numPr>
        <w:spacing w:after="20" w:before="100"/>
      </w:pPr>
      <w:r>
        <w:t xml:space="preserve">«Geshtalt sifati» tushunchasini kim kiritgan?</w:t>
      </w:r>
    </w:p>
    <w:p>
      <w:pPr>
        <w:spacing w:after="0"/>
        <w:ind w:left="1069"/>
      </w:pPr>
      <w:r>
        <w:t xml:space="preserve">A) M. Verthaymer</w:t>
      </w:r>
    </w:p>
    <w:p>
      <w:pPr>
        <w:spacing w:after="0"/>
        <w:ind w:left="1069"/>
      </w:pPr>
      <w:r>
        <w:t xml:space="preserve">B) X. fon Erenfels</w:t>
      </w:r>
    </w:p>
    <w:p>
      <w:pPr>
        <w:spacing w:after="0"/>
        <w:ind w:left="1069"/>
      </w:pPr>
      <w:r>
        <w:t xml:space="preserve">C) K. Koffka</w:t>
      </w:r>
    </w:p>
    <w:p>
      <w:pPr>
        <w:spacing w:after="0"/>
        <w:ind w:left="1069"/>
      </w:pPr>
      <w:r>
        <w:t xml:space="preserve">D) E. Rubin</w:t>
      </w:r>
    </w:p>
    <w:p>
      <w:pPr>
        <w:pStyle w:val="ListParagraph"/>
        <w:keepNext/>
        <w:numPr>
          <w:ilvl w:val="0"/>
          <w:numId w:val="3"/>
        </w:numPr>
        <w:spacing w:after="20" w:before="100"/>
      </w:pPr>
      <w:r>
        <w:t xml:space="preserve">Geshtalt psixologiyasining tug‘ilgan yili sifatida qaysi sana qabul qilingan?</w:t>
      </w:r>
    </w:p>
    <w:p>
      <w:pPr>
        <w:spacing w:after="0"/>
        <w:ind w:left="1069"/>
      </w:pPr>
      <w:r>
        <w:t xml:space="preserve">A) 1890</w:t>
      </w:r>
    </w:p>
    <w:p>
      <w:pPr>
        <w:spacing w:after="0"/>
        <w:ind w:left="1069"/>
      </w:pPr>
      <w:r>
        <w:t xml:space="preserve">B) 1912</w:t>
      </w:r>
    </w:p>
    <w:p>
      <w:pPr>
        <w:spacing w:after="0"/>
        <w:ind w:left="1069"/>
      </w:pPr>
      <w:r>
        <w:t xml:space="preserve">C) 1935</w:t>
      </w:r>
    </w:p>
    <w:p>
      <w:pPr>
        <w:spacing w:after="0"/>
        <w:ind w:left="1069"/>
      </w:pPr>
      <w:r>
        <w:t xml:space="preserve">D) 1977</w:t>
      </w:r>
    </w:p>
    <w:p>
      <w:pPr>
        <w:pStyle w:val="ListParagraph"/>
        <w:keepNext/>
        <w:numPr>
          <w:ilvl w:val="0"/>
          <w:numId w:val="3"/>
        </w:numPr>
        <w:spacing w:after="20" w:before="100"/>
      </w:pPr>
      <w:r>
        <w:t xml:space="preserve">«Lingvistik geshtaltlar» (1977) maqolasining muallifi kim?</w:t>
      </w:r>
    </w:p>
    <w:p>
      <w:pPr>
        <w:spacing w:after="0"/>
        <w:ind w:left="1069"/>
      </w:pPr>
      <w:r>
        <w:t xml:space="preserve">A) J. Lakoff</w:t>
      </w:r>
    </w:p>
    <w:p>
      <w:pPr>
        <w:spacing w:after="0"/>
        <w:ind w:left="1069"/>
      </w:pPr>
      <w:r>
        <w:t xml:space="preserve">B) L. Talmi</w:t>
      </w:r>
    </w:p>
    <w:p>
      <w:pPr>
        <w:spacing w:after="0"/>
        <w:ind w:left="1069"/>
      </w:pPr>
      <w:r>
        <w:t xml:space="preserve">C) R. Lenekker</w:t>
      </w:r>
    </w:p>
    <w:p>
      <w:pPr>
        <w:spacing w:after="0"/>
        <w:ind w:left="1069"/>
      </w:pPr>
      <w:r>
        <w:t xml:space="preserve">D) Ch. Fillmor</w:t>
      </w:r>
    </w:p>
    <w:p>
      <w:pPr>
        <w:pStyle w:val="ListParagraph"/>
        <w:keepNext/>
        <w:numPr>
          <w:ilvl w:val="0"/>
          <w:numId w:val="3"/>
        </w:numPr>
        <w:spacing w:after="20" w:before="100"/>
      </w:pPr>
      <w:r>
        <w:t xml:space="preserve">Idrok to‘liq bo‘lmagan shakllarni tugallangan holda qabul qilishi qaysi qonun bilan izohlanadi?</w:t>
      </w:r>
    </w:p>
    <w:p>
      <w:pPr>
        <w:spacing w:after="0"/>
        <w:ind w:left="1069"/>
      </w:pPr>
      <w:r>
        <w:t xml:space="preserve">A) Yaqinlik</w:t>
      </w:r>
    </w:p>
    <w:p>
      <w:pPr>
        <w:spacing w:after="0"/>
        <w:ind w:left="1069"/>
      </w:pPr>
      <w:r>
        <w:t xml:space="preserve">B) O‘xshashlik</w:t>
      </w:r>
    </w:p>
    <w:p>
      <w:pPr>
        <w:spacing w:after="0"/>
        <w:ind w:left="1069"/>
      </w:pPr>
      <w:r>
        <w:t xml:space="preserve">C) Yopiqlik</w:t>
      </w:r>
    </w:p>
    <w:p>
      <w:pPr>
        <w:spacing w:after="0"/>
        <w:ind w:left="1069"/>
      </w:pPr>
      <w:r>
        <w:t xml:space="preserve">D) Umumiy taqdir</w:t>
      </w:r>
    </w:p>
    <w:p>
      <w:pPr>
        <w:pStyle w:val="ListParagraph"/>
        <w:keepNext/>
        <w:numPr>
          <w:ilvl w:val="0"/>
          <w:numId w:val="3"/>
        </w:numPr>
        <w:spacing w:after="20" w:before="100"/>
      </w:pPr>
      <w:r>
        <w:t xml:space="preserve">«Velosiped uy yonida turibdi» gapida figura qaysi so‘z?</w:t>
      </w:r>
    </w:p>
    <w:p>
      <w:pPr>
        <w:spacing w:after="0"/>
        <w:ind w:left="1069"/>
      </w:pPr>
      <w:r>
        <w:t xml:space="preserve">A) uy</w:t>
      </w:r>
    </w:p>
    <w:p>
      <w:pPr>
        <w:spacing w:after="0"/>
        <w:ind w:left="1069"/>
      </w:pPr>
      <w:r>
        <w:t xml:space="preserve">B) velosiped</w:t>
      </w:r>
    </w:p>
    <w:p>
      <w:pPr>
        <w:spacing w:after="0"/>
        <w:ind w:left="1069"/>
      </w:pPr>
      <w:r>
        <w:t xml:space="preserve">C) yonida</w:t>
      </w:r>
    </w:p>
    <w:p>
      <w:pPr>
        <w:spacing w:after="0"/>
        <w:ind w:left="1069"/>
      </w:pPr>
      <w:r>
        <w:t xml:space="preserve">D) turibdi</w:t>
      </w:r>
    </w:p>
    <w:p>
      <w:pPr>
        <w:pStyle w:val="ListParagraph"/>
        <w:keepNext/>
        <w:numPr>
          <w:ilvl w:val="0"/>
          <w:numId w:val="3"/>
        </w:numPr>
        <w:spacing w:after="20" w:before="100"/>
      </w:pPr>
      <w:r>
        <w:t xml:space="preserve">Z.D. Popova va I.A. Sternin bo‘yicha geshtalt qanday konsept?</w:t>
      </w:r>
    </w:p>
    <w:p>
      <w:pPr>
        <w:spacing w:after="0"/>
        <w:ind w:left="1069"/>
      </w:pPr>
      <w:r>
        <w:t xml:space="preserve">A) Faqat mantiqiy tushuncha</w:t>
      </w:r>
    </w:p>
    <w:p>
      <w:pPr>
        <w:spacing w:after="0"/>
        <w:ind w:left="1069"/>
      </w:pPr>
      <w:r>
        <w:t xml:space="preserve">B) Hissiy va ratsional elementlar birlashgan yaxlit obraz</w:t>
      </w:r>
    </w:p>
    <w:p>
      <w:pPr>
        <w:spacing w:after="0"/>
        <w:ind w:left="1069"/>
      </w:pPr>
      <w:r>
        <w:t xml:space="preserve">C) Harakatlar ketma-ketligi</w:t>
      </w:r>
    </w:p>
    <w:p>
      <w:pPr>
        <w:spacing w:after="0"/>
        <w:ind w:left="1069"/>
      </w:pPr>
      <w:r>
        <w:t xml:space="preserve">D) Slotlardan iborat tuzilma</w:t>
      </w:r>
    </w:p>
    <w:p>
      <w:pPr>
        <w:spacing w:before="160"/>
      </w:pPr>
      <w:r>
        <w:rPr>
          <w:b/>
          <w:bCs/>
        </w:rPr>
        <w:t xml:space="preserve">Testlar kaliti: </w:t>
      </w:r>
      <w:r>
        <w:t xml:space="preserve">1–B; 2–B; 3–A; 4–C; 5–B; 6–B.</w:t>
      </w:r>
    </w:p>
    <w:p>
      <w:pPr>
        <w:pStyle w:val="Heading2"/>
      </w:pPr>
      <w:r>
        <w:t xml:space="preserve">Nazariy savollar</w:t>
      </w:r>
    </w:p>
    <w:p>
      <w:pPr>
        <w:pStyle w:val="ListParagraph"/>
        <w:numPr>
          <w:ilvl w:val="0"/>
          <w:numId w:val="4"/>
        </w:numPr>
        <w:spacing w:after="40"/>
        <w:jc w:val="both"/>
      </w:pPr>
      <w:r>
        <w:t xml:space="preserve">Geshtalt tushunchasining mazmunini izohlang.</w:t>
      </w:r>
    </w:p>
    <w:p>
      <w:pPr>
        <w:pStyle w:val="ListParagraph"/>
        <w:numPr>
          <w:ilvl w:val="0"/>
          <w:numId w:val="4"/>
        </w:numPr>
        <w:spacing w:after="40"/>
        <w:jc w:val="both"/>
      </w:pPr>
      <w:r>
        <w:t xml:space="preserve">Geshtalt psixologiyasining asosiy namoyandalari va ularning xizmatlarini tavsiflang.</w:t>
      </w:r>
    </w:p>
    <w:p>
      <w:pPr>
        <w:pStyle w:val="ListParagraph"/>
        <w:numPr>
          <w:ilvl w:val="0"/>
          <w:numId w:val="4"/>
        </w:numPr>
        <w:spacing w:after="40"/>
        <w:jc w:val="both"/>
      </w:pPr>
      <w:r>
        <w:t xml:space="preserve">Idrokning geshtalt qonunlarini sanab, ularni izohlang.</w:t>
      </w:r>
    </w:p>
    <w:p>
      <w:pPr>
        <w:pStyle w:val="ListParagraph"/>
        <w:numPr>
          <w:ilvl w:val="0"/>
          <w:numId w:val="4"/>
        </w:numPr>
        <w:spacing w:after="40"/>
        <w:jc w:val="both"/>
      </w:pPr>
      <w:r>
        <w:t xml:space="preserve">«Figura va fon» tamoyilining tilshunoslikdagi talqinini tushuntiring.</w:t>
      </w:r>
    </w:p>
    <w:p>
      <w:pPr>
        <w:pStyle w:val="ListParagraph"/>
        <w:numPr>
          <w:ilvl w:val="0"/>
          <w:numId w:val="4"/>
        </w:numPr>
        <w:spacing w:after="40"/>
        <w:jc w:val="both"/>
      </w:pPr>
      <w:r>
        <w:t xml:space="preserve">Frazeologizm va matnning yaxlitligi geshtalt bilan qanday bog‘liq?</w:t>
      </w:r>
    </w:p>
    <w:p>
      <w:pPr>
        <w:pStyle w:val="Heading2"/>
      </w:pPr>
      <w:r>
        <w:t xml:space="preserve">Foydalanilgan adabiyotlar</w:t>
      </w:r>
    </w:p>
    <w:p>
      <w:pPr>
        <w:pStyle w:val="ListParagraph"/>
        <w:numPr>
          <w:ilvl w:val="0"/>
          <w:numId w:val="5"/>
        </w:numPr>
        <w:spacing w:after="40"/>
        <w:jc w:val="both"/>
      </w:pPr>
      <w:r>
        <w:t xml:space="preserve">Safarov Sh. Kognitiv tilshunoslik. – Jizzax: Sangzor, 2006.</w:t>
      </w:r>
    </w:p>
    <w:p>
      <w:pPr>
        <w:pStyle w:val="ListParagraph"/>
        <w:numPr>
          <w:ilvl w:val="0"/>
          <w:numId w:val="5"/>
        </w:numPr>
        <w:spacing w:after="40"/>
        <w:jc w:val="both"/>
      </w:pPr>
      <w:r>
        <w:t xml:space="preserve">Попова З.Д., Стернин И.А. Когнитивная лингвистика. – М.: АСТ: Восток–Запад, 2007.</w:t>
      </w:r>
    </w:p>
    <w:p>
      <w:pPr>
        <w:pStyle w:val="ListParagraph"/>
        <w:numPr>
          <w:ilvl w:val="0"/>
          <w:numId w:val="5"/>
        </w:numPr>
        <w:spacing w:after="40"/>
        <w:jc w:val="both"/>
      </w:pPr>
      <w:r>
        <w:t xml:space="preserve">Lakoff G. Linguistic Gestalts // Papers from the Thirteenth Regional Meeting of the Chicago Linguistic Society. – Chicago, 1977. – P. 236–287.</w:t>
      </w:r>
    </w:p>
    <w:p>
      <w:pPr>
        <w:pStyle w:val="ListParagraph"/>
        <w:numPr>
          <w:ilvl w:val="0"/>
          <w:numId w:val="5"/>
        </w:numPr>
        <w:spacing w:after="40"/>
        <w:jc w:val="both"/>
      </w:pPr>
      <w:r>
        <w:t xml:space="preserve">Koffka K. Principles of Gestalt Psychology. – New York: Harcourt, Brace and Company, 1935.</w:t>
      </w:r>
    </w:p>
    <w:p>
      <w:pPr>
        <w:pStyle w:val="ListParagraph"/>
        <w:numPr>
          <w:ilvl w:val="0"/>
          <w:numId w:val="5"/>
        </w:numPr>
        <w:spacing w:after="40"/>
        <w:jc w:val="both"/>
      </w:pPr>
      <w:r>
        <w:t xml:space="preserve">Talmy L. Toward a Cognitive Semantics. Vol. 1–2. – Cambridge, MA: MIT Press, 2000.</w:t>
      </w:r>
    </w:p>
    <w:p>
      <w:pPr>
        <w:pStyle w:val="ListParagraph"/>
        <w:numPr>
          <w:ilvl w:val="0"/>
          <w:numId w:val="5"/>
        </w:numPr>
        <w:spacing w:after="40"/>
        <w:jc w:val="both"/>
      </w:pPr>
      <w:r>
        <w:t xml:space="preserve">Lakoff G., Johnson M. Metaphors We Live By. – Chicago: University of Chicago Press, 1980.</w:t>
      </w:r>
    </w:p>
    <w:p>
      <w:pPr>
        <w:pStyle w:val="ListParagraph"/>
        <w:numPr>
          <w:ilvl w:val="0"/>
          <w:numId w:val="5"/>
        </w:numPr>
        <w:spacing w:after="40"/>
        <w:jc w:val="both"/>
      </w:pPr>
      <w:r>
        <w:t xml:space="preserve">Evans V., Green M. Cognitive Linguistics: An Introduction. – Edinburgh: Edinburgh University Press, 2006.</w:t>
      </w:r>
    </w:p>
    <w:p>
      <w:pPr>
        <w:pStyle w:val="ListParagraph"/>
        <w:numPr>
          <w:ilvl w:val="0"/>
          <w:numId w:val="5"/>
        </w:numPr>
        <w:spacing w:after="40"/>
        <w:jc w:val="both"/>
      </w:pPr>
      <w:r>
        <w:t xml:space="preserve">Кубрякова Е.С., Демьянков В.З., Панкрац Ю.Г., Лузина Л.Г. Краткий словарь когнитивных терминов. – М.: Филол. ф-т МГУ, 1996.</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0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9-AMALIY MASHG‘ULOT. GESHTALT TUSHUNCHASI VA YAXLITLIK</dc:title>
  <dc:creator>Un-named</dc:creator>
  <cp:lastModifiedBy>Un-named</cp:lastModifiedBy>
  <cp:revision>1</cp:revision>
  <dcterms:created xsi:type="dcterms:W3CDTF">2026-10-30T07:58:17.633Z</dcterms:created>
  <dcterms:modified xsi:type="dcterms:W3CDTF">2026-10-30T07:58:17.633Z</dcterms:modified>
</cp:coreProperties>
</file>

<file path=docProps/custom.xml><?xml version="1.0" encoding="utf-8"?>
<Properties xmlns="http://schemas.openxmlformats.org/officeDocument/2006/custom-properties" xmlns:vt="http://schemas.openxmlformats.org/officeDocument/2006/docPropsVTypes"/>
</file>