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10-AMALIY MASHG‘ULOT. FREYM VA UNING OLTITA KOGNITIV BO‘LAGI</w:t>
      </w:r>
    </w:p>
    <w:p>
      <w:pPr>
        <w:spacing w:after="160"/>
        <w:jc w:val="both"/>
      </w:pPr>
      <w:r>
        <w:rPr>
          <w:b/>
          <w:bCs/>
        </w:rPr>
        <w:t xml:space="preserve">Mashg‘ulot maqsadi: </w:t>
      </w:r>
      <w:r>
        <w:rPr>
          <w:i/>
          <w:iCs/>
        </w:rPr>
        <w:t xml:space="preserve">Freymni olti kognitiv bo‘lak modeli asosida tahlil qilish; gaplarda va matnlarda freym bo‘laklarini aniqlash; Ch. Fillmorning «tijorat bitimi» freymi misolida profillash hodisasini o‘rganish; freymning milliy-madaniy xususiyatlarini aniqlash ko‘nikmasini shakllantirish.</w:t>
      </w:r>
    </w:p>
    <w:p>
      <w:pPr>
        <w:spacing w:after="80"/>
        <w:ind w:firstLine="709"/>
        <w:jc w:val="both"/>
      </w:pPr>
      <w:r>
        <w:t xml:space="preserve">Ushbu mashg‘ulotda freym tahlilining amaliy modeli sifatida uning olti kognitiv bo‘lagi olinadi. Har bir bo‘lak freym ifodalagan vaziyat haqidagi bitta asosiy savolga javob beradi. Bu bo‘laklar Ch. Fillmorning «chuqur kelishiklar» (agens, ob’ekt, lokativ, instrument va boshqalar) nazariyasi bilan bog‘liq:</w:t>
      </w:r>
    </w:p>
    <w:p>
      <w:pPr>
        <w:pStyle w:val="ListParagraph"/>
        <w:numPr>
          <w:ilvl w:val="0"/>
          <w:numId w:val="2"/>
        </w:numPr>
        <w:spacing w:after="40"/>
        <w:jc w:val="both"/>
      </w:pPr>
      <w:r>
        <w:rPr>
          <w:b/>
          <w:bCs/>
        </w:rPr>
        <w:t xml:space="preserve">1. KIM?</w:t>
      </w:r>
      <w:r>
        <w:t xml:space="preserve"> – sub’ekt, harakat bajaruvchisi, ishtirokchilar (agens);</w:t>
      </w:r>
    </w:p>
    <w:p>
      <w:pPr>
        <w:pStyle w:val="ListParagraph"/>
        <w:numPr>
          <w:ilvl w:val="0"/>
          <w:numId w:val="2"/>
        </w:numPr>
        <w:spacing w:after="40"/>
        <w:jc w:val="both"/>
      </w:pPr>
      <w:r>
        <w:rPr>
          <w:b/>
          <w:bCs/>
        </w:rPr>
        <w:t xml:space="preserve">2. NIMA?</w:t>
      </w:r>
      <w:r>
        <w:t xml:space="preserve"> – harakat yoki holat va uning ob’ekti (predikat, ob’ekt);</w:t>
      </w:r>
    </w:p>
    <w:p>
      <w:pPr>
        <w:pStyle w:val="ListParagraph"/>
        <w:numPr>
          <w:ilvl w:val="0"/>
          <w:numId w:val="2"/>
        </w:numPr>
        <w:spacing w:after="40"/>
        <w:jc w:val="both"/>
      </w:pPr>
      <w:r>
        <w:rPr>
          <w:b/>
          <w:bCs/>
        </w:rPr>
        <w:t xml:space="preserve">3. QAYERDA?</w:t>
      </w:r>
      <w:r>
        <w:t xml:space="preserve"> – joy, makon (lokativ);</w:t>
      </w:r>
    </w:p>
    <w:p>
      <w:pPr>
        <w:pStyle w:val="ListParagraph"/>
        <w:numPr>
          <w:ilvl w:val="0"/>
          <w:numId w:val="2"/>
        </w:numPr>
        <w:spacing w:after="40"/>
        <w:jc w:val="both"/>
      </w:pPr>
      <w:r>
        <w:rPr>
          <w:b/>
          <w:bCs/>
        </w:rPr>
        <w:t xml:space="preserve">4. QACHON?</w:t>
      </w:r>
      <w:r>
        <w:t xml:space="preserve"> – vaqt (temporativ);</w:t>
      </w:r>
    </w:p>
    <w:p>
      <w:pPr>
        <w:pStyle w:val="ListParagraph"/>
        <w:numPr>
          <w:ilvl w:val="0"/>
          <w:numId w:val="2"/>
        </w:numPr>
        <w:spacing w:after="40"/>
        <w:jc w:val="both"/>
      </w:pPr>
      <w:r>
        <w:rPr>
          <w:b/>
          <w:bCs/>
        </w:rPr>
        <w:t xml:space="preserve">5. QANDAY? NIMA BILAN?</w:t>
      </w:r>
      <w:r>
        <w:t xml:space="preserve"> – usul, vosita (instrument);</w:t>
      </w:r>
    </w:p>
    <w:p>
      <w:pPr>
        <w:pStyle w:val="ListParagraph"/>
        <w:numPr>
          <w:ilvl w:val="0"/>
          <w:numId w:val="2"/>
        </w:numPr>
        <w:spacing w:after="40"/>
        <w:jc w:val="both"/>
      </w:pPr>
      <w:r>
        <w:rPr>
          <w:b/>
          <w:bCs/>
        </w:rPr>
        <w:t xml:space="preserve">6. NIMA UCHUN?</w:t>
      </w:r>
      <w:r>
        <w:t xml:space="preserve"> – sabab, maqsad, natija.</w:t>
      </w:r>
    </w:p>
    <w:p>
      <w:pPr>
        <w:pStyle w:val="Heading2"/>
      </w:pPr>
      <w:r>
        <w:t xml:space="preserve">I. Amaliy topshiriqlar</w:t>
      </w:r>
    </w:p>
    <w:p>
      <w:pPr>
        <w:keepNext/>
        <w:spacing w:after="80" w:before="200"/>
        <w:jc w:val="both"/>
      </w:pPr>
      <w:r>
        <w:rPr>
          <w:b/>
          <w:bCs/>
        </w:rPr>
        <w:t xml:space="preserve">1-topshiriq. Freymni olti kognitiv bo‘lak asosida to‘ldiring.</w:t>
      </w:r>
    </w:p>
    <w:p>
      <w:pPr>
        <w:spacing w:after="80"/>
        <w:ind w:firstLine="709"/>
        <w:jc w:val="both"/>
      </w:pPr>
      <w:r>
        <w:t xml:space="preserve">«Bozor», «Sayohat» va «Davolanish» freymlaridan birini tanlang va jadvalni to‘ldiring.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9"/>
      </w:tblGrid>
      <w:tr>
        <w:trPr>
          <w:tblHeader/>
        </w:trPr>
        <w:tc>
          <w:tcPr>
            <w:tcW w:type="dxa" w:w="311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Kognitiv bo‘lak</w:t>
            </w:r>
          </w:p>
        </w:tc>
        <w:tc>
          <w:tcPr>
            <w:tcW w:type="dxa" w:w="311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«Dars» freymi (namuna)</w:t>
            </w:r>
          </w:p>
        </w:tc>
        <w:tc>
          <w:tcPr>
            <w:tcW w:type="dxa" w:w="31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Lisoniy ifodalar</w:t>
            </w:r>
          </w:p>
        </w:tc>
      </w:tr>
      <w:tr>
        <w:trPr>
          <w:tblHeader w:val="false"/>
        </w:trP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KIM?</w:t>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o‘qituvchi, talabalar, guruh sardori</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«domla», «ustoz», «talaba», «tinglovchi»</w:t>
            </w:r>
          </w:p>
        </w:tc>
      </w:tr>
      <w:tr>
        <w:trPr>
          <w:tblHeader w:val="false"/>
        </w:trP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NIMA?</w:t>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ma’ruza o‘qish, tushuntirish, savol-javob, topshiriq bajarish</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«dars o‘tmoq», «tushuntirmoq», «javob bermoq»</w:t>
            </w:r>
          </w:p>
        </w:tc>
      </w:tr>
      <w:tr>
        <w:trPr>
          <w:tblHeader w:val="false"/>
        </w:trP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QAYERDA?</w:t>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auditoriya, sinf xonasi, onlayn platforma</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«auditoriya», «doska», «parta»</w:t>
            </w:r>
          </w:p>
        </w:tc>
      </w:tr>
      <w:tr>
        <w:trPr>
          <w:tblHeader w:val="false"/>
        </w:trP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QACHON?</w:t>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jadval bo‘yicha, juftlik (80 daqiqa), semestr</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«birinchi para», «tanaffus», «qo‘ng‘iroq»</w:t>
            </w:r>
          </w:p>
        </w:tc>
      </w:tr>
      <w:tr>
        <w:trPr>
          <w:tblHeader w:val="false"/>
        </w:trP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QANDAY? NIMA BILAN?</w:t>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taqdimot, darslik, doska, interfaol metodlar</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«slayd», «konspekt», «klaster»</w:t>
            </w:r>
          </w:p>
        </w:tc>
      </w:tr>
      <w:tr>
        <w:trPr>
          <w:tblHeader w:val="false"/>
        </w:trP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NIMA UCHUN?</w:t>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bilim va ko‘nikma berish, baholash</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«o‘zlashtirish», «baho», «reyting»</w:t>
            </w:r>
          </w:p>
        </w:tc>
      </w:tr>
    </w:tbl>
    <w:p>
      <w:pPr>
        <w:spacing w:after="60"/>
      </w:pPr>
    </w:p>
    <w:p>
      <w:pPr>
        <w:pBdr>
          <w:left w:val="single" w:color="2E75B6" w:sz="12" w:space="6"/>
        </w:pBdr>
        <w:shd w:fill="F2F2F2" w:color="auto" w:val="clear"/>
        <w:spacing w:after="40"/>
        <w:ind w:left="284"/>
        <w:jc w:val="both"/>
      </w:pPr>
      <w:r>
        <w:rPr>
          <w:b/>
          <w:bCs/>
        </w:rPr>
        <w:t xml:space="preserve">Namuna izoh:</w:t>
      </w:r>
      <w:r>
        <w:t xml:space="preserve"> «Dars» freymining </w:t>
      </w:r>
      <w:r>
        <w:rPr>
          <w:b/>
          <w:bCs/>
        </w:rPr>
        <w:t xml:space="preserve">standart qiymatlari</w:t>
      </w:r>
      <w:r>
        <w:t xml:space="preserve"> (masalan, «auditoriyada», «o‘qituvchi tushuntiradi») tilda ko‘pincha aytilmaydi. «Ertaga darsga boraman» gapida faqat «QACHON?» bo‘lagi aytilgan, qolganlari esa tinglovchi ongida freym orqali avtomatik tiklanadi.</w:t>
      </w:r>
    </w:p>
    <w:p>
      <w:pPr>
        <w:keepNext/>
        <w:spacing w:after="80" w:before="200"/>
        <w:jc w:val="both"/>
      </w:pPr>
      <w:r>
        <w:rPr>
          <w:b/>
          <w:bCs/>
        </w:rPr>
        <w:t xml:space="preserve">2-topshiriq. Gaplarda freymning kognitiv bo‘laklarini aniqlang.</w:t>
      </w:r>
    </w:p>
    <w:p>
      <w:pPr>
        <w:pStyle w:val="ListParagraph"/>
        <w:numPr>
          <w:ilvl w:val="0"/>
          <w:numId w:val="2"/>
        </w:numPr>
        <w:spacing w:after="40"/>
        <w:jc w:val="both"/>
      </w:pPr>
      <w:r>
        <w:t xml:space="preserve">«Bahorda dehqonlar dalada traktor bilan yer haydashdi, chunki ekish mavsumi yaqinlashgan edi.»</w:t>
      </w:r>
    </w:p>
    <w:p>
      <w:pPr>
        <w:pStyle w:val="ListParagraph"/>
        <w:numPr>
          <w:ilvl w:val="0"/>
          <w:numId w:val="2"/>
        </w:numPr>
        <w:spacing w:after="40"/>
        <w:jc w:val="both"/>
      </w:pPr>
      <w:r>
        <w:t xml:space="preserve">«Kecha onam bozordan arzonroq bo‘lgani uchun naqd pulga ikki kilo olma sotib oldi.»</w:t>
      </w:r>
    </w:p>
    <w:p>
      <w:pPr>
        <w:pStyle w:val="ListParagraph"/>
        <w:numPr>
          <w:ilvl w:val="0"/>
          <w:numId w:val="2"/>
        </w:numPr>
        <w:spacing w:after="40"/>
        <w:jc w:val="both"/>
      </w:pPr>
      <w:r>
        <w:t xml:space="preserve">«Shifokor bemorni ertalab klinikada sinchiklab ko‘rikdan o‘tkazdi.»</w:t>
      </w:r>
    </w:p>
    <w:p>
      <w:pPr>
        <w:pBdr>
          <w:left w:val="single" w:color="2E75B6" w:sz="12" w:space="6"/>
        </w:pBdr>
        <w:shd w:fill="F2F2F2" w:color="auto" w:val="clear"/>
        <w:spacing w:after="40"/>
        <w:ind w:left="284"/>
        <w:jc w:val="both"/>
      </w:pPr>
      <w:r>
        <w:rPr>
          <w:b/>
          <w:bCs/>
        </w:rPr>
        <w:t xml:space="preserve">Namuna:</w:t>
      </w:r>
      <w:r>
        <w:t xml:space="preserve"> «Ertalab (QACHON?) talabalar (KIM?) auditoriyada (QAYERDA?) imtihon uchun (NIMA UCHUN?) testni (NIMA?) kompyuterda (NIMA BILAN?) topshirishdi.» – bu gapda «Imtihon» freymining barcha olti bo‘lagi verballashgan. Odatda gaplarda bo‘laklarning bir qismi aytiladi, qolganlari kontekstdan tiklanadi.</w:t>
      </w:r>
    </w:p>
    <w:p>
      <w:pPr>
        <w:keepNext/>
        <w:spacing w:after="80" w:before="200"/>
        <w:jc w:val="both"/>
      </w:pPr>
      <w:r>
        <w:rPr>
          <w:b/>
          <w:bCs/>
        </w:rPr>
        <w:t xml:space="preserve">3-topshiriq. «Tijorat bitimi» freymida fe’llarning profillashini aniqlang.</w:t>
      </w:r>
    </w:p>
    <w:p>
      <w:pPr>
        <w:spacing w:after="80"/>
        <w:ind w:firstLine="709"/>
        <w:jc w:val="both"/>
      </w:pPr>
      <w:r>
        <w:t xml:space="preserve">Freym elementlari: xaridor, sotuvchi, tovar, pul. Har bir fe’l qaysi elementlarni markazga qo‘yishini aniqlang: «sotib olmoq», «to‘lamoq», «turmoq (narxi)», «qimmatlashmoq», «savdolashmoq», «qarzga olmoq».</w:t>
      </w:r>
    </w:p>
    <w:p>
      <w:pPr>
        <w:pBdr>
          <w:left w:val="single" w:color="2E75B6" w:sz="12" w:space="6"/>
        </w:pBdr>
        <w:shd w:fill="F2F2F2" w:color="auto" w:val="clear"/>
        <w:spacing w:after="40"/>
        <w:ind w:left="284"/>
        <w:jc w:val="both"/>
      </w:pPr>
      <w:r>
        <w:rPr>
          <w:b/>
          <w:bCs/>
        </w:rPr>
        <w:t xml:space="preserve">Namuna («sotmoq»):</w:t>
      </w:r>
      <w:r>
        <w:t xml:space="preserve"> «Dehqon (sotuvchi) bozorda qovunni (tovar) o‘n ming so‘mga (pul) sotdi.» Fe’l </w:t>
      </w:r>
      <w:r>
        <w:rPr>
          <w:b/>
          <w:bCs/>
        </w:rPr>
        <w:t xml:space="preserve">sotuvchi va tovarni</w:t>
      </w:r>
      <w:r>
        <w:t xml:space="preserve"> markazga qo‘yadi; xaridor ko‘rsatilmasligi ham mumkin. Qiyoslang: «Men (xaridor) qovunni (tovar) sotib oldim» – bu yerda markazda xaridor turadi. Bitta vaziyat (freym) turli fe’llar orqali turli nuqtai nazardan ifodalanadi.</w:t>
      </w:r>
    </w:p>
    <w:p>
      <w:pPr>
        <w:keepNext/>
        <w:spacing w:after="80" w:before="200"/>
        <w:jc w:val="both"/>
      </w:pPr>
      <w:r>
        <w:rPr>
          <w:b/>
          <w:bCs/>
        </w:rPr>
        <w:t xml:space="preserve">4-topshiriq. Freymning milliy xususiyatini aniqlang.</w:t>
      </w:r>
    </w:p>
    <w:p>
      <w:pPr>
        <w:spacing w:after="80"/>
        <w:ind w:firstLine="709"/>
        <w:jc w:val="both"/>
      </w:pPr>
      <w:r>
        <w:t xml:space="preserve">«Mehmondorchilik» freymining olti bo‘lagini o‘zbek va ingliz (yoki rus) madaniyatlarida qiyoslang.</w:t>
      </w:r>
    </w:p>
    <w:p>
      <w:pPr>
        <w:pBdr>
          <w:left w:val="single" w:color="2E75B6" w:sz="12" w:space="6"/>
        </w:pBdr>
        <w:shd w:fill="F2F2F2" w:color="auto" w:val="clear"/>
        <w:spacing w:after="40"/>
        <w:ind w:left="284"/>
        <w:jc w:val="both"/>
      </w:pPr>
      <w:r>
        <w:rPr>
          <w:b/>
          <w:bCs/>
        </w:rPr>
        <w:t xml:space="preserve">Namuna (KIM? va QACHON? bo‘laklari):</w:t>
      </w:r>
      <w:r>
        <w:t xml:space="preserve"> O‘zbek madaniyatida «KIM?» bo‘lagiga nafaqat taklif qilingan mehmon, balki kutilmaganda kelgan kishi ham kiradi («Mehmon kelar eshikdan, rizqi kelar teshikdan»). «QACHON?» bo‘lagi ham ko‘pincha erkin: mehmon oldindan xabar bermasdan kelishi mumkin. Ingliz madaniyatida esa tashrif odatda oldindan kelishiladi va vaqt aniq belgilanadi.</w:t>
      </w:r>
    </w:p>
    <w:p>
      <w:pPr>
        <w:pStyle w:val="Heading2"/>
      </w:pPr>
      <w:r>
        <w:t xml:space="preserve">II. Keys-stadi</w:t>
      </w:r>
    </w:p>
    <w:p>
      <w:pPr>
        <w:keepNext/>
        <w:spacing w:after="80" w:before="200"/>
        <w:jc w:val="both"/>
      </w:pPr>
      <w:r>
        <w:rPr>
          <w:b/>
          <w:bCs/>
        </w:rPr>
        <w:t xml:space="preserve">Keys: «FrameNet – freymlar bazasi».</w:t>
      </w:r>
    </w:p>
    <w:p>
      <w:pPr>
        <w:spacing w:after="80"/>
        <w:ind w:firstLine="709"/>
        <w:jc w:val="both"/>
      </w:pPr>
      <w:r>
        <w:t xml:space="preserve">Kaliforniya universitetida (Berkli) Ch. Fillmor rahbarligida yaratilgan FrameNet bazasida ingliz tilidagi so‘zlar freymlar bo‘yicha tasniflangan. Masalan, «buy» fe’li «Commerce_buy» freymiga kiradi. Uning asosiy elementlari – Buyer (xaridor) va Goods (tovar), qo‘shimcha elementlari esa Seller (sotuvchi), Money (pul), Place (joy), Time (vaqt), Purpose (maqsad) va boshqalar.</w:t>
      </w:r>
    </w:p>
    <w:p>
      <w:pPr>
        <w:spacing w:after="80"/>
        <w:ind w:firstLine="709"/>
        <w:jc w:val="both"/>
      </w:pPr>
      <w:r>
        <w:t xml:space="preserve">Topshiriqlar:</w:t>
      </w:r>
    </w:p>
    <w:p>
      <w:pPr>
        <w:pStyle w:val="ListParagraph"/>
        <w:numPr>
          <w:ilvl w:val="0"/>
          <w:numId w:val="2"/>
        </w:numPr>
        <w:spacing w:after="40"/>
        <w:jc w:val="both"/>
      </w:pPr>
      <w:r>
        <w:t xml:space="preserve">FrameNet saytida (framenet.icsi.berkeley.edu) «Commerce_buy» freymini toping va uning elementlarini olti kognitiv bo‘lak bilan solishtiring.</w:t>
      </w:r>
    </w:p>
    <w:p>
      <w:pPr>
        <w:pStyle w:val="ListParagraph"/>
        <w:numPr>
          <w:ilvl w:val="0"/>
          <w:numId w:val="2"/>
        </w:numPr>
        <w:spacing w:after="40"/>
        <w:jc w:val="both"/>
      </w:pPr>
      <w:r>
        <w:t xml:space="preserve">O‘zbek tilida «sotib olmoq», «xarid qilmoq», «olmoq» fe’llari uchun shunday freym tavsifini tuzing.</w:t>
      </w:r>
    </w:p>
    <w:p>
      <w:pPr>
        <w:pStyle w:val="ListParagraph"/>
        <w:numPr>
          <w:ilvl w:val="0"/>
          <w:numId w:val="2"/>
        </w:numPr>
        <w:spacing w:after="40"/>
        <w:jc w:val="both"/>
      </w:pPr>
      <w:r>
        <w:t xml:space="preserve">O‘zbek tili uchun FrameNet kabi baza yaratishning qanday ahamiyati bo‘lishi mumkin?</w:t>
      </w:r>
    </w:p>
    <w:p>
      <w:pPr>
        <w:pBdr>
          <w:left w:val="single" w:color="2E75B6" w:sz="12" w:space="6"/>
        </w:pBdr>
        <w:shd w:fill="F2F2F2" w:color="auto" w:val="clear"/>
        <w:spacing w:after="40"/>
        <w:ind w:left="284"/>
        <w:jc w:val="both"/>
      </w:pPr>
      <w:r>
        <w:rPr>
          <w:b/>
          <w:bCs/>
        </w:rPr>
        <w:t xml:space="preserve">Namuna javob (1-savol qismi):</w:t>
      </w:r>
      <w:r>
        <w:t xml:space="preserve"> Buyer → KIM?; Goods → NIMA?; Place → QAYERDA?; Time → QACHON?; Money va Means → QANDAY? NIMA BILAN?; Purpose → NIMA UCHUN? Demak, FrameNet elementlari olti kognitiv bo‘lak modeliga mos keladi, lekin ular nisbatan batafsilroq.</w:t>
      </w:r>
    </w:p>
    <w:p>
      <w:pPr>
        <w:pStyle w:val="Heading2"/>
      </w:pPr>
      <w:r>
        <w:t xml:space="preserve">III. Kazuslar</w:t>
      </w:r>
    </w:p>
    <w:p>
      <w:pPr>
        <w:keepNext/>
        <w:spacing w:after="80" w:before="200"/>
        <w:jc w:val="both"/>
      </w:pPr>
      <w:r>
        <w:rPr>
          <w:b/>
          <w:bCs/>
        </w:rPr>
        <w:t xml:space="preserve">1-kazus. Bir voqea haqida ikki xil sarlavha berildi: «Benzin narxi oshdi» va «Yoqilg‘i sotuvchilari benzin narxini oshirdi». I. Gofman va Ch. Fillmor freym nazariyasi asosida sarlavhalarni tahlil qiling. Ular o‘quvchida qanday turli tasavvur uyg‘otadi?</w:t>
      </w:r>
    </w:p>
    <w:p>
      <w:pPr>
        <w:pBdr>
          <w:left w:val="single" w:color="2E75B6" w:sz="12" w:space="6"/>
        </w:pBdr>
        <w:shd w:fill="F2F2F2" w:color="auto" w:val="clear"/>
        <w:spacing w:after="40"/>
        <w:ind w:left="284"/>
        <w:jc w:val="both"/>
      </w:pPr>
      <w:r>
        <w:rPr>
          <w:b/>
          <w:bCs/>
        </w:rPr>
        <w:t xml:space="preserve">Namuna yechim:</w:t>
      </w:r>
      <w:r>
        <w:t xml:space="preserve"> Ikkala sarlavha ham bir freymni («narxning o‘zgarishi») faollashtiradi, ammo bo‘laklarni turlicha profillaydi. Birinchi sarlavhada «KIM?» bo‘lagi bo‘sh: narx o‘z-o‘zidan o‘zgargandek tasvirlanadi va javobgarlik ko‘rsatilmaydi. Ikkinchisida «KIM?» bo‘lagi to‘ldirilgan: aniq sub’ekt va uning javobgarligi ko‘rsatilgan. Shunday qilib, ommaviy axborot vositalari freym bo‘laklarini tanlash orqali o‘quvchining voqeaga munosabatini shakllantiradi (Gofman bo‘yicha «freymlash»).</w:t>
      </w:r>
    </w:p>
    <w:p>
      <w:pPr>
        <w:keepNext/>
        <w:spacing w:after="80" w:before="200"/>
        <w:jc w:val="both"/>
      </w:pPr>
      <w:r>
        <w:rPr>
          <w:b/>
          <w:bCs/>
        </w:rPr>
        <w:t xml:space="preserve">2-kazus. Talaba «Freymning bo‘laklari har doim oltita bo‘lishi shart» deb hisoblaydi. Bu fikr to‘g‘rimi?</w:t>
      </w:r>
    </w:p>
    <w:p>
      <w:pPr>
        <w:pBdr>
          <w:left w:val="single" w:color="2E75B6" w:sz="12" w:space="6"/>
        </w:pBdr>
        <w:shd w:fill="F2F2F2" w:color="auto" w:val="clear"/>
        <w:spacing w:after="40"/>
        <w:ind w:left="284"/>
        <w:jc w:val="both"/>
      </w:pPr>
      <w:r>
        <w:rPr>
          <w:b/>
          <w:bCs/>
        </w:rPr>
        <w:t xml:space="preserve">Namuna yechim (yo‘nalish):</w:t>
      </w:r>
      <w:r>
        <w:t xml:space="preserve"> Olti bo‘lak modeli – tahlil uchun qulay umumlashma. Haqiqiy freymlarda slotlar soni ko‘proq bo‘lishi mumkin (masalan, «tijorat bitimi»da sotuvchi va xaridor alohida rollar); ba’zi freymlarda esa ayrim bo‘laklar ahamiyatsiz bo‘ladi...</w:t>
      </w:r>
    </w:p>
    <w:p>
      <w:pPr>
        <w:pStyle w:val="Heading2"/>
      </w:pPr>
      <w:r>
        <w:t xml:space="preserve">IV. Testlar</w:t>
      </w:r>
    </w:p>
    <w:p>
      <w:pPr>
        <w:pStyle w:val="ListParagraph"/>
        <w:keepNext/>
        <w:numPr>
          <w:ilvl w:val="0"/>
          <w:numId w:val="3"/>
        </w:numPr>
        <w:spacing w:after="20" w:before="100"/>
      </w:pPr>
      <w:r>
        <w:t xml:space="preserve">Freym tushunchasini sun’iy intellekt sohasiga kiritgan olim kim?</w:t>
      </w:r>
    </w:p>
    <w:p>
      <w:pPr>
        <w:spacing w:after="0"/>
        <w:ind w:left="1069"/>
      </w:pPr>
      <w:r>
        <w:t xml:space="preserve">A) Ch. Fillmor</w:t>
      </w:r>
    </w:p>
    <w:p>
      <w:pPr>
        <w:spacing w:after="0"/>
        <w:ind w:left="1069"/>
      </w:pPr>
      <w:r>
        <w:t xml:space="preserve">B) M. Minskiy</w:t>
      </w:r>
    </w:p>
    <w:p>
      <w:pPr>
        <w:spacing w:after="0"/>
        <w:ind w:left="1069"/>
      </w:pPr>
      <w:r>
        <w:t xml:space="preserve">C) R. Shenk</w:t>
      </w:r>
    </w:p>
    <w:p>
      <w:pPr>
        <w:spacing w:after="0"/>
        <w:ind w:left="1069"/>
      </w:pPr>
      <w:r>
        <w:t xml:space="preserve">D) I. Gofman</w:t>
      </w:r>
    </w:p>
    <w:p>
      <w:pPr>
        <w:pStyle w:val="ListParagraph"/>
        <w:keepNext/>
        <w:numPr>
          <w:ilvl w:val="0"/>
          <w:numId w:val="3"/>
        </w:numPr>
        <w:spacing w:after="20" w:before="100"/>
      </w:pPr>
      <w:r>
        <w:t xml:space="preserve">Freymning to‘ldiriladigan tarkibiy qismlari qanday ataladi?</w:t>
      </w:r>
    </w:p>
    <w:p>
      <w:pPr>
        <w:spacing w:after="0"/>
        <w:ind w:left="1069"/>
      </w:pPr>
      <w:r>
        <w:t xml:space="preserve">A) Epizodlar</w:t>
      </w:r>
    </w:p>
    <w:p>
      <w:pPr>
        <w:spacing w:after="0"/>
        <w:ind w:left="1069"/>
      </w:pPr>
      <w:r>
        <w:t xml:space="preserve">B) Slotlar</w:t>
      </w:r>
    </w:p>
    <w:p>
      <w:pPr>
        <w:spacing w:after="0"/>
        <w:ind w:left="1069"/>
      </w:pPr>
      <w:r>
        <w:t xml:space="preserve">C) Prototiplar</w:t>
      </w:r>
    </w:p>
    <w:p>
      <w:pPr>
        <w:spacing w:after="0"/>
        <w:ind w:left="1069"/>
      </w:pPr>
      <w:r>
        <w:t xml:space="preserve">D) Geshtaltlar</w:t>
      </w:r>
    </w:p>
    <w:p>
      <w:pPr>
        <w:pStyle w:val="ListParagraph"/>
        <w:keepNext/>
        <w:numPr>
          <w:ilvl w:val="0"/>
          <w:numId w:val="3"/>
        </w:numPr>
        <w:spacing w:after="20" w:before="100"/>
      </w:pPr>
      <w:r>
        <w:t xml:space="preserve">Ch. Fillmorning «Kelishik uchun dalillar» maqolasi qachon e’lon qilingan?</w:t>
      </w:r>
    </w:p>
    <w:p>
      <w:pPr>
        <w:spacing w:after="0"/>
        <w:ind w:left="1069"/>
      </w:pPr>
      <w:r>
        <w:t xml:space="preserve">A) 1958</w:t>
      </w:r>
    </w:p>
    <w:p>
      <w:pPr>
        <w:spacing w:after="0"/>
        <w:ind w:left="1069"/>
      </w:pPr>
      <w:r>
        <w:t xml:space="preserve">B) 1968</w:t>
      </w:r>
    </w:p>
    <w:p>
      <w:pPr>
        <w:spacing w:after="0"/>
        <w:ind w:left="1069"/>
      </w:pPr>
      <w:r>
        <w:t xml:space="preserve">C) 1982</w:t>
      </w:r>
    </w:p>
    <w:p>
      <w:pPr>
        <w:spacing w:after="0"/>
        <w:ind w:left="1069"/>
      </w:pPr>
      <w:r>
        <w:t xml:space="preserve">D) 1997</w:t>
      </w:r>
    </w:p>
    <w:p>
      <w:pPr>
        <w:pStyle w:val="ListParagraph"/>
        <w:keepNext/>
        <w:numPr>
          <w:ilvl w:val="0"/>
          <w:numId w:val="3"/>
        </w:numPr>
        <w:spacing w:after="20" w:before="100"/>
      </w:pPr>
      <w:r>
        <w:t xml:space="preserve">«Bu kitob o‘n ming so‘m turadi» gapida «tijorat bitimi» freymining qaysi elementlari profillangan?</w:t>
      </w:r>
    </w:p>
    <w:p>
      <w:pPr>
        <w:spacing w:after="0"/>
        <w:ind w:left="1069"/>
      </w:pPr>
      <w:r>
        <w:t xml:space="preserve">A) Xaridor va sotuvchi</w:t>
      </w:r>
    </w:p>
    <w:p>
      <w:pPr>
        <w:spacing w:after="0"/>
        <w:ind w:left="1069"/>
      </w:pPr>
      <w:r>
        <w:t xml:space="preserve">B) Tovar va pul</w:t>
      </w:r>
    </w:p>
    <w:p>
      <w:pPr>
        <w:spacing w:after="0"/>
        <w:ind w:left="1069"/>
      </w:pPr>
      <w:r>
        <w:t xml:space="preserve">C) Sotuvchi va pul</w:t>
      </w:r>
    </w:p>
    <w:p>
      <w:pPr>
        <w:spacing w:after="0"/>
        <w:ind w:left="1069"/>
      </w:pPr>
      <w:r>
        <w:t xml:space="preserve">D) Xaridor va tovar</w:t>
      </w:r>
    </w:p>
    <w:p>
      <w:pPr>
        <w:pStyle w:val="ListParagraph"/>
        <w:keepNext/>
        <w:numPr>
          <w:ilvl w:val="0"/>
          <w:numId w:val="3"/>
        </w:numPr>
        <w:spacing w:after="20" w:before="100"/>
      </w:pPr>
      <w:r>
        <w:t xml:space="preserve">Freymning «QAYERDA?» bo‘lagi Fillmorning qaysi chuqur kelishigiga mos keladi?</w:t>
      </w:r>
    </w:p>
    <w:p>
      <w:pPr>
        <w:spacing w:after="0"/>
        <w:ind w:left="1069"/>
      </w:pPr>
      <w:r>
        <w:t xml:space="preserve">A) Agens</w:t>
      </w:r>
    </w:p>
    <w:p>
      <w:pPr>
        <w:spacing w:after="0"/>
        <w:ind w:left="1069"/>
      </w:pPr>
      <w:r>
        <w:t xml:space="preserve">B) Instrument</w:t>
      </w:r>
    </w:p>
    <w:p>
      <w:pPr>
        <w:spacing w:after="0"/>
        <w:ind w:left="1069"/>
      </w:pPr>
      <w:r>
        <w:t xml:space="preserve">C) Lokativ</w:t>
      </w:r>
    </w:p>
    <w:p>
      <w:pPr>
        <w:spacing w:after="0"/>
        <w:ind w:left="1069"/>
      </w:pPr>
      <w:r>
        <w:t xml:space="preserve">D) Ob’ekt</w:t>
      </w:r>
    </w:p>
    <w:p>
      <w:pPr>
        <w:pStyle w:val="ListParagraph"/>
        <w:keepNext/>
        <w:numPr>
          <w:ilvl w:val="0"/>
          <w:numId w:val="3"/>
        </w:numPr>
        <w:spacing w:after="20" w:before="100"/>
      </w:pPr>
      <w:r>
        <w:t xml:space="preserve">«Freym tahlili» (1974) kitobining muallifi, sotsiolog kim?</w:t>
      </w:r>
    </w:p>
    <w:p>
      <w:pPr>
        <w:spacing w:after="0"/>
        <w:ind w:left="1069"/>
      </w:pPr>
      <w:r>
        <w:t xml:space="preserve">A) I. Gofman</w:t>
      </w:r>
    </w:p>
    <w:p>
      <w:pPr>
        <w:spacing w:after="0"/>
        <w:ind w:left="1069"/>
      </w:pPr>
      <w:r>
        <w:t xml:space="preserve">B) T. van Deyk</w:t>
      </w:r>
    </w:p>
    <w:p>
      <w:pPr>
        <w:spacing w:after="0"/>
        <w:ind w:left="1069"/>
      </w:pPr>
      <w:r>
        <w:t xml:space="preserve">C) E. Sepir</w:t>
      </w:r>
    </w:p>
    <w:p>
      <w:pPr>
        <w:spacing w:after="0"/>
        <w:ind w:left="1069"/>
      </w:pPr>
      <w:r>
        <w:t xml:space="preserve">D) U. Labov</w:t>
      </w:r>
    </w:p>
    <w:p>
      <w:pPr>
        <w:spacing w:before="160"/>
      </w:pPr>
      <w:r>
        <w:rPr>
          <w:b/>
          <w:bCs/>
        </w:rPr>
        <w:t xml:space="preserve">Testlar kaliti: </w:t>
      </w:r>
      <w:r>
        <w:t xml:space="preserve">1–B; 2–B; 3–B; 4–B; 5–C; 6–A.</w:t>
      </w:r>
    </w:p>
    <w:p>
      <w:pPr>
        <w:pStyle w:val="Heading2"/>
      </w:pPr>
      <w:r>
        <w:t xml:space="preserve">Nazariy savollar</w:t>
      </w:r>
    </w:p>
    <w:p>
      <w:pPr>
        <w:pStyle w:val="ListParagraph"/>
        <w:numPr>
          <w:ilvl w:val="0"/>
          <w:numId w:val="4"/>
        </w:numPr>
        <w:spacing w:after="40"/>
        <w:jc w:val="both"/>
      </w:pPr>
      <w:r>
        <w:t xml:space="preserve">Freym tushunchasining paydo bo‘lishi va rivojlanish tarixini izohlang.</w:t>
      </w:r>
    </w:p>
    <w:p>
      <w:pPr>
        <w:pStyle w:val="ListParagraph"/>
        <w:numPr>
          <w:ilvl w:val="0"/>
          <w:numId w:val="4"/>
        </w:numPr>
        <w:spacing w:after="40"/>
        <w:jc w:val="both"/>
      </w:pPr>
      <w:r>
        <w:t xml:space="preserve">Freymning olti kognitiv bo‘lagini sanab, ularni Fillmorning chuqur kelishiklari bilan bog‘lang.</w:t>
      </w:r>
    </w:p>
    <w:p>
      <w:pPr>
        <w:pStyle w:val="ListParagraph"/>
        <w:numPr>
          <w:ilvl w:val="0"/>
          <w:numId w:val="4"/>
        </w:numPr>
        <w:spacing w:after="40"/>
        <w:jc w:val="both"/>
      </w:pPr>
      <w:r>
        <w:t xml:space="preserve">Slot, terminal va standart qiymat tushunchalarini izohlang.</w:t>
      </w:r>
    </w:p>
    <w:p>
      <w:pPr>
        <w:pStyle w:val="ListParagraph"/>
        <w:numPr>
          <w:ilvl w:val="0"/>
          <w:numId w:val="4"/>
        </w:numPr>
        <w:spacing w:after="40"/>
        <w:jc w:val="both"/>
      </w:pPr>
      <w:r>
        <w:t xml:space="preserve">«Tijorat bitimi» freymi misolida profillash hodisasini tushuntiring.</w:t>
      </w:r>
    </w:p>
    <w:p>
      <w:pPr>
        <w:pStyle w:val="ListParagraph"/>
        <w:numPr>
          <w:ilvl w:val="0"/>
          <w:numId w:val="4"/>
        </w:numPr>
        <w:spacing w:after="40"/>
        <w:jc w:val="both"/>
      </w:pPr>
      <w:r>
        <w:t xml:space="preserve">Freymning milliy-madaniy xususiyatlari qanday namoyon bo‘ladi?</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Болдырев Н.Н. Когнитивная семантика. – Тамбов: Изд-во ТГУ, 2001.</w:t>
      </w:r>
    </w:p>
    <w:p>
      <w:pPr>
        <w:pStyle w:val="ListParagraph"/>
        <w:numPr>
          <w:ilvl w:val="0"/>
          <w:numId w:val="5"/>
        </w:numPr>
        <w:spacing w:after="40"/>
        <w:jc w:val="both"/>
      </w:pPr>
      <w:r>
        <w:t xml:space="preserve">Минский М. Фреймы для представления знаний. – М.: Энергия, 1979.</w:t>
      </w:r>
    </w:p>
    <w:p>
      <w:pPr>
        <w:pStyle w:val="ListParagraph"/>
        <w:numPr>
          <w:ilvl w:val="0"/>
          <w:numId w:val="5"/>
        </w:numPr>
        <w:spacing w:after="40"/>
        <w:jc w:val="both"/>
      </w:pPr>
      <w:r>
        <w:t xml:space="preserve">Fillmore Ch. Frame Semantics // Linguistics in the Morning Calm. – Seoul: Hanshin, 1982. – P. 111–137.</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FrameNet loyihasi: https://framenet.icsi.berkeley.edu</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10-AMALIY MASHG‘ULOT. FREYM VA UNING OLTITA KOGNITIV BO‘LAGI</dc:title>
  <dc:creator>Un-named</dc:creator>
  <cp:lastModifiedBy>Un-named</cp:lastModifiedBy>
  <cp:revision>1</cp:revision>
  <dcterms:created xsi:type="dcterms:W3CDTF">2026-10-30T07:58:17.646Z</dcterms:created>
  <dcterms:modified xsi:type="dcterms:W3CDTF">2026-10-30T07:58:17.646Z</dcterms:modified>
</cp:coreProperties>
</file>

<file path=docProps/custom.xml><?xml version="1.0" encoding="utf-8"?>
<Properties xmlns="http://schemas.openxmlformats.org/officeDocument/2006/custom-properties" xmlns:vt="http://schemas.openxmlformats.org/officeDocument/2006/docPropsVTypes"/>
</file>