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11-AMALIY MASHG‘ULOT. KATEGORIYA TUSHUNCHASINI ILMIY ADABIYOTLAR ASOSIDA TALQIN QILISH</w:t>
      </w:r>
    </w:p>
    <w:p>
      <w:pPr>
        <w:spacing w:after="160"/>
        <w:jc w:val="both"/>
      </w:pPr>
      <w:r>
        <w:rPr>
          <w:b/>
          <w:bCs/>
        </w:rPr>
        <w:t xml:space="preserve">Mashg‘ulot maqsadi: </w:t>
      </w:r>
      <w:r>
        <w:rPr>
          <w:i/>
          <w:iCs/>
        </w:rPr>
        <w:t xml:space="preserve">Aristotel, L. Vitgenshteyn, E. Rosh va J. Lakoff asarlarida kategoriya va kategoriyalash tushunchalarining talqinini qiyoslash; prototip va bazaviy daraja tushunchalarini eksperiment va o‘zbek tili materiali asosida amalda qo‘llash ko‘nikmasini shakllantirish.</w:t>
      </w:r>
    </w:p>
    <w:p>
      <w:pPr>
        <w:pStyle w:val="Heading2"/>
      </w:pPr>
      <w:r>
        <w:t xml:space="preserve">I. Amaliy topshiriqlar</w:t>
      </w:r>
    </w:p>
    <w:p>
      <w:pPr>
        <w:keepNext/>
        <w:spacing w:after="80" w:before="200"/>
        <w:jc w:val="both"/>
      </w:pPr>
      <w:r>
        <w:rPr>
          <w:b/>
          <w:bCs/>
        </w:rPr>
        <w:t xml:space="preserve">1-topshiriq. Aristotel kategoriyalarini gap tahlilida qo‘llang.</w:t>
      </w:r>
    </w:p>
    <w:p>
      <w:pPr>
        <w:spacing w:after="80"/>
        <w:ind w:firstLine="709"/>
        <w:jc w:val="both"/>
      </w:pPr>
      <w:r>
        <w:t xml:space="preserve">Aristotelning o‘n kategoriyasi: mohiyat, miqdor, sifat, munosabat, joy, vaqt, holat, egalik, harakat (ta’sir etish), ta’sirlanish. Quyidagi gapdagi so‘zlarni kategoriyalarga ajrating: «Kecha kutubxonada o‘tirgan ikki bilimdon talaba o‘z daftarlarini olib, ustozidan yoshroq bo‘lgan dotsent bilan bahslashdi va undan tanbeh oldi.»</w:t>
      </w:r>
    </w:p>
    <w:p>
      <w:pPr>
        <w:pBdr>
          <w:left w:val="single" w:color="2E75B6" w:sz="12" w:space="6"/>
        </w:pBdr>
        <w:shd w:fill="F2F2F2" w:color="auto" w:val="clear"/>
        <w:spacing w:after="40"/>
        <w:ind w:left="284"/>
        <w:jc w:val="both"/>
      </w:pPr>
      <w:r>
        <w:rPr>
          <w:b/>
          <w:bCs/>
        </w:rPr>
        <w:t xml:space="preserve">Namuna:</w:t>
      </w:r>
      <w:r>
        <w:t xml:space="preserve"> «talaba» – </w:t>
      </w:r>
      <w:r>
        <w:rPr>
          <w:b/>
          <w:bCs/>
        </w:rPr>
        <w:t xml:space="preserve">mohiyat</w:t>
      </w:r>
      <w:r>
        <w:t xml:space="preserve"> (kim?); «ikki» – </w:t>
      </w:r>
      <w:r>
        <w:rPr>
          <w:b/>
          <w:bCs/>
        </w:rPr>
        <w:t xml:space="preserve">miqdor</w:t>
      </w:r>
      <w:r>
        <w:t xml:space="preserve">; «bilimdon» – </w:t>
      </w:r>
      <w:r>
        <w:rPr>
          <w:b/>
          <w:bCs/>
        </w:rPr>
        <w:t xml:space="preserve">sifat</w:t>
      </w:r>
      <w:r>
        <w:t xml:space="preserve">; «ustozidan yoshroq» – </w:t>
      </w:r>
      <w:r>
        <w:rPr>
          <w:b/>
          <w:bCs/>
        </w:rPr>
        <w:t xml:space="preserve">munosabat</w:t>
      </w:r>
      <w:r>
        <w:t xml:space="preserve">; «kutubxonada» – </w:t>
      </w:r>
      <w:r>
        <w:rPr>
          <w:b/>
          <w:bCs/>
        </w:rPr>
        <w:t xml:space="preserve">joy</w:t>
      </w:r>
      <w:r>
        <w:t xml:space="preserve">; «kecha» – </w:t>
      </w:r>
      <w:r>
        <w:rPr>
          <w:b/>
          <w:bCs/>
        </w:rPr>
        <w:t xml:space="preserve">vaqt</w:t>
      </w:r>
      <w:r>
        <w:t xml:space="preserve">; «o‘tirgan» – </w:t>
      </w:r>
      <w:r>
        <w:rPr>
          <w:b/>
          <w:bCs/>
        </w:rPr>
        <w:t xml:space="preserve">holat</w:t>
      </w:r>
      <w:r>
        <w:t xml:space="preserve">; «daftarlarini olib» – </w:t>
      </w:r>
      <w:r>
        <w:rPr>
          <w:b/>
          <w:bCs/>
        </w:rPr>
        <w:t xml:space="preserve">egalik</w:t>
      </w:r>
      <w:r>
        <w:t xml:space="preserve">; «bahslashdi» – </w:t>
      </w:r>
      <w:r>
        <w:rPr>
          <w:b/>
          <w:bCs/>
        </w:rPr>
        <w:t xml:space="preserve">harakat</w:t>
      </w:r>
      <w:r>
        <w:t xml:space="preserve">; «tanbeh oldi» – </w:t>
      </w:r>
      <w:r>
        <w:rPr>
          <w:b/>
          <w:bCs/>
        </w:rPr>
        <w:t xml:space="preserve">ta’sirlanish</w:t>
      </w:r>
      <w:r>
        <w:t xml:space="preserve">. Aristotelning o‘zi ham kategoriyalarni shunday misollar orqali izohlagan: «odam» (mohiyat), «ikki tirsak uzunlikda» (miqdor), «oq» (sifat), «Likeyda» (joy), «kecha» (vaqt), «yotibdi» (holat), «etik kiygan» (egalik), «kesmoq» (harakat), «kesilmoq» (ta’sirlanish).</w:t>
      </w:r>
    </w:p>
    <w:p>
      <w:pPr>
        <w:keepNext/>
        <w:spacing w:after="80" w:before="200"/>
        <w:jc w:val="both"/>
      </w:pPr>
      <w:r>
        <w:rPr>
          <w:b/>
          <w:bCs/>
        </w:rPr>
        <w:t xml:space="preserve">2-topshiriq. Prototipni aniqlash bo‘yicha eksperiment o‘tkazing.</w:t>
      </w:r>
    </w:p>
    <w:p>
      <w:pPr>
        <w:spacing w:after="80"/>
        <w:ind w:firstLine="709"/>
        <w:jc w:val="both"/>
      </w:pPr>
      <w:r>
        <w:t xml:space="preserve">«Meva», «mebel», «transport vositasi» va «kasb» kategoriyalaridan birini tanlang. Guruh a’zolari kategoriyaning 8 ta a’zosini 1 dan 7 gacha bo‘lgan shkalada baholasin (1 – eng yaxshi namuna, 7 – kategoriyaga deyarli kirmaydi). O‘rtacha ballni hisoblang.</w:t>
      </w:r>
    </w:p>
    <w:p>
      <w:pPr>
        <w:pBdr>
          <w:left w:val="single" w:color="2E75B6" w:sz="12" w:space="6"/>
        </w:pBdr>
        <w:shd w:fill="F2F2F2" w:color="auto" w:val="clear"/>
        <w:spacing w:after="40"/>
        <w:ind w:left="284"/>
        <w:jc w:val="both"/>
      </w:pPr>
      <w:r>
        <w:rPr>
          <w:b/>
          <w:bCs/>
        </w:rPr>
        <w:t xml:space="preserve">Namuna («qush» kategoriyasi, shartli natijalar):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9"/>
      </w:tblGrid>
      <w:tr>
        <w:trPr>
          <w:tblHeader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A’zo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O‘rtacha ball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Zona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chumchuq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1,2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prototip (markaz)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musicha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1,5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markaz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burgut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2,1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markazga yaqin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tovuq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4,3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periferiya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tuyaqush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5,6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periferiya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pingvin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5,9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uzoq periferiya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ko‘rshapalak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6,8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kategoriyaga kirmaydi (ammo ba’zan adashtiriladi)</w:t>
            </w:r>
          </w:p>
        </w:tc>
      </w:tr>
    </w:tbl>
    <w:p>
      <w:pPr>
        <w:spacing w:after="60"/>
      </w:pPr>
    </w:p>
    <w:p>
      <w:pPr>
        <w:pBdr>
          <w:left w:val="single" w:color="2E75B6" w:sz="12" w:space="6"/>
        </w:pBdr>
        <w:shd w:fill="F2F2F2" w:color="auto" w:val="clear"/>
        <w:spacing w:after="40"/>
        <w:ind w:left="284"/>
        <w:jc w:val="both"/>
      </w:pPr>
      <w:r>
        <w:rPr>
          <w:b/>
          <w:bCs/>
        </w:rPr>
        <w:t xml:space="preserve">Namuna xulosa:</w:t>
      </w:r>
      <w:r>
        <w:t xml:space="preserve"> Kategoriya a’zolari teng emas. Prototip – kichik, ucha oladigan, sayraydigan qush. Tuyaqush va pingvin uchmagani uchun periferiyada joylashgan. Ko‘rshapalakning baholanishi esa kategoriya chegaralarining «loyqa» ekanini ko‘rsatadi.</w:t>
      </w:r>
    </w:p>
    <w:p>
      <w:pPr>
        <w:keepNext/>
        <w:spacing w:after="80" w:before="200"/>
        <w:jc w:val="both"/>
      </w:pPr>
      <w:r>
        <w:rPr>
          <w:b/>
          <w:bCs/>
        </w:rPr>
        <w:t xml:space="preserve">3-topshiriq. Kategoriyalarning uch darajali ierarxiyasini tuzing va bazaviy darajani aniqlang.</w:t>
      </w:r>
    </w:p>
    <w:p>
      <w:pPr>
        <w:spacing w:after="80"/>
        <w:ind w:firstLine="709"/>
        <w:jc w:val="both"/>
      </w:pPr>
      <w:r>
        <w:t xml:space="preserve">«Kiyim», «idish», «hayvon», «musiqa asbobi» kategoriyalari uchun yuqori, bazaviy va quyi darajalarni yozing.</w:t>
      </w:r>
    </w:p>
    <w:p>
      <w:pPr>
        <w:pBdr>
          <w:left w:val="single" w:color="2E75B6" w:sz="12" w:space="6"/>
        </w:pBdr>
        <w:shd w:fill="F2F2F2" w:color="auto" w:val="clear"/>
        <w:spacing w:after="40"/>
        <w:ind w:left="284"/>
        <w:jc w:val="both"/>
      </w:pPr>
      <w:r>
        <w:rPr>
          <w:b/>
          <w:bCs/>
        </w:rPr>
        <w:t xml:space="preserve">Namuna:</w:t>
      </w:r>
      <w:r>
        <w:t xml:space="preserve"> O‘simlik (yuqori daraja) → </w:t>
      </w:r>
      <w:r>
        <w:rPr>
          <w:b/>
          <w:bCs/>
        </w:rPr>
        <w:t xml:space="preserve">daraxt</w:t>
      </w:r>
      <w:r>
        <w:t xml:space="preserve"> (bazaviy daraja) → o‘rik, yong‘oq, terak (quyi daraja). </w:t>
      </w:r>
      <w:r>
        <w:rPr>
          <w:b/>
          <w:bCs/>
        </w:rPr>
        <w:t xml:space="preserve">Izoh:</w:t>
      </w:r>
      <w:r>
        <w:t xml:space="preserve"> bazaviy darajadagi «daraxt» so‘zi qisqa, bolalar tomonidan erta o‘zlashtiriladi va yaxlit obrazga ega: daraxtni chizish mumkin, «o‘simlik»ni esa yagona obraz bilan chizib bo‘lmaydi.</w:t>
      </w:r>
    </w:p>
    <w:p>
      <w:pPr>
        <w:keepNext/>
        <w:spacing w:after="80" w:before="200"/>
        <w:jc w:val="both"/>
      </w:pPr>
      <w:r>
        <w:rPr>
          <w:b/>
          <w:bCs/>
        </w:rPr>
        <w:t xml:space="preserve">4-topshiriq. «O‘yin» kategoriyasidagi oilaviy o‘xshashlikni aniqlang.</w:t>
      </w:r>
    </w:p>
    <w:p>
      <w:pPr>
        <w:spacing w:after="80"/>
        <w:ind w:firstLine="709"/>
        <w:jc w:val="both"/>
      </w:pPr>
      <w:r>
        <w:t xml:space="preserve">Jadvalni to‘ldiring va barcha o‘yinlar uchun umumiy bo‘lgan bitta belgi bor-yo‘qligini aniqlang.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9"/>
        <w:gridCol w:w="1559"/>
        <w:gridCol w:w="1559"/>
        <w:gridCol w:w="1559"/>
        <w:gridCol w:w="1559"/>
        <w:gridCol w:w="1560"/>
      </w:tblGrid>
      <w:tr>
        <w:trPr>
          <w:tblHeader/>
        </w:trPr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O‘yin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G‘olib bormi?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Raqib bormi?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Mahorat kerakmi?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Omad rol o‘ynaydimi?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Jismoniy harakat bormi?</w:t>
            </w:r>
          </w:p>
        </w:tc>
      </w:tr>
      <w:tr>
        <w:trPr>
          <w:tblHeader w:val="false"/>
        </w:trPr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shaxmat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ko‘pkari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</w:tr>
      <w:tr>
        <w:trPr>
          <w:tblHeader w:val="false"/>
        </w:trPr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quvlashmachoq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</w:tr>
      <w:tr>
        <w:trPr>
          <w:tblHeader w:val="false"/>
        </w:trPr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loto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</w:tr>
      <w:tr>
        <w:trPr>
          <w:tblHeader w:val="false"/>
        </w:trPr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kompyuter o‘yini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</w:tr>
      <w:tr>
        <w:trPr>
          <w:tblHeader w:val="false"/>
        </w:trPr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qo‘g‘irchoq o‘ynash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</w:tr>
    </w:tbl>
    <w:p>
      <w:pPr>
        <w:spacing w:after="60"/>
      </w:pPr>
    </w:p>
    <w:p>
      <w:pPr>
        <w:pBdr>
          <w:left w:val="single" w:color="2E75B6" w:sz="12" w:space="6"/>
        </w:pBdr>
        <w:shd w:fill="F2F2F2" w:color="auto" w:val="clear"/>
        <w:spacing w:after="40"/>
        <w:ind w:left="284"/>
        <w:jc w:val="both"/>
      </w:pPr>
      <w:r>
        <w:rPr>
          <w:b/>
          <w:bCs/>
        </w:rPr>
        <w:t xml:space="preserve">Namuna xulosa:</w:t>
      </w:r>
      <w:r>
        <w:t xml:space="preserve"> Shaxmatda g‘olib, raqib va mahorat bor, lekin omad deyarli rol o‘ynamaydi. Qo‘g‘irchoq o‘ynashda esa g‘olib ham, raqib ham yo‘q. Barcha o‘yinlar uchun umumiy bo‘lgan birorta belgi topilmaydi: ular bir-biri bilan turli belgilar orqali «zanjir» kabi bog‘langan. Bu L. Vitgenshteynning </w:t>
      </w:r>
      <w:r>
        <w:rPr>
          <w:b/>
          <w:bCs/>
        </w:rPr>
        <w:t xml:space="preserve">oilaviy o‘xshashlik</w:t>
      </w:r>
      <w:r>
        <w:t xml:space="preserve"> g‘oyasini tasdiqlaydi.</w:t>
      </w:r>
    </w:p>
    <w:p>
      <w:pPr>
        <w:pStyle w:val="Heading2"/>
      </w:pPr>
      <w:r>
        <w:t xml:space="preserve">II. Keys-stadi</w:t>
      </w:r>
    </w:p>
    <w:p>
      <w:pPr>
        <w:keepNext/>
        <w:spacing w:after="80" w:before="200"/>
        <w:jc w:val="both"/>
      </w:pPr>
      <w:r>
        <w:rPr>
          <w:b/>
          <w:bCs/>
        </w:rPr>
        <w:t xml:space="preserve">Keys: «Piyola, kosa yoki chashka?»</w:t>
      </w:r>
    </w:p>
    <w:p>
      <w:pPr>
        <w:spacing w:after="80"/>
        <w:ind w:firstLine="709"/>
        <w:jc w:val="both"/>
      </w:pPr>
      <w:r>
        <w:t xml:space="preserve">U. Labov (1973) idishlarning shakli (balandligi va kengligi nisbati), dastasi bor-yo‘qligi va ichiga nima solingani (qahva, sho‘rva, gul) o‘zgarganda odamlar ularni turlicha nomlashini aniqlagan. O‘zbek tilida ham «piyola», «kosa», «chashka», «krujka», «stakan», «tovoq» kabi so‘zlar mavjud.</w:t>
      </w:r>
    </w:p>
    <w:p>
      <w:pPr>
        <w:spacing w:after="80"/>
        <w:ind w:firstLine="709"/>
        <w:jc w:val="both"/>
      </w:pPr>
      <w:r>
        <w:t xml:space="preserve">Topshiriqlar: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Har bir idish nomining farqlovchi belgilarini (shakli, dastasi, materiali, vazifasi) aniqlang.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Qanday holatda bitta idishni ham «piyola», ham «kosa» deyish mumkin?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Bu holat klassik kategoriyalash nazariyasini qo‘llab-quvvatlaydimi yoki inkor etadimi?</w:t>
      </w:r>
    </w:p>
    <w:p>
      <w:pPr>
        <w:pBdr>
          <w:left w:val="single" w:color="2E75B6" w:sz="12" w:space="6"/>
        </w:pBdr>
        <w:shd w:fill="F2F2F2" w:color="auto" w:val="clear"/>
        <w:spacing w:after="40"/>
        <w:ind w:left="284"/>
        <w:jc w:val="both"/>
      </w:pPr>
      <w:r>
        <w:rPr>
          <w:b/>
          <w:bCs/>
        </w:rPr>
        <w:t xml:space="preserve">Namuna javob (2-savol):</w:t>
      </w:r>
      <w:r>
        <w:t xml:space="preserve"> Kattaroq piyolaga sho‘rva quyilsa, uni ko‘pchilik «kosa» deb ataydi. Kichik kosaga choy quyilsa, «piyola» deyishi mumkin. Demak, nomlash faqat idish shakliga emas, balki uning </w:t>
      </w:r>
      <w:r>
        <w:rPr>
          <w:b/>
          <w:bCs/>
        </w:rPr>
        <w:t xml:space="preserve">vazifasi va vaziyatga</w:t>
      </w:r>
      <w:r>
        <w:t xml:space="preserve"> ham bog‘liq. Kategoriya chegarasi qat’iy emas – bu klassik nazariyani inkor etib, prototip nazariyasini tasdiqlaydi.</w:t>
      </w:r>
    </w:p>
    <w:p>
      <w:pPr>
        <w:pStyle w:val="Heading2"/>
      </w:pPr>
      <w:r>
        <w:t xml:space="preserve">III. Kazuslar</w:t>
      </w:r>
    </w:p>
    <w:p>
      <w:pPr>
        <w:keepNext/>
        <w:spacing w:after="80" w:before="200"/>
        <w:jc w:val="both"/>
      </w:pPr>
      <w:r>
        <w:rPr>
          <w:b/>
          <w:bCs/>
        </w:rPr>
        <w:t xml:space="preserve">1-kazus. Do‘stlar bahslashmoqda: «Pomidor – meva, chunki botanikada uning ichida urug‘i bor!» – «Yo‘q, pomidor – sabzavot, uni salatga solamiz, kompot qilmaymiz!» Kim haq? Javobingizni kategoriyalash nazariyalari asosida asoslang.</w:t>
      </w:r>
    </w:p>
    <w:p>
      <w:pPr>
        <w:pBdr>
          <w:left w:val="single" w:color="2E75B6" w:sz="12" w:space="6"/>
        </w:pBdr>
        <w:shd w:fill="F2F2F2" w:color="auto" w:val="clear"/>
        <w:spacing w:after="40"/>
        <w:ind w:left="284"/>
        <w:jc w:val="both"/>
      </w:pPr>
      <w:r>
        <w:rPr>
          <w:b/>
          <w:bCs/>
        </w:rPr>
        <w:t xml:space="preserve">Namuna yechim:</w:t>
      </w:r>
      <w:r>
        <w:t xml:space="preserve"> Ikkalasi ham o‘z nuqtai nazaridan haq. Botanika </w:t>
      </w:r>
      <w:r>
        <w:rPr>
          <w:b/>
          <w:bCs/>
        </w:rPr>
        <w:t xml:space="preserve">ilmiy kategoriyalash</w:t>
      </w:r>
      <w:r>
        <w:t xml:space="preserve">dan foydalanadi: u zarur va yetarli belgilarga (urug‘li meva) asoslanadi, ya’ni klassik nazariyaga yaqin. Kundalik til esa </w:t>
      </w:r>
      <w:r>
        <w:rPr>
          <w:b/>
          <w:bCs/>
        </w:rPr>
        <w:t xml:space="preserve">xalq (naiv) kategoriyalashi</w:t>
      </w:r>
      <w:r>
        <w:t xml:space="preserve">ga tayanadi: unda asosiy mezon – narsaning inson hayotidagi vazifasi (shirin, desertga – meva; salatga, ovqatga – sabzavot). Qiziq fakt: 1893-yilda AQSh Oliy sudi «Niks Heddenga qarshi» (Nix v. Hedden) ishida bojxona maqsadlari uchun pomidorni kundalik tushunchaga ko‘ra </w:t>
      </w:r>
      <w:r>
        <w:rPr>
          <w:b/>
          <w:bCs/>
        </w:rPr>
        <w:t xml:space="preserve">sabzavot</w:t>
      </w:r>
      <w:r>
        <w:t xml:space="preserve"> deb topgan. Bu kategoriyalashning inson faoliyati va maqsadiga bog‘liqligini ko‘rsatadi.</w:t>
      </w:r>
    </w:p>
    <w:p>
      <w:pPr>
        <w:keepNext/>
        <w:spacing w:after="80" w:before="200"/>
        <w:jc w:val="both"/>
      </w:pPr>
      <w:r>
        <w:rPr>
          <w:b/>
          <w:bCs/>
        </w:rPr>
        <w:t xml:space="preserve">2-kazus. Talaba: «Kit – baliq, chunki u suvda yashaydi va suzadi», deydi. Biolog esa kit sutemizuvchi ekanini aytadi. O‘zbek tilidagi «kit balig‘i» birikmasi nimadan dalolat beradi?</w:t>
      </w:r>
    </w:p>
    <w:p>
      <w:pPr>
        <w:pBdr>
          <w:left w:val="single" w:color="2E75B6" w:sz="12" w:space="6"/>
        </w:pBdr>
        <w:shd w:fill="F2F2F2" w:color="auto" w:val="clear"/>
        <w:spacing w:after="40"/>
        <w:ind w:left="284"/>
        <w:jc w:val="both"/>
      </w:pPr>
      <w:r>
        <w:rPr>
          <w:b/>
          <w:bCs/>
        </w:rPr>
        <w:t xml:space="preserve">Namuna yechim (yo‘nalish):</w:t>
      </w:r>
      <w:r>
        <w:t xml:space="preserve"> «Kit balig‘i» birikmasi tilda xalq kategoriyalashi natijasi mustahkamlanib qolganini ko‘rsatadi: kit «suvda yashaydi, suzadi» degan perseptiv belgilar asosida «baliq» kategoriyasining periferik a’zosi sifatida qabul qilingan...</w:t>
      </w:r>
    </w:p>
    <w:p>
      <w:pPr>
        <w:pStyle w:val="Heading2"/>
      </w:pPr>
      <w:r>
        <w:t xml:space="preserve">IV. Testlar</w:t>
      </w:r>
    </w:p>
    <w:p>
      <w:pPr>
        <w:pStyle w:val="ListParagraph"/>
        <w:keepNext/>
        <w:numPr>
          <w:ilvl w:val="0"/>
          <w:numId w:val="3"/>
        </w:numPr>
        <w:spacing w:after="20" w:before="100"/>
      </w:pPr>
      <w:r>
        <w:t xml:space="preserve">Aristotel «Kategoriyalar» asarida nechta kategoriyani ajratgan?</w:t>
      </w:r>
    </w:p>
    <w:p>
      <w:pPr>
        <w:spacing w:after="0"/>
        <w:ind w:left="1069"/>
      </w:pPr>
      <w:r>
        <w:t xml:space="preserve">A) 4 ta</w:t>
      </w:r>
    </w:p>
    <w:p>
      <w:pPr>
        <w:spacing w:after="0"/>
        <w:ind w:left="1069"/>
      </w:pPr>
      <w:r>
        <w:t xml:space="preserve">B) 10 ta</w:t>
      </w:r>
    </w:p>
    <w:p>
      <w:pPr>
        <w:spacing w:after="0"/>
        <w:ind w:left="1069"/>
      </w:pPr>
      <w:r>
        <w:t xml:space="preserve">C) 12 ta</w:t>
      </w:r>
    </w:p>
    <w:p>
      <w:pPr>
        <w:spacing w:after="0"/>
        <w:ind w:left="1069"/>
      </w:pPr>
      <w:r>
        <w:t xml:space="preserve">D) 7 ta</w:t>
      </w:r>
    </w:p>
    <w:p>
      <w:pPr>
        <w:pStyle w:val="ListParagraph"/>
        <w:keepNext/>
        <w:numPr>
          <w:ilvl w:val="0"/>
          <w:numId w:val="3"/>
        </w:numPr>
        <w:spacing w:after="20" w:before="100"/>
      </w:pPr>
      <w:r>
        <w:t xml:space="preserve">I. Kant aqlning nechta kategoriyasini ajratgan?</w:t>
      </w:r>
    </w:p>
    <w:p>
      <w:pPr>
        <w:spacing w:after="0"/>
        <w:ind w:left="1069"/>
      </w:pPr>
      <w:r>
        <w:t xml:space="preserve">A) 10 ta</w:t>
      </w:r>
    </w:p>
    <w:p>
      <w:pPr>
        <w:spacing w:after="0"/>
        <w:ind w:left="1069"/>
      </w:pPr>
      <w:r>
        <w:t xml:space="preserve">B) 12 ta</w:t>
      </w:r>
    </w:p>
    <w:p>
      <w:pPr>
        <w:spacing w:after="0"/>
        <w:ind w:left="1069"/>
      </w:pPr>
      <w:r>
        <w:t xml:space="preserve">C) 6 ta</w:t>
      </w:r>
    </w:p>
    <w:p>
      <w:pPr>
        <w:spacing w:after="0"/>
        <w:ind w:left="1069"/>
      </w:pPr>
      <w:r>
        <w:t xml:space="preserve">D) 4 ta</w:t>
      </w:r>
    </w:p>
    <w:p>
      <w:pPr>
        <w:pStyle w:val="ListParagraph"/>
        <w:keepNext/>
        <w:numPr>
          <w:ilvl w:val="0"/>
          <w:numId w:val="3"/>
        </w:numPr>
        <w:spacing w:after="20" w:before="100"/>
      </w:pPr>
      <w:r>
        <w:t xml:space="preserve">«Oilaviy o‘xshashlik» g‘oyasi qaysi asarda ilgari surilgan?</w:t>
      </w:r>
    </w:p>
    <w:p>
      <w:pPr>
        <w:spacing w:after="0"/>
        <w:ind w:left="1069"/>
      </w:pPr>
      <w:r>
        <w:t xml:space="preserve">A) «Mantiqiy-falsafiy traktat»</w:t>
      </w:r>
    </w:p>
    <w:p>
      <w:pPr>
        <w:spacing w:after="0"/>
        <w:ind w:left="1069"/>
      </w:pPr>
      <w:r>
        <w:t xml:space="preserve">B) «Falsafiy tadqiqotlar»</w:t>
      </w:r>
    </w:p>
    <w:p>
      <w:pPr>
        <w:spacing w:after="0"/>
        <w:ind w:left="1069"/>
      </w:pPr>
      <w:r>
        <w:t xml:space="preserve">C) «Sof aqlning tanqidi»</w:t>
      </w:r>
    </w:p>
    <w:p>
      <w:pPr>
        <w:spacing w:after="0"/>
        <w:ind w:left="1069"/>
      </w:pPr>
      <w:r>
        <w:t xml:space="preserve">D) «Kategoriyalar»</w:t>
      </w:r>
    </w:p>
    <w:p>
      <w:pPr>
        <w:pStyle w:val="ListParagraph"/>
        <w:keepNext/>
        <w:numPr>
          <w:ilvl w:val="0"/>
          <w:numId w:val="3"/>
        </w:numPr>
        <w:spacing w:after="20" w:before="100"/>
      </w:pPr>
      <w:r>
        <w:t xml:space="preserve">Prototiplar nazariyasining asoschisi kim?</w:t>
      </w:r>
    </w:p>
    <w:p>
      <w:pPr>
        <w:spacing w:after="0"/>
        <w:ind w:left="1069"/>
      </w:pPr>
      <w:r>
        <w:t xml:space="preserve">A) E. Rosh</w:t>
      </w:r>
    </w:p>
    <w:p>
      <w:pPr>
        <w:spacing w:after="0"/>
        <w:ind w:left="1069"/>
      </w:pPr>
      <w:r>
        <w:t xml:space="preserve">B) U. Labov</w:t>
      </w:r>
    </w:p>
    <w:p>
      <w:pPr>
        <w:spacing w:after="0"/>
        <w:ind w:left="1069"/>
      </w:pPr>
      <w:r>
        <w:t xml:space="preserve">C) J. Lakoff</w:t>
      </w:r>
    </w:p>
    <w:p>
      <w:pPr>
        <w:spacing w:after="0"/>
        <w:ind w:left="1069"/>
      </w:pPr>
      <w:r>
        <w:t xml:space="preserve">D) B. Berlin</w:t>
      </w:r>
    </w:p>
    <w:p>
      <w:pPr>
        <w:pStyle w:val="ListParagraph"/>
        <w:keepNext/>
        <w:numPr>
          <w:ilvl w:val="0"/>
          <w:numId w:val="3"/>
        </w:numPr>
        <w:spacing w:after="20" w:before="100"/>
      </w:pPr>
      <w:r>
        <w:t xml:space="preserve">«Mebel – stul – oshxona stuli» qatorida bazaviy daraja qaysi?</w:t>
      </w:r>
    </w:p>
    <w:p>
      <w:pPr>
        <w:spacing w:after="0"/>
        <w:ind w:left="1069"/>
      </w:pPr>
      <w:r>
        <w:t xml:space="preserve">A) mebel</w:t>
      </w:r>
    </w:p>
    <w:p>
      <w:pPr>
        <w:spacing w:after="0"/>
        <w:ind w:left="1069"/>
      </w:pPr>
      <w:r>
        <w:t xml:space="preserve">B) stul</w:t>
      </w:r>
    </w:p>
    <w:p>
      <w:pPr>
        <w:spacing w:after="0"/>
        <w:ind w:left="1069"/>
      </w:pPr>
      <w:r>
        <w:t xml:space="preserve">C) oshxona stuli</w:t>
      </w:r>
    </w:p>
    <w:p>
      <w:pPr>
        <w:spacing w:after="0"/>
        <w:ind w:left="1069"/>
      </w:pPr>
      <w:r>
        <w:t xml:space="preserve">D) bazaviy daraja yo‘q</w:t>
      </w:r>
    </w:p>
    <w:p>
      <w:pPr>
        <w:pStyle w:val="ListParagraph"/>
        <w:keepNext/>
        <w:numPr>
          <w:ilvl w:val="0"/>
          <w:numId w:val="3"/>
        </w:numPr>
        <w:spacing w:after="20" w:before="100"/>
      </w:pPr>
      <w:r>
        <w:t xml:space="preserve">J. Lakoffning «Ayollar, olov va xavfli narsalar» kitobi nomi qaysi til materialiga ishora qiladi?</w:t>
      </w:r>
    </w:p>
    <w:p>
      <w:pPr>
        <w:spacing w:after="0"/>
        <w:ind w:left="1069"/>
      </w:pPr>
      <w:r>
        <w:t xml:space="preserve">A) Xopi tili</w:t>
      </w:r>
    </w:p>
    <w:p>
      <w:pPr>
        <w:spacing w:after="0"/>
        <w:ind w:left="1069"/>
      </w:pPr>
      <w:r>
        <w:t xml:space="preserve">B) Dyirbal tili</w:t>
      </w:r>
    </w:p>
    <w:p>
      <w:pPr>
        <w:spacing w:after="0"/>
        <w:ind w:left="1069"/>
      </w:pPr>
      <w:r>
        <w:t xml:space="preserve">C) Dani tili</w:t>
      </w:r>
    </w:p>
    <w:p>
      <w:pPr>
        <w:spacing w:after="0"/>
        <w:ind w:left="1069"/>
      </w:pPr>
      <w:r>
        <w:t xml:space="preserve">D) Yapon tili</w:t>
      </w:r>
    </w:p>
    <w:p>
      <w:pPr>
        <w:spacing w:before="160"/>
      </w:pPr>
      <w:r>
        <w:rPr>
          <w:b/>
          <w:bCs/>
        </w:rPr>
        <w:t xml:space="preserve">Testlar kaliti: </w:t>
      </w:r>
      <w:r>
        <w:t xml:space="preserve">1–B; 2–B; 3–B; 4–A; 5–B; 6–B.</w:t>
      </w:r>
    </w:p>
    <w:p>
      <w:pPr>
        <w:pStyle w:val="Heading2"/>
      </w:pPr>
      <w:r>
        <w:t xml:space="preserve">Nazariy savollar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Kategoriya va kategoriyalash tushunchalarini izohlang.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Klassik kategoriyalash nazariyasining asosiy qoidalarini tushuntiring.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L. Vitgenshteynning «oilaviy o‘xshashlik» g‘oyasi klassik nazariyani qanday tanqid qiladi?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E. Roshning prototip va bazaviy daraja haqidagi g‘oyalarini izohlang.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J. Lakoffning radial kategoriyalar va idealashtirilgan kognitiv modellar nazariyasini tushuntiring.</w:t>
      </w:r>
    </w:p>
    <w:p>
      <w:pPr>
        <w:pStyle w:val="Heading2"/>
      </w:pPr>
      <w:r>
        <w:t xml:space="preserve">Foydalanilgan adabiyotlar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Safarov Sh. Kognitiv tilshunoslik. – Jizzax: Sangzor, 2006.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Лакофф Дж. Женщины, огонь и опасные вещи: Что категории языка говорят нам о мышлении. – М.: Языки славянской культуры, 2004.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Lakoff G. Women, Fire, and Dangerous Things: What Categories Reveal about the Mind. – Chicago: University of Chicago Press, 1987.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Rosch E. Principles of Categorization // Cognition and Categorization / Eds. E. Rosch, B.B. Lloyd. – Hillsdale, NJ: Lawrence Erlbaum, 1978. – P. 27–48.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Попова З.Д., Стернин И.А. Когнитивная лингвистика. – М.: АСТ: Восток–Запад, 2007.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Болдырев Н.Н. Когнитивная семантика. – Тамбов: Изд-во ТГУ, 2001.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Ungerer F., Schmid H.-J. An Introduction to Cognitive Linguistics. – 2nd ed. – London: Pearson Longman, 2006.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Croft W., Cruse D.A. Cognitive Linguistics. – Cambridge: Cambridge University Press, 2004.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567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  <w:jc w:val="center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Times New Roman" w:cs="Times New Roman" w:eastAsia="Times New Roman" w:hAnsi="Times New Roman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11-AMALIY MASHG‘ULOT. KATEGORIYA TUSHUNCHASINI ILMIY ADABIYOTLAR ASOSIDA TALQIN QILISH</dc:title>
  <dc:creator>Un-named</dc:creator>
  <cp:lastModifiedBy>Un-named</cp:lastModifiedBy>
  <cp:revision>1</cp:revision>
  <dcterms:created xsi:type="dcterms:W3CDTF">2026-10-30T07:58:17.670Z</dcterms:created>
  <dcterms:modified xsi:type="dcterms:W3CDTF">2026-10-30T07:58:17.670Z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