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12-AMALIY MASHG‘ULOT. TIL VA MADANIYAT MUNOSABATI</w:t>
      </w:r>
    </w:p>
    <w:p>
      <w:pPr>
        <w:spacing w:after="160"/>
        <w:jc w:val="both"/>
      </w:pPr>
      <w:r>
        <w:rPr>
          <w:b/>
          <w:bCs/>
        </w:rPr>
        <w:t xml:space="preserve">Mashg‘ulot maqsadi: </w:t>
      </w:r>
      <w:r>
        <w:rPr>
          <w:i/>
          <w:iCs/>
        </w:rPr>
        <w:t xml:space="preserve">Lingvokulturemalar, madaniyat etalonlari, presedent birliklar va lakunalarni o‘zbek tili materialida aniqlash va izohlash; til birliklarining madaniy mazmunini boshqa tillar bilan qiyoslash; madaniyatlararo muloqotdagi muammolarni lingvokulturologik tahlil qilish ko‘nikmasini shakllantirish.</w:t>
      </w:r>
    </w:p>
    <w:p>
      <w:pPr>
        <w:pStyle w:val="Heading2"/>
      </w:pPr>
      <w:r>
        <w:t xml:space="preserve">I. Amaliy topshiriqlar</w:t>
      </w:r>
    </w:p>
    <w:p>
      <w:pPr>
        <w:keepNext/>
        <w:spacing w:after="80" w:before="200"/>
        <w:jc w:val="both"/>
      </w:pPr>
      <w:r>
        <w:rPr>
          <w:b/>
          <w:bCs/>
        </w:rPr>
        <w:t xml:space="preserve">1-topshiriq. Lingvokulturemalarni izohlang.</w:t>
      </w:r>
    </w:p>
    <w:p>
      <w:pPr>
        <w:spacing w:after="80"/>
        <w:ind w:firstLine="709"/>
        <w:jc w:val="both"/>
      </w:pPr>
      <w:r>
        <w:t xml:space="preserve">Har bir so‘zning lisoniy ma’nosini va madaniy fonini (u bilan bog‘liq urf-odatlar, marosimlar, qadriyatlar) yozing: «do‘ppi», «beshik», «hashar», «gap» (davra), «ko‘pkari», «atlas», «tandir».</w:t>
      </w:r>
    </w:p>
    <w:p>
      <w:pPr>
        <w:pBdr>
          <w:left w:val="single" w:color="2E75B6" w:sz="12" w:space="6"/>
        </w:pBdr>
        <w:shd w:fill="F2F2F2" w:color="auto" w:val="clear"/>
        <w:spacing w:after="40"/>
        <w:ind w:left="284"/>
        <w:jc w:val="both"/>
      </w:pPr>
      <w:r>
        <w:rPr>
          <w:b/>
          <w:bCs/>
        </w:rPr>
        <w:t xml:space="preserve">Namuna («sumalak»):</w:t>
      </w:r>
    </w:p>
    <w:p>
      <w:pPr>
        <w:pBdr>
          <w:left w:val="single" w:color="2E75B6" w:sz="12" w:space="6"/>
        </w:pBdr>
        <w:shd w:fill="F2F2F2" w:color="auto" w:val="clear"/>
        <w:spacing w:after="40"/>
        <w:ind w:left="284"/>
        <w:jc w:val="both"/>
      </w:pPr>
      <w:r>
        <w:t xml:space="preserve">– </w:t>
      </w:r>
      <w:r>
        <w:rPr>
          <w:b/>
          <w:bCs/>
        </w:rPr>
        <w:t xml:space="preserve">Lisoniy ma’no:</w:t>
      </w:r>
      <w:r>
        <w:t xml:space="preserve"> undirilgan bug‘doy shirasi va un qo‘shib, uzoq qaynatib tayyorlanadigan quyuq shirin taom.</w:t>
      </w:r>
    </w:p>
    <w:p>
      <w:pPr>
        <w:pBdr>
          <w:left w:val="single" w:color="2E75B6" w:sz="12" w:space="6"/>
        </w:pBdr>
        <w:shd w:fill="F2F2F2" w:color="auto" w:val="clear"/>
        <w:spacing w:after="40"/>
        <w:ind w:left="284"/>
        <w:jc w:val="both"/>
      </w:pPr>
      <w:r>
        <w:t xml:space="preserve">– </w:t>
      </w:r>
      <w:r>
        <w:rPr>
          <w:b/>
          <w:bCs/>
        </w:rPr>
        <w:t xml:space="preserve">Madaniy fon:</w:t>
      </w:r>
      <w:r>
        <w:t xml:space="preserve"> Navro‘z bayramining ramzi; asosan ayollar tomonidan tun bo‘yi qozon atrofida qo‘shiq aytib («Sumalak qaynar, biz kapgir solamiz...») tayyorlanadi; qozon tubiga tosh yoki yong‘oq solinadi va u kimga chiqsa, niyati ijobat bo‘ladi, deb ishoniladi; sumalak qo‘shnilarga ulashiladi – bu jamoaviylik va baraka g‘oyasini ifodalaydi.</w:t>
      </w:r>
    </w:p>
    <w:p>
      <w:pPr>
        <w:pBdr>
          <w:left w:val="single" w:color="2E75B6" w:sz="12" w:space="6"/>
        </w:pBdr>
        <w:shd w:fill="F2F2F2" w:color="auto" w:val="clear"/>
        <w:spacing w:after="40"/>
        <w:ind w:left="284"/>
        <w:jc w:val="both"/>
      </w:pPr>
      <w:r>
        <w:t xml:space="preserve">– </w:t>
      </w:r>
      <w:r>
        <w:rPr>
          <w:b/>
          <w:bCs/>
        </w:rPr>
        <w:t xml:space="preserve">Xulosa:</w:t>
      </w:r>
      <w:r>
        <w:t xml:space="preserve"> so‘z orqasida butun marosim va qadriyatlar tizimi turadi. Shuning uchun u </w:t>
      </w:r>
      <w:r>
        <w:rPr>
          <w:b/>
          <w:bCs/>
        </w:rPr>
        <w:t xml:space="preserve">lingvokulturema</w:t>
      </w:r>
      <w:r>
        <w:t xml:space="preserve"> hisoblanadi.</w:t>
      </w:r>
    </w:p>
    <w:p>
      <w:pPr>
        <w:keepNext/>
        <w:spacing w:after="80" w:before="200"/>
        <w:jc w:val="both"/>
      </w:pPr>
      <w:r>
        <w:rPr>
          <w:b/>
          <w:bCs/>
        </w:rPr>
        <w:t xml:space="preserve">2-topshiriq. Madaniyat etalonlarini qiyoslang.</w:t>
      </w:r>
    </w:p>
    <w:p>
      <w:pPr>
        <w:spacing w:after="80"/>
        <w:ind w:firstLine="709"/>
        <w:jc w:val="both"/>
      </w:pPr>
      <w:r>
        <w:t xml:space="preserve">O‘xshatishlarni o‘zbek, rus va ingliz tillarida qiyoslang va farqlarni izohlang.</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41"/>
      </w:tblGrid>
      <w:tr>
        <w:trPr>
          <w:tblHeader/>
        </w:trPr>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Sifat</w:t>
            </w:r>
          </w:p>
        </w:tc>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O‘zbek tili</w:t>
            </w:r>
          </w:p>
        </w:tc>
        <w:tc>
          <w:tcPr>
            <w:tcW w:type="dxa" w:w="2338"/>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Rus tili</w:t>
            </w:r>
          </w:p>
        </w:tc>
        <w:tc>
          <w:tcPr>
            <w:tcW w:type="dxa" w:w="2341"/>
            <w:tcBorders>
              <w:top w:val="single" w:color="808080" w:sz="4"/>
              <w:left w:val="single" w:color="808080" w:sz="4"/>
              <w:bottom w:val="single" w:color="808080" w:sz="4"/>
              <w:right w:val="single" w:color="808080" w:sz="4"/>
            </w:tcBorders>
            <w:shd w:fill="D9E2F3" w:color="auto" w:val="clear"/>
            <w:tcMar>
              <w:top w:type="dxa" w:w="40"/>
              <w:left w:type="dxa" w:w="80"/>
              <w:bottom w:type="dxa" w:w="40"/>
              <w:right w:type="dxa" w:w="80"/>
            </w:tcMar>
          </w:tcPr>
          <w:p>
            <w:r>
              <w:rPr>
                <w:b/>
                <w:bCs/>
                <w:sz w:val="22"/>
                <w:szCs w:val="22"/>
              </w:rPr>
              <w:t xml:space="preserve">Ingliz tili</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ayyorlik</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tulkiday ayyor</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хитрый как лиса</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as sly as a fox</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jasorat</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yuvoshlik</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go‘zallik</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mehnatkashlik</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r>
        <w:trPr>
          <w:tblHeader w:val="false"/>
        </w:trPr>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ahmoqlik</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38"/>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c>
          <w:tcPr>
            <w:tcW w:type="dxa" w:w="2341"/>
            <w:tcBorders>
              <w:top w:val="single" w:color="808080" w:sz="4"/>
              <w:left w:val="single" w:color="808080" w:sz="4"/>
              <w:bottom w:val="single" w:color="808080" w:sz="4"/>
              <w:right w:val="single" w:color="808080" w:sz="4"/>
            </w:tcBorders>
            <w:tcMar>
              <w:top w:type="dxa" w:w="40"/>
              <w:left w:type="dxa" w:w="80"/>
              <w:bottom w:type="dxa" w:w="40"/>
              <w:right w:type="dxa" w:w="80"/>
            </w:tcMar>
          </w:tcPr>
          <w:p>
            <w:r>
              <w:rPr>
                <w:b w:val="false"/>
                <w:bCs w:val="false"/>
                <w:sz w:val="22"/>
                <w:szCs w:val="22"/>
              </w:rPr>
              <w:t xml:space="preserve">...</w:t>
            </w:r>
          </w:p>
        </w:tc>
      </w:tr>
    </w:tbl>
    <w:p>
      <w:pPr>
        <w:spacing w:after="60"/>
      </w:pPr>
    </w:p>
    <w:p>
      <w:pPr>
        <w:pBdr>
          <w:left w:val="single" w:color="2E75B6" w:sz="12" w:space="6"/>
        </w:pBdr>
        <w:shd w:fill="F2F2F2" w:color="auto" w:val="clear"/>
        <w:spacing w:after="40"/>
        <w:ind w:left="284"/>
        <w:jc w:val="both"/>
      </w:pPr>
      <w:r>
        <w:rPr>
          <w:b/>
          <w:bCs/>
        </w:rPr>
        <w:t xml:space="preserve">Namuna izoh:</w:t>
      </w:r>
      <w:r>
        <w:t xml:space="preserve"> «Ayyorlik» etaloni uch tilda bir xil (tulki). Bu universal madaniy etalon bo‘lib, hayvonni kuzatish tajribasiga asoslangan. «Go‘zallik» etalonida esa farq bor: o‘zbek tilida «oyday go‘zal», «sarvqomat»; ingliz tilida «as pretty as a picture» («rasmdek chiroyli»). Bu madaniy etalonlarning milliy xususiyatini ko‘rsatadi.</w:t>
      </w:r>
    </w:p>
    <w:p>
      <w:pPr>
        <w:keepNext/>
        <w:spacing w:after="80" w:before="200"/>
        <w:jc w:val="both"/>
      </w:pPr>
      <w:r>
        <w:rPr>
          <w:b/>
          <w:bCs/>
        </w:rPr>
        <w:t xml:space="preserve">3-topshiriq. Presedent birliklarni aniqlang va ularning manbasini ko‘rsating.</w:t>
      </w:r>
    </w:p>
    <w:p>
      <w:pPr>
        <w:spacing w:after="80"/>
        <w:ind w:firstLine="709"/>
        <w:jc w:val="both"/>
      </w:pPr>
      <w:r>
        <w:t xml:space="preserve">«Alpomishday botir», «Afandichasiga ish tutdi», «Majnun bo‘lib qoldi», «Hotamtoy saxiyligi», «Farhoddek mehnat qilmoq», «Ilm olish – igna bilan quduq qazish».</w:t>
      </w:r>
    </w:p>
    <w:p>
      <w:pPr>
        <w:pBdr>
          <w:left w:val="single" w:color="2E75B6" w:sz="12" w:space="6"/>
        </w:pBdr>
        <w:shd w:fill="F2F2F2" w:color="auto" w:val="clear"/>
        <w:spacing w:after="40"/>
        <w:ind w:left="284"/>
        <w:jc w:val="both"/>
      </w:pPr>
      <w:r>
        <w:rPr>
          <w:b/>
          <w:bCs/>
        </w:rPr>
        <w:t xml:space="preserve">Namuna:</w:t>
      </w:r>
      <w:r>
        <w:t xml:space="preserve"> «Farhoddek mehnat qilmoq» – </w:t>
      </w:r>
      <w:r>
        <w:rPr>
          <w:b/>
          <w:bCs/>
        </w:rPr>
        <w:t xml:space="preserve">presedent ism</w:t>
      </w:r>
      <w:r>
        <w:t xml:space="preserve"> asosidagi ibora. Manbasi: Alisher Navoiyning «Farhod va Shirin» dostoni (shuningdek, xalq og‘zaki ijodidagi rivoyatlar). Unda Farhod Shirin uchun tog‘ni qazib, ariq chiqaradi. Ibora «og‘ir, matonatli, fidokorona mehnat» ma’nosini bildiradi va o‘quvchi bu syujetni bilgandagina to‘liq tushuniladi.</w:t>
      </w:r>
    </w:p>
    <w:p>
      <w:pPr>
        <w:keepNext/>
        <w:spacing w:after="80" w:before="200"/>
        <w:jc w:val="both"/>
      </w:pPr>
      <w:r>
        <w:rPr>
          <w:b/>
          <w:bCs/>
        </w:rPr>
        <w:t xml:space="preserve">4-topshiriq. Ekvivalentsiz leksikani tarjima qilish usullarini tanlang.</w:t>
      </w:r>
    </w:p>
    <w:p>
      <w:pPr>
        <w:spacing w:after="80"/>
        <w:ind w:firstLine="709"/>
        <w:jc w:val="both"/>
      </w:pPr>
      <w:r>
        <w:t xml:space="preserve">«Mahalla», «hashar», «chopon», «sandal», «so‘ri», «nikoh to‘yi» so‘zlarini ingliz tiliga tarjima qiling. Har bir holatda qanday usul (transliteratsiya, tasviriy tarjima, kalka, izoh) qo‘llanganini ko‘rsating.</w:t>
      </w:r>
    </w:p>
    <w:p>
      <w:pPr>
        <w:pBdr>
          <w:left w:val="single" w:color="2E75B6" w:sz="12" w:space="6"/>
        </w:pBdr>
        <w:shd w:fill="F2F2F2" w:color="auto" w:val="clear"/>
        <w:spacing w:after="40"/>
        <w:ind w:left="284"/>
        <w:jc w:val="both"/>
      </w:pPr>
      <w:r>
        <w:rPr>
          <w:b/>
          <w:bCs/>
        </w:rPr>
        <w:t xml:space="preserve">Namuna («mahalla»):</w:t>
      </w:r>
      <w:r>
        <w:t xml:space="preserve"> Transliteratsiya va izoh: «mahalla (a traditional Uzbek neighbourhood community with its own self-governing council)». Faqat «neighbourhood» deb tarjima qilish yetarli emas, chunki unda o‘zaro yordam, marosimlarni birgalikda o‘tkazish, oqsoqollar kengashi kabi madaniy komponentlar yo‘qoladi.</w:t>
      </w:r>
    </w:p>
    <w:p>
      <w:pPr>
        <w:pStyle w:val="Heading2"/>
      </w:pPr>
      <w:r>
        <w:t xml:space="preserve">II. Keys-stadi</w:t>
      </w:r>
    </w:p>
    <w:p>
      <w:pPr>
        <w:keepNext/>
        <w:spacing w:after="80" w:before="200"/>
        <w:jc w:val="both"/>
      </w:pPr>
      <w:r>
        <w:rPr>
          <w:b/>
          <w:bCs/>
        </w:rPr>
        <w:t xml:space="preserve">Keys: «Madaniyat aysbergi».</w:t>
      </w:r>
    </w:p>
    <w:p>
      <w:pPr>
        <w:spacing w:after="80"/>
        <w:ind w:firstLine="709"/>
        <w:jc w:val="both"/>
      </w:pPr>
      <w:r>
        <w:t xml:space="preserve">Antropolog E. Xoll madaniyatni aysbergga o‘xshatgan: uning kichik qismi suv ustida ko‘rinadi (taomlar, kiyimlar, bayramlar, til), katta qismi esa suv ostida yashiringan (qadriyatlar, vaqtga munosabat, shaxsiy masofa, muloqot uslubi, oila haqidagi tasavvurlar).</w:t>
      </w:r>
    </w:p>
    <w:p>
      <w:pPr>
        <w:spacing w:after="80"/>
        <w:ind w:firstLine="709"/>
        <w:jc w:val="both"/>
      </w:pPr>
      <w:r>
        <w:t xml:space="preserve">Topshiriqlar:</w:t>
      </w:r>
    </w:p>
    <w:p>
      <w:pPr>
        <w:pStyle w:val="ListParagraph"/>
        <w:numPr>
          <w:ilvl w:val="0"/>
          <w:numId w:val="2"/>
        </w:numPr>
        <w:spacing w:after="40"/>
        <w:jc w:val="both"/>
      </w:pPr>
      <w:r>
        <w:t xml:space="preserve">O‘zbek madaniyati «aysbergi»ni chizing: suv ustida va suv ostida qolgan qatlamlarga kamida 6 tadan element yozing.</w:t>
      </w:r>
    </w:p>
    <w:p>
      <w:pPr>
        <w:pStyle w:val="ListParagraph"/>
        <w:numPr>
          <w:ilvl w:val="0"/>
          <w:numId w:val="2"/>
        </w:numPr>
        <w:spacing w:after="40"/>
        <w:jc w:val="both"/>
      </w:pPr>
      <w:r>
        <w:t xml:space="preserve">Har bir yashirin qatlam elementi tilda qanday ifodalanishini ko‘rsating (maqol, ibora, nutqiy etiket).</w:t>
      </w:r>
    </w:p>
    <w:p>
      <w:pPr>
        <w:pStyle w:val="ListParagraph"/>
        <w:numPr>
          <w:ilvl w:val="0"/>
          <w:numId w:val="2"/>
        </w:numPr>
        <w:spacing w:after="40"/>
        <w:jc w:val="both"/>
      </w:pPr>
      <w:r>
        <w:t xml:space="preserve">Chet ellik uchun qaysi qatlamni tushunish qiyinroq? Nima uchun?</w:t>
      </w:r>
    </w:p>
    <w:p>
      <w:pPr>
        <w:pBdr>
          <w:left w:val="single" w:color="2E75B6" w:sz="12" w:space="6"/>
        </w:pBdr>
        <w:shd w:fill="F2F2F2" w:color="auto" w:val="clear"/>
        <w:spacing w:after="40"/>
        <w:ind w:left="284"/>
        <w:jc w:val="both"/>
      </w:pPr>
      <w:r>
        <w:rPr>
          <w:b/>
          <w:bCs/>
        </w:rPr>
        <w:t xml:space="preserve">Namuna javob (2-savol qismi):</w:t>
      </w:r>
      <w:r>
        <w:t xml:space="preserve"> Yashirin qatlam: </w:t>
      </w:r>
      <w:r>
        <w:rPr>
          <w:b/>
          <w:bCs/>
        </w:rPr>
        <w:t xml:space="preserve">kattalarga hurmat</w:t>
      </w:r>
      <w:r>
        <w:t xml:space="preserve">. Tildagi ifodasi: «siz»ning keng qo‘llanishi; kattalarga «aka», «opa», «ota», «xola» deb murojaat qilish; «Kattaga hurmatda, kichikka izzatda bo‘l» maqoli; davrada so‘zni kattaga berish odati. Yashirin qatlam: </w:t>
      </w:r>
      <w:r>
        <w:rPr>
          <w:b/>
          <w:bCs/>
        </w:rPr>
        <w:t xml:space="preserve">vaqtga munosabat</w:t>
      </w:r>
      <w:r>
        <w:t xml:space="preserve">. Tildagi ifodasi: «Shoshgan qiz erga yolchimas», «Sabr tagi – sariq oltin».</w:t>
      </w:r>
    </w:p>
    <w:p>
      <w:pPr>
        <w:pStyle w:val="Heading2"/>
      </w:pPr>
      <w:r>
        <w:t xml:space="preserve">III. Kazuslar</w:t>
      </w:r>
    </w:p>
    <w:p>
      <w:pPr>
        <w:keepNext/>
        <w:spacing w:after="80" w:before="200"/>
        <w:jc w:val="both"/>
      </w:pPr>
      <w:r>
        <w:rPr>
          <w:b/>
          <w:bCs/>
        </w:rPr>
        <w:t xml:space="preserve">1-kazus. Ingliz tilida so‘zlashuvchi xorijlik mehmon o‘zbek tanishiga kichik yordam ko‘rsatdi. Tanishi unga: «Rahmat, baraka toping, umringiz uzoq bo‘lsin, ota-onangizga rahmat!» dedi. Mehmon hayron bo‘lib: «Nega bunchalik ko‘p minnatdorchilik? Men oddiy ish qildim-ku», dedi. Vaziyatni izohlang.</w:t>
      </w:r>
    </w:p>
    <w:p>
      <w:pPr>
        <w:pBdr>
          <w:left w:val="single" w:color="2E75B6" w:sz="12" w:space="6"/>
        </w:pBdr>
        <w:shd w:fill="F2F2F2" w:color="auto" w:val="clear"/>
        <w:spacing w:after="40"/>
        <w:ind w:left="284"/>
        <w:jc w:val="both"/>
      </w:pPr>
      <w:r>
        <w:rPr>
          <w:b/>
          <w:bCs/>
        </w:rPr>
        <w:t xml:space="preserve">Namuna yechim:</w:t>
      </w:r>
      <w:r>
        <w:t xml:space="preserve"> O‘zbek nutqiy etiketida minnatdorchilik ko‘pincha </w:t>
      </w:r>
      <w:r>
        <w:rPr>
          <w:b/>
          <w:bCs/>
        </w:rPr>
        <w:t xml:space="preserve">duo-olqish</w:t>
      </w:r>
      <w:r>
        <w:t xml:space="preserve"> shaklida ifodalanadi va bu odatiy, me’yoriy holat hisoblanadi. Bunday ifoda faqat yordam uchun emas, balki shaxsning oilasi va kelajagiga ham yaxshi tilak bildirishni o‘z ichiga oladi. Ingliz madaniyatida esa minnatdorchilik qisqa («Thanks a lot!») va kamroq emotsional bo‘ladi. Mehmon o‘z madaniyati me’yori asosida bu ifodani «haddan tashqari» deb baholagan. Bu </w:t>
      </w:r>
      <w:r>
        <w:rPr>
          <w:b/>
          <w:bCs/>
        </w:rPr>
        <w:t xml:space="preserve">pragmatik farq</w:t>
      </w:r>
      <w:r>
        <w:t xml:space="preserve"> – lingvokulturologik bilimlarning yetishmasligi bilan bog‘liq.</w:t>
      </w:r>
    </w:p>
    <w:p>
      <w:pPr>
        <w:keepNext/>
        <w:spacing w:after="80" w:before="200"/>
        <w:jc w:val="both"/>
      </w:pPr>
      <w:r>
        <w:rPr>
          <w:b/>
          <w:bCs/>
        </w:rPr>
        <w:t xml:space="preserve">2-kazus. Rus tilidagi «Белая ворона» va o‘zbek tilidagi «oq qarg‘a» iboralari tashqi ko‘rinishdan bir xil. Ular ma’no va qo‘llanish jihatidan to‘liq mos keladimi? Tekshiring va xulosa chiqaring.</w:t>
      </w:r>
    </w:p>
    <w:p>
      <w:pPr>
        <w:pBdr>
          <w:left w:val="single" w:color="2E75B6" w:sz="12" w:space="6"/>
        </w:pBdr>
        <w:shd w:fill="F2F2F2" w:color="auto" w:val="clear"/>
        <w:spacing w:after="40"/>
        <w:ind w:left="284"/>
        <w:jc w:val="both"/>
      </w:pPr>
      <w:r>
        <w:rPr>
          <w:b/>
          <w:bCs/>
        </w:rPr>
        <w:t xml:space="preserve">Namuna yechim (yo‘nalish):</w:t>
      </w:r>
      <w:r>
        <w:t xml:space="preserve"> Ruscha ibora «boshqalardan keskin farq qiladigan, jamoaga mos kelmaydigan kishi» ma’nosini bildiradi. O‘zbek tilida «oq qarg‘a» birikmasi kamroq qo‘llanadi va ko‘pincha «juda kamyob narsa» ma’nosida kalka sifatida uchraydi...</w:t>
      </w:r>
    </w:p>
    <w:p>
      <w:pPr>
        <w:pStyle w:val="Heading2"/>
      </w:pPr>
      <w:r>
        <w:t xml:space="preserve">IV. Testlar</w:t>
      </w:r>
    </w:p>
    <w:p>
      <w:pPr>
        <w:pStyle w:val="ListParagraph"/>
        <w:keepNext/>
        <w:numPr>
          <w:ilvl w:val="0"/>
          <w:numId w:val="3"/>
        </w:numPr>
        <w:spacing w:after="20" w:before="100"/>
      </w:pPr>
      <w:r>
        <w:t xml:space="preserve">«Lingvokulturema» atamasini kiritgan olim kim?</w:t>
      </w:r>
    </w:p>
    <w:p>
      <w:pPr>
        <w:spacing w:after="0"/>
        <w:ind w:left="1069"/>
      </w:pPr>
      <w:r>
        <w:t xml:space="preserve">A) V.V. Vorob’yov</w:t>
      </w:r>
    </w:p>
    <w:p>
      <w:pPr>
        <w:spacing w:after="0"/>
        <w:ind w:left="1069"/>
      </w:pPr>
      <w:r>
        <w:t xml:space="preserve">B) V.N. Teliya</w:t>
      </w:r>
    </w:p>
    <w:p>
      <w:pPr>
        <w:spacing w:after="0"/>
        <w:ind w:left="1069"/>
      </w:pPr>
      <w:r>
        <w:t xml:space="preserve">C) V.A. Maslova</w:t>
      </w:r>
    </w:p>
    <w:p>
      <w:pPr>
        <w:spacing w:after="0"/>
        <w:ind w:left="1069"/>
      </w:pPr>
      <w:r>
        <w:t xml:space="preserve">D) Yu.S. Stepanov</w:t>
      </w:r>
    </w:p>
    <w:p>
      <w:pPr>
        <w:pStyle w:val="ListParagraph"/>
        <w:keepNext/>
        <w:numPr>
          <w:ilvl w:val="0"/>
          <w:numId w:val="3"/>
        </w:numPr>
        <w:spacing w:after="20" w:before="100"/>
      </w:pPr>
      <w:r>
        <w:t xml:space="preserve">Frazeologizmlarning madaniy konnotatsiyasini o‘rgangan olim kim?</w:t>
      </w:r>
    </w:p>
    <w:p>
      <w:pPr>
        <w:spacing w:after="0"/>
        <w:ind w:left="1069"/>
      </w:pPr>
      <w:r>
        <w:t xml:space="preserve">A) V.N. Teliya</w:t>
      </w:r>
    </w:p>
    <w:p>
      <w:pPr>
        <w:spacing w:after="0"/>
        <w:ind w:left="1069"/>
      </w:pPr>
      <w:r>
        <w:t xml:space="preserve">B) E.M. Vereshchagin</w:t>
      </w:r>
    </w:p>
    <w:p>
      <w:pPr>
        <w:spacing w:after="0"/>
        <w:ind w:left="1069"/>
      </w:pPr>
      <w:r>
        <w:t xml:space="preserve">C) S.G. Ter-Minasova</w:t>
      </w:r>
    </w:p>
    <w:p>
      <w:pPr>
        <w:spacing w:after="0"/>
        <w:ind w:left="1069"/>
      </w:pPr>
      <w:r>
        <w:t xml:space="preserve">D) D.B. Gudkov</w:t>
      </w:r>
    </w:p>
    <w:p>
      <w:pPr>
        <w:pStyle w:val="ListParagraph"/>
        <w:keepNext/>
        <w:numPr>
          <w:ilvl w:val="0"/>
          <w:numId w:val="3"/>
        </w:numPr>
        <w:spacing w:after="20" w:before="100"/>
      </w:pPr>
      <w:r>
        <w:t xml:space="preserve">«Til va madaniyat» (1973) kitobining mualliflari kimlar?</w:t>
      </w:r>
    </w:p>
    <w:p>
      <w:pPr>
        <w:spacing w:after="0"/>
        <w:ind w:left="1069"/>
      </w:pPr>
      <w:r>
        <w:t xml:space="preserve">A) E.M. Vereshchagin, V.G. Kostomarov</w:t>
      </w:r>
    </w:p>
    <w:p>
      <w:pPr>
        <w:spacing w:after="0"/>
        <w:ind w:left="1069"/>
      </w:pPr>
      <w:r>
        <w:t xml:space="preserve">B) Z.D. Popova, I.A. Sternin</w:t>
      </w:r>
    </w:p>
    <w:p>
      <w:pPr>
        <w:spacing w:after="0"/>
        <w:ind w:left="1069"/>
      </w:pPr>
      <w:r>
        <w:t xml:space="preserve">C) V.V. Krasnix, D.B. Gudkov</w:t>
      </w:r>
    </w:p>
    <w:p>
      <w:pPr>
        <w:spacing w:after="0"/>
        <w:ind w:left="1069"/>
      </w:pPr>
      <w:r>
        <w:t xml:space="preserve">D) A. Kroeber, K. Klakxon</w:t>
      </w:r>
    </w:p>
    <w:p>
      <w:pPr>
        <w:pStyle w:val="ListParagraph"/>
        <w:keepNext/>
        <w:numPr>
          <w:ilvl w:val="0"/>
          <w:numId w:val="3"/>
        </w:numPr>
        <w:spacing w:after="20" w:before="100"/>
      </w:pPr>
      <w:r>
        <w:t xml:space="preserve">Madaniyatni «aysberg»ga qiyoslagan olim kim?</w:t>
      </w:r>
    </w:p>
    <w:p>
      <w:pPr>
        <w:spacing w:after="0"/>
        <w:ind w:left="1069"/>
      </w:pPr>
      <w:r>
        <w:t xml:space="preserve">A) E. Xoll</w:t>
      </w:r>
    </w:p>
    <w:p>
      <w:pPr>
        <w:spacing w:after="0"/>
        <w:ind w:left="1069"/>
      </w:pPr>
      <w:r>
        <w:t xml:space="preserve">B) F. Boas</w:t>
      </w:r>
    </w:p>
    <w:p>
      <w:pPr>
        <w:spacing w:after="0"/>
        <w:ind w:left="1069"/>
      </w:pPr>
      <w:r>
        <w:t xml:space="preserve">C) E. Sepir</w:t>
      </w:r>
    </w:p>
    <w:p>
      <w:pPr>
        <w:spacing w:after="0"/>
        <w:ind w:left="1069"/>
      </w:pPr>
      <w:r>
        <w:t xml:space="preserve">D) A. Vejbitskaya</w:t>
      </w:r>
    </w:p>
    <w:p>
      <w:pPr>
        <w:pStyle w:val="ListParagraph"/>
        <w:keepNext/>
        <w:numPr>
          <w:ilvl w:val="0"/>
          <w:numId w:val="3"/>
        </w:numPr>
        <w:spacing w:after="20" w:before="100"/>
      </w:pPr>
      <w:r>
        <w:t xml:space="preserve">«Ko‘ngil», «yurak», «jigar» so‘zlari madaniyatning qaysi kodiga mansub?</w:t>
      </w:r>
    </w:p>
    <w:p>
      <w:pPr>
        <w:spacing w:after="0"/>
        <w:ind w:left="1069"/>
      </w:pPr>
      <w:r>
        <w:t xml:space="preserve">A) Zoomorf</w:t>
      </w:r>
    </w:p>
    <w:p>
      <w:pPr>
        <w:spacing w:after="0"/>
        <w:ind w:left="1069"/>
      </w:pPr>
      <w:r>
        <w:t xml:space="preserve">B) Somatik</w:t>
      </w:r>
    </w:p>
    <w:p>
      <w:pPr>
        <w:spacing w:after="0"/>
        <w:ind w:left="1069"/>
      </w:pPr>
      <w:r>
        <w:t xml:space="preserve">C) Vegetativ</w:t>
      </w:r>
    </w:p>
    <w:p>
      <w:pPr>
        <w:spacing w:after="0"/>
        <w:ind w:left="1069"/>
      </w:pPr>
      <w:r>
        <w:t xml:space="preserve">D) Vaqtiy</w:t>
      </w:r>
    </w:p>
    <w:p>
      <w:pPr>
        <w:pStyle w:val="ListParagraph"/>
        <w:keepNext/>
        <w:numPr>
          <w:ilvl w:val="0"/>
          <w:numId w:val="3"/>
        </w:numPr>
        <w:spacing w:after="20" w:before="100"/>
      </w:pPr>
      <w:r>
        <w:t xml:space="preserve">Bir tilda nomlangan tushunchaning boshqa tilda nomlanmay qolishi qanday ataladi?</w:t>
      </w:r>
    </w:p>
    <w:p>
      <w:pPr>
        <w:spacing w:after="0"/>
        <w:ind w:left="1069"/>
      </w:pPr>
      <w:r>
        <w:t xml:space="preserve">A) Lakuna</w:t>
      </w:r>
    </w:p>
    <w:p>
      <w:pPr>
        <w:spacing w:after="0"/>
        <w:ind w:left="1069"/>
      </w:pPr>
      <w:r>
        <w:t xml:space="preserve">B) Kalka</w:t>
      </w:r>
    </w:p>
    <w:p>
      <w:pPr>
        <w:spacing w:after="0"/>
        <w:ind w:left="1069"/>
      </w:pPr>
      <w:r>
        <w:t xml:space="preserve">C) Konnotatsiya</w:t>
      </w:r>
    </w:p>
    <w:p>
      <w:pPr>
        <w:spacing w:after="0"/>
        <w:ind w:left="1069"/>
      </w:pPr>
      <w:r>
        <w:t xml:space="preserve">D) Presedent</w:t>
      </w:r>
    </w:p>
    <w:p>
      <w:pPr>
        <w:spacing w:before="160"/>
      </w:pPr>
      <w:r>
        <w:rPr>
          <w:b/>
          <w:bCs/>
        </w:rPr>
        <w:t xml:space="preserve">Testlar kaliti: </w:t>
      </w:r>
      <w:r>
        <w:t xml:space="preserve">1–A; 2–A; 3–A; 4–A; 5–B; 6–A.</w:t>
      </w:r>
    </w:p>
    <w:p>
      <w:pPr>
        <w:pStyle w:val="Heading2"/>
      </w:pPr>
      <w:r>
        <w:t xml:space="preserve">Nazariy savollar</w:t>
      </w:r>
    </w:p>
    <w:p>
      <w:pPr>
        <w:pStyle w:val="ListParagraph"/>
        <w:numPr>
          <w:ilvl w:val="0"/>
          <w:numId w:val="4"/>
        </w:numPr>
        <w:spacing w:after="40"/>
        <w:jc w:val="both"/>
      </w:pPr>
      <w:r>
        <w:t xml:space="preserve">Til va madaniyat munosabati haqidagi asosiy qarashlarni izohlang.</w:t>
      </w:r>
    </w:p>
    <w:p>
      <w:pPr>
        <w:pStyle w:val="ListParagraph"/>
        <w:numPr>
          <w:ilvl w:val="0"/>
          <w:numId w:val="4"/>
        </w:numPr>
        <w:spacing w:after="40"/>
        <w:jc w:val="both"/>
      </w:pPr>
      <w:r>
        <w:t xml:space="preserve">Lingvokulturologiyaning predmeti va vazifalari nimadan iborat?</w:t>
      </w:r>
    </w:p>
    <w:p>
      <w:pPr>
        <w:pStyle w:val="ListParagraph"/>
        <w:numPr>
          <w:ilvl w:val="0"/>
          <w:numId w:val="4"/>
        </w:numPr>
        <w:spacing w:after="40"/>
        <w:jc w:val="both"/>
      </w:pPr>
      <w:r>
        <w:t xml:space="preserve">Lingvokulturema, madaniy konnotatsiya va madaniyat etaloni tushunchalarini izohlang.</w:t>
      </w:r>
    </w:p>
    <w:p>
      <w:pPr>
        <w:pStyle w:val="ListParagraph"/>
        <w:numPr>
          <w:ilvl w:val="0"/>
          <w:numId w:val="4"/>
        </w:numPr>
        <w:spacing w:after="40"/>
        <w:jc w:val="both"/>
      </w:pPr>
      <w:r>
        <w:t xml:space="preserve">Presedent birliklarning qanday turlari mavjud?</w:t>
      </w:r>
    </w:p>
    <w:p>
      <w:pPr>
        <w:pStyle w:val="ListParagraph"/>
        <w:numPr>
          <w:ilvl w:val="0"/>
          <w:numId w:val="4"/>
        </w:numPr>
        <w:spacing w:after="40"/>
        <w:jc w:val="both"/>
      </w:pPr>
      <w:r>
        <w:t xml:space="preserve">Ekvivalentsiz leksika va lakunalarni tarjima qilish usullarini tavsiflang.</w:t>
      </w:r>
    </w:p>
    <w:p>
      <w:pPr>
        <w:pStyle w:val="Heading2"/>
      </w:pPr>
      <w:r>
        <w:t xml:space="preserve">Foydalanilgan adabiyotlar</w:t>
      </w:r>
    </w:p>
    <w:p>
      <w:pPr>
        <w:pStyle w:val="ListParagraph"/>
        <w:numPr>
          <w:ilvl w:val="0"/>
          <w:numId w:val="5"/>
        </w:numPr>
        <w:spacing w:after="40"/>
        <w:jc w:val="both"/>
      </w:pPr>
      <w:r>
        <w:t xml:space="preserve">Xudoyberganova D. Lingvokulturologiya terminlarining qisqacha izohli lug‘ati. – Toshkent: Turon zamin ziyo, 2015.</w:t>
      </w:r>
    </w:p>
    <w:p>
      <w:pPr>
        <w:pStyle w:val="ListParagraph"/>
        <w:numPr>
          <w:ilvl w:val="0"/>
          <w:numId w:val="5"/>
        </w:numPr>
        <w:spacing w:after="40"/>
        <w:jc w:val="both"/>
      </w:pPr>
      <w:r>
        <w:t xml:space="preserve">Usmanova Sh. Lingvokulturologiya: o‘quv qo‘llanma. – Toshkent, 2019.</w:t>
      </w:r>
    </w:p>
    <w:p>
      <w:pPr>
        <w:pStyle w:val="ListParagraph"/>
        <w:numPr>
          <w:ilvl w:val="0"/>
          <w:numId w:val="5"/>
        </w:numPr>
        <w:spacing w:after="40"/>
        <w:jc w:val="both"/>
      </w:pPr>
      <w:r>
        <w:t xml:space="preserve">Маслова В.А. Лингвокультурология. – М.: Академия, 2001.</w:t>
      </w:r>
    </w:p>
    <w:p>
      <w:pPr>
        <w:pStyle w:val="ListParagraph"/>
        <w:numPr>
          <w:ilvl w:val="0"/>
          <w:numId w:val="5"/>
        </w:numPr>
        <w:spacing w:after="40"/>
        <w:jc w:val="both"/>
      </w:pPr>
      <w:r>
        <w:t xml:space="preserve">Воробьёв В.В. Лингвокультурология (теория и методы). – М.: Изд-во РУДН, 1997.</w:t>
      </w:r>
    </w:p>
    <w:p>
      <w:pPr>
        <w:pStyle w:val="ListParagraph"/>
        <w:numPr>
          <w:ilvl w:val="0"/>
          <w:numId w:val="5"/>
        </w:numPr>
        <w:spacing w:after="40"/>
        <w:jc w:val="both"/>
      </w:pPr>
      <w:r>
        <w:t xml:space="preserve">Телия В.Н. Русская фразеология: Семантический, прагматический и лингвокультурологический аспекты. – М.: Языки русской культуры, 1996.</w:t>
      </w:r>
    </w:p>
    <w:p>
      <w:pPr>
        <w:pStyle w:val="ListParagraph"/>
        <w:numPr>
          <w:ilvl w:val="0"/>
          <w:numId w:val="5"/>
        </w:numPr>
        <w:spacing w:after="40"/>
        <w:jc w:val="both"/>
      </w:pPr>
      <w:r>
        <w:t xml:space="preserve">Тер-Минасова С.Г. Язык и межкультурная коммуникация. – М.: Слово, 2000.</w:t>
      </w:r>
    </w:p>
    <w:p>
      <w:pPr>
        <w:pStyle w:val="ListParagraph"/>
        <w:numPr>
          <w:ilvl w:val="0"/>
          <w:numId w:val="5"/>
        </w:numPr>
        <w:spacing w:after="40"/>
        <w:jc w:val="both"/>
      </w:pPr>
      <w:r>
        <w:t xml:space="preserve">Верещагин Е.М., Костомаров В.Г. Язык и культура. – М.: Изд-во МГУ, 1973.</w:t>
      </w:r>
    </w:p>
    <w:p>
      <w:pPr>
        <w:pStyle w:val="ListParagraph"/>
        <w:numPr>
          <w:ilvl w:val="0"/>
          <w:numId w:val="5"/>
        </w:numPr>
        <w:spacing w:after="40"/>
        <w:jc w:val="both"/>
      </w:pPr>
      <w:r>
        <w:t xml:space="preserve">Степанов Ю.С. Константы: Словарь русской культуры. Опыт исследования. – М.: Языки русской культуры, 1997.</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0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567" w:hanging="567"/>
      </w:pPr>
    </w:lvl>
  </w:abstractNum>
  <w:abstractNum w:abstractNumId="5"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jc w:val="center"/>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12-AMALIY MASHG‘ULOT. TIL VA MADANIYAT MUNOSABATI</dc:title>
  <dc:creator>Un-named</dc:creator>
  <cp:lastModifiedBy>Un-named</cp:lastModifiedBy>
  <cp:revision>1</cp:revision>
  <dcterms:created xsi:type="dcterms:W3CDTF">2026-10-30T07:58:17.762Z</dcterms:created>
  <dcterms:modified xsi:type="dcterms:W3CDTF">2026-10-30T07:58:17.762Z</dcterms:modified>
</cp:coreProperties>
</file>

<file path=docProps/custom.xml><?xml version="1.0" encoding="utf-8"?>
<Properties xmlns="http://schemas.openxmlformats.org/officeDocument/2006/custom-properties" xmlns:vt="http://schemas.openxmlformats.org/officeDocument/2006/docPropsVTypes"/>
</file>