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13-AMALIY MASHG‘ULOT. TIL HODISALARINING KOGNITIV TAHLILI VA UNING KO‘RINISHLARI</w:t>
      </w:r>
    </w:p>
    <w:p>
      <w:pPr>
        <w:spacing w:after="160"/>
        <w:jc w:val="both"/>
      </w:pPr>
      <w:r>
        <w:rPr>
          <w:b/>
          <w:bCs/>
        </w:rPr>
        <w:t xml:space="preserve">Mashg‘ulot maqsadi: </w:t>
      </w:r>
      <w:r>
        <w:rPr>
          <w:i/>
          <w:iCs/>
        </w:rPr>
        <w:t xml:space="preserve">Kognitiv tahlilning asosiy ko‘rinishlari – konseptual metafora tahlili, metonimiya tahlili, tasvir sxemalari tahlili, polisemiyaning radial tahlili va semantik-kognitiv (konseptual) tahlilni o‘zbek tili materialida amalda qo‘llash ko‘nikmasini shakllantirish.</w:t>
      </w:r>
    </w:p>
    <w:p>
      <w:pPr>
        <w:pStyle w:val="Heading2"/>
      </w:pPr>
      <w:r>
        <w:t xml:space="preserve">I. Amaliy topshiriqlar</w:t>
      </w:r>
    </w:p>
    <w:p>
      <w:pPr>
        <w:keepNext/>
        <w:spacing w:after="80" w:before="200"/>
        <w:jc w:val="both"/>
      </w:pPr>
      <w:r>
        <w:rPr>
          <w:b/>
          <w:bCs/>
        </w:rPr>
        <w:t xml:space="preserve">1-topshiriq. Konseptual metaforalarni aniqlang: manba soha, maqsad soha va proyeksiyani ko‘rsating.</w:t>
      </w:r>
    </w:p>
    <w:p>
      <w:pPr>
        <w:pStyle w:val="ListParagraph"/>
        <w:numPr>
          <w:ilvl w:val="0"/>
          <w:numId w:val="2"/>
        </w:numPr>
        <w:spacing w:after="40"/>
        <w:jc w:val="both"/>
      </w:pPr>
      <w:r>
        <w:t xml:space="preserve">«U hayotining eng og‘ir davrini bosib o‘tdi.»</w:t>
      </w:r>
    </w:p>
    <w:p>
      <w:pPr>
        <w:pStyle w:val="ListParagraph"/>
        <w:numPr>
          <w:ilvl w:val="0"/>
          <w:numId w:val="2"/>
        </w:numPr>
        <w:spacing w:after="40"/>
        <w:jc w:val="both"/>
      </w:pPr>
      <w:r>
        <w:t xml:space="preserve">«Bahs qizib ketdi, raqiblar bir-birining dalillariga hujum qilishdi.»</w:t>
      </w:r>
    </w:p>
    <w:p>
      <w:pPr>
        <w:pStyle w:val="ListParagraph"/>
        <w:numPr>
          <w:ilvl w:val="0"/>
          <w:numId w:val="2"/>
        </w:numPr>
        <w:spacing w:after="40"/>
        <w:jc w:val="both"/>
      </w:pPr>
      <w:r>
        <w:t xml:space="preserve">«Uning g‘azabi alangalandi.»</w:t>
      </w:r>
    </w:p>
    <w:p>
      <w:pPr>
        <w:pStyle w:val="ListParagraph"/>
        <w:numPr>
          <w:ilvl w:val="0"/>
          <w:numId w:val="2"/>
        </w:numPr>
        <w:spacing w:after="40"/>
        <w:jc w:val="both"/>
      </w:pPr>
      <w:r>
        <w:t xml:space="preserve">«Kayfiyatim tushib ketdi.»</w:t>
      </w:r>
    </w:p>
    <w:p>
      <w:pPr>
        <w:pStyle w:val="ListParagraph"/>
        <w:numPr>
          <w:ilvl w:val="0"/>
          <w:numId w:val="2"/>
        </w:numPr>
        <w:spacing w:after="40"/>
        <w:jc w:val="both"/>
      </w:pPr>
      <w:r>
        <w:t xml:space="preserve">«Bu fikr miyamga sig‘maydi.»</w:t>
      </w:r>
    </w:p>
    <w:p>
      <w:pPr>
        <w:pStyle w:val="ListParagraph"/>
        <w:numPr>
          <w:ilvl w:val="0"/>
          <w:numId w:val="2"/>
        </w:numPr>
        <w:spacing w:after="40"/>
        <w:jc w:val="both"/>
      </w:pPr>
      <w:r>
        <w:t xml:space="preserve">«Yoshligimni bekorga sarfladim.»</w:t>
      </w:r>
    </w:p>
    <w:p>
      <w:pPr>
        <w:pBdr>
          <w:left w:val="single" w:color="2E75B6" w:sz="12" w:space="6"/>
        </w:pBdr>
        <w:shd w:fill="F2F2F2" w:color="auto" w:val="clear"/>
        <w:spacing w:after="40"/>
        <w:ind w:left="284"/>
        <w:jc w:val="both"/>
      </w:pPr>
      <w:r>
        <w:rPr>
          <w:b/>
          <w:bCs/>
        </w:rPr>
        <w:t xml:space="preserve">Namuna:</w:t>
      </w:r>
      <w:r>
        <w:t xml:space="preserve"> «Ko‘p vaqtimni behuda sarfladim, endi uni tejayman.» Konseptual metafora: </w:t>
      </w:r>
      <w:r>
        <w:rPr>
          <w:b/>
          <w:bCs/>
        </w:rPr>
        <w:t xml:space="preserve">VAQT – PUL (QIMMATLI RESURS)</w:t>
      </w:r>
      <w:r>
        <w:t xml:space="preserve">. Manba soha – pul (konkret, hisoblanadigan, tugaydigan). Maqsad soha – vaqt (mavhum). Proyeksiya: pulni sarflash → vaqtni sarflash; pulni tejash → vaqtni tejash; pulning yetishmasligi → «vaqtim yo‘q». Metafora orqali vaqt o‘lchanadigan va tugaydigan resurs sifatida tushuniladi.</w:t>
      </w:r>
    </w:p>
    <w:p>
      <w:pPr>
        <w:keepNext/>
        <w:spacing w:after="80" w:before="200"/>
        <w:jc w:val="both"/>
      </w:pPr>
      <w:r>
        <w:rPr>
          <w:b/>
          <w:bCs/>
        </w:rPr>
        <w:t xml:space="preserve">2-topshiriq. Metonimiya modellarini aniqlang.</w:t>
      </w:r>
    </w:p>
    <w:p>
      <w:pPr>
        <w:pStyle w:val="ListParagraph"/>
        <w:numPr>
          <w:ilvl w:val="0"/>
          <w:numId w:val="2"/>
        </w:numPr>
        <w:spacing w:after="40"/>
        <w:jc w:val="both"/>
      </w:pPr>
      <w:r>
        <w:t xml:space="preserve">«Butun stadion o‘rnidan turib qarsak chaldi.»</w:t>
      </w:r>
    </w:p>
    <w:p>
      <w:pPr>
        <w:pStyle w:val="ListParagraph"/>
        <w:numPr>
          <w:ilvl w:val="0"/>
          <w:numId w:val="2"/>
        </w:numPr>
        <w:spacing w:after="40"/>
        <w:jc w:val="both"/>
      </w:pPr>
      <w:r>
        <w:t xml:space="preserve">«Men Qodiriyni qayta o‘qib chiqdim.»</w:t>
      </w:r>
    </w:p>
    <w:p>
      <w:pPr>
        <w:pStyle w:val="ListParagraph"/>
        <w:numPr>
          <w:ilvl w:val="0"/>
          <w:numId w:val="2"/>
        </w:numPr>
        <w:spacing w:after="40"/>
        <w:jc w:val="both"/>
      </w:pPr>
      <w:r>
        <w:t xml:space="preserve">«Toshkent Moskva bilan muzokara olib bormoqda.»</w:t>
      </w:r>
    </w:p>
    <w:p>
      <w:pPr>
        <w:pStyle w:val="ListParagraph"/>
        <w:numPr>
          <w:ilvl w:val="0"/>
          <w:numId w:val="2"/>
        </w:numPr>
        <w:spacing w:after="40"/>
        <w:jc w:val="both"/>
      </w:pPr>
      <w:r>
        <w:t xml:space="preserve">«Bir kosa ichib, tetiklashdi.»</w:t>
      </w:r>
    </w:p>
    <w:p>
      <w:pPr>
        <w:pStyle w:val="ListParagraph"/>
        <w:numPr>
          <w:ilvl w:val="0"/>
          <w:numId w:val="2"/>
        </w:numPr>
        <w:spacing w:after="40"/>
        <w:jc w:val="both"/>
      </w:pPr>
      <w:r>
        <w:t xml:space="preserve">«Oq xalatlilar kechayu kunduz bemorlar yonida bo‘lishdi.»</w:t>
      </w:r>
    </w:p>
    <w:p>
      <w:pPr>
        <w:pStyle w:val="ListParagraph"/>
        <w:numPr>
          <w:ilvl w:val="0"/>
          <w:numId w:val="2"/>
        </w:numPr>
        <w:spacing w:after="40"/>
        <w:jc w:val="both"/>
      </w:pPr>
      <w:r>
        <w:t xml:space="preserve">«Uyda olti jon yashaydi.»</w:t>
      </w:r>
    </w:p>
    <w:p>
      <w:pPr>
        <w:pBdr>
          <w:left w:val="single" w:color="2E75B6" w:sz="12" w:space="6"/>
        </w:pBdr>
        <w:shd w:fill="F2F2F2" w:color="auto" w:val="clear"/>
        <w:spacing w:after="40"/>
        <w:ind w:left="284"/>
        <w:jc w:val="both"/>
      </w:pPr>
      <w:r>
        <w:rPr>
          <w:b/>
          <w:bCs/>
        </w:rPr>
        <w:t xml:space="preserve">Namuna:</w:t>
      </w:r>
      <w:r>
        <w:t xml:space="preserve"> «Butun stadion o‘rnidan turdi» – </w:t>
      </w:r>
      <w:r>
        <w:rPr>
          <w:b/>
          <w:bCs/>
        </w:rPr>
        <w:t xml:space="preserve">JOY – ODAMLAR UCHUN</w:t>
      </w:r>
      <w:r>
        <w:t xml:space="preserve"> metonimiyasi. Stadion (joy) unda o‘tirgan tomoshabinlar o‘rnida qo‘llangan. Metonimiya bitta soha («sport tadbiri») ichida amal qiladi va eng ko‘zga tashlanadigan elementni (stadion) tanlaydi.</w:t>
      </w:r>
    </w:p>
    <w:p>
      <w:pPr>
        <w:keepNext/>
        <w:spacing w:after="80" w:before="200"/>
        <w:jc w:val="both"/>
      </w:pPr>
      <w:r>
        <w:rPr>
          <w:b/>
          <w:bCs/>
        </w:rPr>
        <w:t xml:space="preserve">3-topshiriq. Ko‘makchi va ravishlarning makoniy va mavhum ma’nolarini tasvir sxemalari asosida tahlil qiling.</w:t>
      </w:r>
    </w:p>
    <w:p>
      <w:pPr>
        <w:spacing w:after="80"/>
        <w:ind w:firstLine="709"/>
        <w:jc w:val="both"/>
      </w:pPr>
      <w:r>
        <w:t xml:space="preserve">«ichida», «ustida», «ostida», «orqasida», «oldida», «sari» so‘zlari uchun bittadan makoniy va mavhum ma’noli misol tuzing va tasvir sxemasini aniqlang.</w:t>
      </w:r>
    </w:p>
    <w:p>
      <w:pPr>
        <w:pBdr>
          <w:left w:val="single" w:color="2E75B6" w:sz="12" w:space="6"/>
        </w:pBdr>
        <w:shd w:fill="F2F2F2" w:color="auto" w:val="clear"/>
        <w:spacing w:after="40"/>
        <w:ind w:left="284"/>
        <w:jc w:val="both"/>
      </w:pPr>
      <w:r>
        <w:rPr>
          <w:b/>
          <w:bCs/>
        </w:rPr>
        <w:t xml:space="preserve">Namuna («ichida»):</w:t>
      </w:r>
      <w:r>
        <w:t xml:space="preserve"> Makoniy ma’no: «Kitob sumka ichida» – </w:t>
      </w:r>
      <w:r>
        <w:rPr>
          <w:b/>
          <w:bCs/>
        </w:rPr>
        <w:t xml:space="preserve">IDISH</w:t>
      </w:r>
      <w:r>
        <w:t xml:space="preserve"> sxemasi (ichkari – chegara – tashqari). Mavhum ma’no: «U qarzlar ichida qoldi», «Gapning ichida gap bor». Bu yerda vaziyat yoki gap ham «idish» sifatida tasavvur qilinadi: inson undan «chiqa olmaydi» yoki uning ichida yashirin narsa bo‘ladi.</w:t>
      </w:r>
    </w:p>
    <w:p>
      <w:pPr>
        <w:keepNext/>
        <w:spacing w:after="80" w:before="200"/>
        <w:jc w:val="both"/>
      </w:pPr>
      <w:r>
        <w:rPr>
          <w:b/>
          <w:bCs/>
        </w:rPr>
        <w:t xml:space="preserve">4-topshiriq. Ko‘p ma’noli so‘zni radial kategoriya sifatida tahlil qiling.</w:t>
      </w:r>
    </w:p>
    <w:p>
      <w:pPr>
        <w:spacing w:after="80"/>
        <w:ind w:firstLine="709"/>
        <w:jc w:val="both"/>
      </w:pPr>
      <w:r>
        <w:t xml:space="preserve">«Ko‘z», «yuz», «oyoq», «til» so‘zlaridan birini tanlang. Markaziy ma’noni va undan hosil bo‘lgan ma’nolarni aniqlang hamda har bir ma’no qaysi mexanizm (metafora, metonimiya) orqali hosil bo‘lganini ko‘rsating.</w:t>
      </w:r>
    </w:p>
    <w:p>
      <w:pPr>
        <w:pBdr>
          <w:left w:val="single" w:color="2E75B6" w:sz="12" w:space="6"/>
        </w:pBdr>
        <w:shd w:fill="F2F2F2" w:color="auto" w:val="clear"/>
        <w:spacing w:after="40"/>
        <w:ind w:left="284"/>
        <w:jc w:val="both"/>
      </w:pPr>
      <w:r>
        <w:rPr>
          <w:b/>
          <w:bCs/>
        </w:rPr>
        <w:t xml:space="preserve">Namuna («bosh»):</w:t>
      </w:r>
      <w:r>
        <w:t xml:space="preserve"> Markaziy ma’no – tananing yuqori qismi. Metafora (YUQORI QISM): «tog‘ boshi». Metafora (BOSHLANISH): «yil boshi», «ko‘cha boshi». Metafora (RAHBAR): «oila boshi». Metonimiya (DONA): «bir bosh piyoz», «yuz bosh qo‘y». Barcha ma’nolar markaziy ma’no bilan inson tanasi tajribasi orqali bog‘langan: bosh – tananing eng yuqori, oldingi va muhim qismi.</w:t>
      </w:r>
    </w:p>
    <w:p>
      <w:pPr>
        <w:keepNext/>
        <w:spacing w:after="80" w:before="200"/>
        <w:jc w:val="both"/>
      </w:pPr>
      <w:r>
        <w:rPr>
          <w:b/>
          <w:bCs/>
        </w:rPr>
        <w:t xml:space="preserve">5-topshiriq. «Sabr» konseptining semantik-kognitiv tahlilini bajaring.</w:t>
      </w:r>
    </w:p>
    <w:p>
      <w:pPr>
        <w:spacing w:after="80"/>
        <w:ind w:firstLine="709"/>
        <w:jc w:val="both"/>
      </w:pPr>
      <w:r>
        <w:t xml:space="preserve">Z.D. Popova va I.A. Sternin metodikasi bosqichlariga tayaning: izohli lug‘atdagi ma’no; sinonimlar; so‘z yasash uyasi; frazeologizmlar; maqollar; badiiy matnlardan misollar; kognitiv belgilar; yadro va periferiya.</w:t>
      </w:r>
    </w:p>
    <w:p>
      <w:pPr>
        <w:pBdr>
          <w:left w:val="single" w:color="2E75B6" w:sz="12" w:space="6"/>
        </w:pBdr>
        <w:shd w:fill="F2F2F2" w:color="auto" w:val="clear"/>
        <w:spacing w:after="40"/>
        <w:ind w:left="284"/>
        <w:jc w:val="both"/>
      </w:pPr>
      <w:r>
        <w:rPr>
          <w:b/>
          <w:bCs/>
        </w:rPr>
        <w:t xml:space="preserve">Namuna (tahlil boshlanishi):</w:t>
      </w:r>
      <w:r>
        <w:t xml:space="preserve"> Lug‘aviy ma’no: «Qiyinchilik, og‘riq, ozorlarga chidash, bardosh; shoshilmay kutish qobiliyati». Sinonimlar: «toqat», «bardosh», «chidam». So‘z yasash uyasi: «sabrli», «sabrsiz», «sabrsizlik», «sabr-toqat». Maqollar: «Sabr tagi – sariq oltin», «Sabr qilsang, g‘o‘radan holva bitar». Kognitiv belgilar: «sabr – qiyinchilikka chidash», «sabr – kelajakda mukofot keltiradi» (oltin, holva metaforalari), «sabr – ma’naviy fazilat». Yadro: «chidam, bardosh»; periferiya: «oxiri yaxshilik bilan tugaydigan kutish».</w:t>
      </w:r>
    </w:p>
    <w:p>
      <w:pPr>
        <w:pStyle w:val="Heading2"/>
      </w:pPr>
      <w:r>
        <w:t xml:space="preserve">II. Keys-stadi</w:t>
      </w:r>
    </w:p>
    <w:p>
      <w:pPr>
        <w:keepNext/>
        <w:spacing w:after="80" w:before="200"/>
        <w:jc w:val="both"/>
      </w:pPr>
      <w:r>
        <w:rPr>
          <w:b/>
          <w:bCs/>
        </w:rPr>
        <w:t xml:space="preserve">Keys: «Ommaviy axborot vositalaridagi metaforalar».</w:t>
      </w:r>
    </w:p>
    <w:p>
      <w:pPr>
        <w:spacing w:after="80"/>
        <w:ind w:firstLine="709"/>
        <w:jc w:val="both"/>
      </w:pPr>
      <w:r>
        <w:t xml:space="preserve">Iqtisodiy va siyosiy matnlarda quyidagi ifodalar ko‘p uchraydi: «sog‘lom iqtisodiyot», «inflyatsiyaning isitmasi», «iqtisodiyotni davolash», «korrupsiyaga qarshi kurash», «jinoyatchilikka qarshi urush», «islohotlar yo‘li», «taraqqiyot yo‘lidan bormoq».</w:t>
      </w:r>
    </w:p>
    <w:p>
      <w:pPr>
        <w:spacing w:after="80"/>
        <w:ind w:firstLine="709"/>
        <w:jc w:val="both"/>
      </w:pPr>
      <w:r>
        <w:t xml:space="preserve">Topshiriqlar:</w:t>
      </w:r>
    </w:p>
    <w:p>
      <w:pPr>
        <w:pStyle w:val="ListParagraph"/>
        <w:numPr>
          <w:ilvl w:val="0"/>
          <w:numId w:val="2"/>
        </w:numPr>
        <w:spacing w:after="40"/>
        <w:jc w:val="both"/>
      </w:pPr>
      <w:r>
        <w:t xml:space="preserve">Ifodalarni konseptual metaforalar bo‘yicha guruhlang.</w:t>
      </w:r>
    </w:p>
    <w:p>
      <w:pPr>
        <w:pStyle w:val="ListParagraph"/>
        <w:numPr>
          <w:ilvl w:val="0"/>
          <w:numId w:val="2"/>
        </w:numPr>
        <w:spacing w:after="40"/>
        <w:jc w:val="both"/>
      </w:pPr>
      <w:r>
        <w:t xml:space="preserve">Har bir metafora o‘quvchi ongida qanday tasavvur va baho uyg‘otadi?</w:t>
      </w:r>
    </w:p>
    <w:p>
      <w:pPr>
        <w:pStyle w:val="ListParagraph"/>
        <w:numPr>
          <w:ilvl w:val="0"/>
          <w:numId w:val="2"/>
        </w:numPr>
        <w:spacing w:after="40"/>
        <w:jc w:val="both"/>
      </w:pPr>
      <w:r>
        <w:t xml:space="preserve">Bir xil hodisani boshqa metafora orqali ifodalab ko‘ring va farqni izohlang.</w:t>
      </w:r>
    </w:p>
    <w:p>
      <w:pPr>
        <w:pBdr>
          <w:left w:val="single" w:color="2E75B6" w:sz="12" w:space="6"/>
        </w:pBdr>
        <w:shd w:fill="F2F2F2" w:color="auto" w:val="clear"/>
        <w:spacing w:after="40"/>
        <w:ind w:left="284"/>
        <w:jc w:val="both"/>
      </w:pPr>
      <w:r>
        <w:rPr>
          <w:b/>
          <w:bCs/>
        </w:rPr>
        <w:t xml:space="preserve">Namuna javob (1-savol):</w:t>
      </w:r>
      <w:r>
        <w:t xml:space="preserve"> </w:t>
      </w:r>
      <w:r>
        <w:rPr>
          <w:b/>
          <w:bCs/>
        </w:rPr>
        <w:t xml:space="preserve">IQTISODIYOT – ORGANIZM</w:t>
      </w:r>
      <w:r>
        <w:t xml:space="preserve">: «sog‘lom iqtisodiyot», «inflyatsiyaning isitmasi», «iqtisodiyotni davolash». </w:t>
      </w:r>
      <w:r>
        <w:rPr>
          <w:b/>
          <w:bCs/>
        </w:rPr>
        <w:t xml:space="preserve">IJTIMOIY MUAMMOGA QARSHI CHORA – URUSH</w:t>
      </w:r>
      <w:r>
        <w:t xml:space="preserve">: «korrupsiyaga qarshi kurash», «jinoyatchilikka qarshi urush». </w:t>
      </w:r>
      <w:r>
        <w:rPr>
          <w:b/>
          <w:bCs/>
        </w:rPr>
        <w:t xml:space="preserve">TARAQQIYOT – YO‘L</w:t>
      </w:r>
      <w:r>
        <w:t xml:space="preserve">: «islohotlar yo‘li», «taraqqiyot yo‘lidan bormoq». Masalan, «organizm» metaforasi iqtisodiy muammoni «kasallik» sifatida, hukumatni esa «shifokor» sifatida tasavvur qilishga undaydi.</w:t>
      </w:r>
    </w:p>
    <w:p>
      <w:pPr>
        <w:pStyle w:val="Heading2"/>
      </w:pPr>
      <w:r>
        <w:t xml:space="preserve">III. Kazuslar</w:t>
      </w:r>
    </w:p>
    <w:p>
      <w:pPr>
        <w:keepNext/>
        <w:spacing w:after="80" w:before="200"/>
        <w:jc w:val="both"/>
      </w:pPr>
      <w:r>
        <w:rPr>
          <w:b/>
          <w:bCs/>
        </w:rPr>
        <w:t xml:space="preserve">1-kazus. Tadqiqotchi: «"Stol oyog‘i", "choynak burni" kabi ifodalar o‘lik metaforalardir, ular endi tafakkurga hech qanday ta’sir qilmaydi, shuning uchun ularni kognitiv tahlil qilish ma’nosiz», deb hisoblaydi. Unga e’tiroz bildiring.</w:t>
      </w:r>
    </w:p>
    <w:p>
      <w:pPr>
        <w:pBdr>
          <w:left w:val="single" w:color="2E75B6" w:sz="12" w:space="6"/>
        </w:pBdr>
        <w:shd w:fill="F2F2F2" w:color="auto" w:val="clear"/>
        <w:spacing w:after="40"/>
        <w:ind w:left="284"/>
        <w:jc w:val="both"/>
      </w:pPr>
      <w:r>
        <w:rPr>
          <w:b/>
          <w:bCs/>
        </w:rPr>
        <w:t xml:space="preserve">Namuna yechim:</w:t>
      </w:r>
      <w:r>
        <w:t xml:space="preserve"> Bu ifodalar haqiqatan ham obrazliligini yo‘qotgan va so‘zlovchi tomonidan metafora sifatida anglanmaydi. Ammo kognitiv tilshunoslik uchun ular muhim dalil: ular </w:t>
      </w:r>
      <w:r>
        <w:rPr>
          <w:b/>
          <w:bCs/>
        </w:rPr>
        <w:t xml:space="preserve">INSON TANASI – PREDMET</w:t>
      </w:r>
      <w:r>
        <w:t xml:space="preserve"> (antropomorfizm) degan keng tarqalgan konseptual modelning tilda mustahkamlanib qolgan izi. Inson olamni o‘z tanasi orqali o‘lchaydi («tog‘ etagi», «daryo og‘zi», «ko‘cha boshi»). «O‘lik» metaforalarning ko‘pligi aynan shu modelning tafakkurdagi chuqur ildizini ko‘rsatadi.</w:t>
      </w:r>
    </w:p>
    <w:p>
      <w:pPr>
        <w:keepNext/>
        <w:spacing w:after="80" w:before="200"/>
        <w:jc w:val="both"/>
      </w:pPr>
      <w:r>
        <w:rPr>
          <w:b/>
          <w:bCs/>
        </w:rPr>
        <w:t xml:space="preserve">2-kazus. Ikki talaba «Vatan» konseptini tahlil qildi. Birinchisi faqat 3 ta maqol asosida xulosa chiqardi. Ikkinchisi lug‘at, 40 ta maqol va ibora, 15 ta she’r va 50 respondent bilan assotsiativ eksperimentdan foydalandi. Qaysi tadqiqot ishonchliroq va nima uchun?</w:t>
      </w:r>
    </w:p>
    <w:p>
      <w:pPr>
        <w:pBdr>
          <w:left w:val="single" w:color="2E75B6" w:sz="12" w:space="6"/>
        </w:pBdr>
        <w:shd w:fill="F2F2F2" w:color="auto" w:val="clear"/>
        <w:spacing w:after="40"/>
        <w:ind w:left="284"/>
        <w:jc w:val="both"/>
      </w:pPr>
      <w:r>
        <w:rPr>
          <w:b/>
          <w:bCs/>
        </w:rPr>
        <w:t xml:space="preserve">Namuna yechim (yo‘nalish):</w:t>
      </w:r>
      <w:r>
        <w:t xml:space="preserve"> Ikkinchi tadqiqot ishonchliroq, chunki unda materialning </w:t>
      </w:r>
      <w:r>
        <w:rPr>
          <w:b/>
          <w:bCs/>
        </w:rPr>
        <w:t xml:space="preserve">reprezentativligi</w:t>
      </w:r>
      <w:r>
        <w:t xml:space="preserve"> ta’minlangan va turli manbalar (lisoniy, matnli, eksperimental) bir-birini tekshirgan...</w:t>
      </w:r>
    </w:p>
    <w:p>
      <w:pPr>
        <w:pStyle w:val="Heading2"/>
      </w:pPr>
      <w:r>
        <w:t xml:space="preserve">IV. Testlar</w:t>
      </w:r>
    </w:p>
    <w:p>
      <w:pPr>
        <w:pStyle w:val="ListParagraph"/>
        <w:keepNext/>
        <w:numPr>
          <w:ilvl w:val="0"/>
          <w:numId w:val="3"/>
        </w:numPr>
        <w:spacing w:after="20" w:before="100"/>
      </w:pPr>
      <w:r>
        <w:t xml:space="preserve">«Biz yashaydigan metaforalar» (1980) kitobining mualliflari kimlar?</w:t>
      </w:r>
    </w:p>
    <w:p>
      <w:pPr>
        <w:spacing w:after="0"/>
        <w:ind w:left="1069"/>
      </w:pPr>
      <w:r>
        <w:t xml:space="preserve">A) J. Lakoff, M. Jonson</w:t>
      </w:r>
    </w:p>
    <w:p>
      <w:pPr>
        <w:spacing w:after="0"/>
        <w:ind w:left="1069"/>
      </w:pPr>
      <w:r>
        <w:t xml:space="preserve">B) J. Fokonye, M. Terner</w:t>
      </w:r>
    </w:p>
    <w:p>
      <w:pPr>
        <w:spacing w:after="0"/>
        <w:ind w:left="1069"/>
      </w:pPr>
      <w:r>
        <w:t xml:space="preserve">C) R. Lenekker, L. Talmi</w:t>
      </w:r>
    </w:p>
    <w:p>
      <w:pPr>
        <w:spacing w:after="0"/>
        <w:ind w:left="1069"/>
      </w:pPr>
      <w:r>
        <w:t xml:space="preserve">D) E. Rosh, U. Labov</w:t>
      </w:r>
    </w:p>
    <w:p>
      <w:pPr>
        <w:pStyle w:val="ListParagraph"/>
        <w:keepNext/>
        <w:numPr>
          <w:ilvl w:val="0"/>
          <w:numId w:val="3"/>
        </w:numPr>
        <w:spacing w:after="20" w:before="100"/>
      </w:pPr>
      <w:r>
        <w:t xml:space="preserve">«Kayfiyati ko‘tarildi» ifodasi qaysi turdagi metaforaga misol?</w:t>
      </w:r>
    </w:p>
    <w:p>
      <w:pPr>
        <w:spacing w:after="0"/>
        <w:ind w:left="1069"/>
      </w:pPr>
      <w:r>
        <w:t xml:space="preserve">A) Strukturaviy</w:t>
      </w:r>
    </w:p>
    <w:p>
      <w:pPr>
        <w:spacing w:after="0"/>
        <w:ind w:left="1069"/>
      </w:pPr>
      <w:r>
        <w:t xml:space="preserve">B) Orientatsion</w:t>
      </w:r>
    </w:p>
    <w:p>
      <w:pPr>
        <w:spacing w:after="0"/>
        <w:ind w:left="1069"/>
      </w:pPr>
      <w:r>
        <w:t xml:space="preserve">C) Ontologik</w:t>
      </w:r>
    </w:p>
    <w:p>
      <w:pPr>
        <w:spacing w:after="0"/>
        <w:ind w:left="1069"/>
      </w:pPr>
      <w:r>
        <w:t xml:space="preserve">D) O‘lik</w:t>
      </w:r>
    </w:p>
    <w:p>
      <w:pPr>
        <w:pStyle w:val="ListParagraph"/>
        <w:keepNext/>
        <w:numPr>
          <w:ilvl w:val="0"/>
          <w:numId w:val="3"/>
        </w:numPr>
        <w:spacing w:after="20" w:before="100"/>
      </w:pPr>
      <w:r>
        <w:t xml:space="preserve">«Navoiyni o‘qidim» qaysi metonimiya modeliga mos keladi?</w:t>
      </w:r>
    </w:p>
    <w:p>
      <w:pPr>
        <w:spacing w:after="0"/>
        <w:ind w:left="1069"/>
      </w:pPr>
      <w:r>
        <w:t xml:space="preserve">A) Idish – ichidagi uchun</w:t>
      </w:r>
    </w:p>
    <w:p>
      <w:pPr>
        <w:spacing w:after="0"/>
        <w:ind w:left="1069"/>
      </w:pPr>
      <w:r>
        <w:t xml:space="preserve">B) Muallif – asar uchun</w:t>
      </w:r>
    </w:p>
    <w:p>
      <w:pPr>
        <w:spacing w:after="0"/>
        <w:ind w:left="1069"/>
      </w:pPr>
      <w:r>
        <w:t xml:space="preserve">C) Joy – muassasa uchun</w:t>
      </w:r>
    </w:p>
    <w:p>
      <w:pPr>
        <w:spacing w:after="0"/>
        <w:ind w:left="1069"/>
      </w:pPr>
      <w:r>
        <w:t xml:space="preserve">D) Qism – butun uchun</w:t>
      </w:r>
    </w:p>
    <w:p>
      <w:pPr>
        <w:pStyle w:val="ListParagraph"/>
        <w:keepNext/>
        <w:numPr>
          <w:ilvl w:val="0"/>
          <w:numId w:val="3"/>
        </w:numPr>
        <w:spacing w:after="20" w:before="100"/>
      </w:pPr>
      <w:r>
        <w:t xml:space="preserve">Tasvir sxemalari tushunchasini kiritgan olim kim?</w:t>
      </w:r>
    </w:p>
    <w:p>
      <w:pPr>
        <w:spacing w:after="0"/>
        <w:ind w:left="1069"/>
      </w:pPr>
      <w:r>
        <w:t xml:space="preserve">A) M. Jonson</w:t>
      </w:r>
    </w:p>
    <w:p>
      <w:pPr>
        <w:spacing w:after="0"/>
        <w:ind w:left="1069"/>
      </w:pPr>
      <w:r>
        <w:t xml:space="preserve">B) Ch. Fillmor</w:t>
      </w:r>
    </w:p>
    <w:p>
      <w:pPr>
        <w:spacing w:after="0"/>
        <w:ind w:left="1069"/>
      </w:pPr>
      <w:r>
        <w:t xml:space="preserve">C) A. Goldberg</w:t>
      </w:r>
    </w:p>
    <w:p>
      <w:pPr>
        <w:spacing w:after="0"/>
        <w:ind w:left="1069"/>
      </w:pPr>
      <w:r>
        <w:t xml:space="preserve">D) R. Shenk</w:t>
      </w:r>
    </w:p>
    <w:p>
      <w:pPr>
        <w:pStyle w:val="ListParagraph"/>
        <w:keepNext/>
        <w:numPr>
          <w:ilvl w:val="0"/>
          <w:numId w:val="3"/>
        </w:numPr>
        <w:spacing w:after="20" w:before="100"/>
      </w:pPr>
      <w:r>
        <w:t xml:space="preserve">Polisemiyaning markaziy ma’no va undan tarmoqlangan ma’nolar sifatida tahlil qilinishi qanday ataladi?</w:t>
      </w:r>
    </w:p>
    <w:p>
      <w:pPr>
        <w:spacing w:after="0"/>
        <w:ind w:left="1069"/>
      </w:pPr>
      <w:r>
        <w:t xml:space="preserve">A) Komponent tahlil</w:t>
      </w:r>
    </w:p>
    <w:p>
      <w:pPr>
        <w:spacing w:after="0"/>
        <w:ind w:left="1069"/>
      </w:pPr>
      <w:r>
        <w:t xml:space="preserve">B) Radial kategoriya tahlili</w:t>
      </w:r>
    </w:p>
    <w:p>
      <w:pPr>
        <w:spacing w:after="0"/>
        <w:ind w:left="1069"/>
      </w:pPr>
      <w:r>
        <w:t xml:space="preserve">C) Distributiv tahlil</w:t>
      </w:r>
    </w:p>
    <w:p>
      <w:pPr>
        <w:spacing w:after="0"/>
        <w:ind w:left="1069"/>
      </w:pPr>
      <w:r>
        <w:t xml:space="preserve">D) Transformatsion tahlil</w:t>
      </w:r>
    </w:p>
    <w:p>
      <w:pPr>
        <w:pStyle w:val="ListParagraph"/>
        <w:keepNext/>
        <w:numPr>
          <w:ilvl w:val="0"/>
          <w:numId w:val="3"/>
        </w:numPr>
        <w:spacing w:after="20" w:before="100"/>
      </w:pPr>
      <w:r>
        <w:t xml:space="preserve">Konseptual metaforada mavhum, tushuniladigan soha qanday ataladi?</w:t>
      </w:r>
    </w:p>
    <w:p>
      <w:pPr>
        <w:spacing w:after="0"/>
        <w:ind w:left="1069"/>
      </w:pPr>
      <w:r>
        <w:t xml:space="preserve">A) Manba soha</w:t>
      </w:r>
    </w:p>
    <w:p>
      <w:pPr>
        <w:spacing w:after="0"/>
        <w:ind w:left="1069"/>
      </w:pPr>
      <w:r>
        <w:t xml:space="preserve">B) Maqsad soha</w:t>
      </w:r>
    </w:p>
    <w:p>
      <w:pPr>
        <w:spacing w:after="0"/>
        <w:ind w:left="1069"/>
      </w:pPr>
      <w:r>
        <w:t xml:space="preserve">C) Baza</w:t>
      </w:r>
    </w:p>
    <w:p>
      <w:pPr>
        <w:spacing w:after="0"/>
        <w:ind w:left="1069"/>
      </w:pPr>
      <w:r>
        <w:t xml:space="preserve">D) Fon</w:t>
      </w:r>
    </w:p>
    <w:p>
      <w:pPr>
        <w:spacing w:before="160"/>
      </w:pPr>
      <w:r>
        <w:rPr>
          <w:b/>
          <w:bCs/>
        </w:rPr>
        <w:t xml:space="preserve">Testlar kaliti: </w:t>
      </w:r>
      <w:r>
        <w:t xml:space="preserve">1–A; 2–B; 3–B; 4–A; 5–B; 6–B.</w:t>
      </w:r>
    </w:p>
    <w:p>
      <w:pPr>
        <w:pStyle w:val="Heading2"/>
      </w:pPr>
      <w:r>
        <w:t xml:space="preserve">Nazariy savollar</w:t>
      </w:r>
    </w:p>
    <w:p>
      <w:pPr>
        <w:pStyle w:val="ListParagraph"/>
        <w:numPr>
          <w:ilvl w:val="0"/>
          <w:numId w:val="4"/>
        </w:numPr>
        <w:spacing w:after="40"/>
        <w:jc w:val="both"/>
      </w:pPr>
      <w:r>
        <w:t xml:space="preserve">Kognitiv tahlilning asosiy ko‘rinishlarini sanab, ularni tavsiflang.</w:t>
      </w:r>
    </w:p>
    <w:p>
      <w:pPr>
        <w:pStyle w:val="ListParagraph"/>
        <w:numPr>
          <w:ilvl w:val="0"/>
          <w:numId w:val="4"/>
        </w:numPr>
        <w:spacing w:after="40"/>
        <w:jc w:val="both"/>
      </w:pPr>
      <w:r>
        <w:t xml:space="preserve">Konseptual metafora nazariyasining mohiyatini va metafora turlarini izohlang.</w:t>
      </w:r>
    </w:p>
    <w:p>
      <w:pPr>
        <w:pStyle w:val="ListParagraph"/>
        <w:numPr>
          <w:ilvl w:val="0"/>
          <w:numId w:val="4"/>
        </w:numPr>
        <w:spacing w:after="40"/>
        <w:jc w:val="both"/>
      </w:pPr>
      <w:r>
        <w:t xml:space="preserve">Konseptual metafora va metonimiyaning farqini tushuntiring.</w:t>
      </w:r>
    </w:p>
    <w:p>
      <w:pPr>
        <w:pStyle w:val="ListParagraph"/>
        <w:numPr>
          <w:ilvl w:val="0"/>
          <w:numId w:val="4"/>
        </w:numPr>
        <w:spacing w:after="40"/>
        <w:jc w:val="both"/>
      </w:pPr>
      <w:r>
        <w:t xml:space="preserve">Tasvir sxemalarining til birliklari ma’nosidagi o‘rni nimada?</w:t>
      </w:r>
    </w:p>
    <w:p>
      <w:pPr>
        <w:pStyle w:val="ListParagraph"/>
        <w:numPr>
          <w:ilvl w:val="0"/>
          <w:numId w:val="4"/>
        </w:numPr>
        <w:spacing w:after="40"/>
        <w:jc w:val="both"/>
      </w:pPr>
      <w:r>
        <w:t xml:space="preserve">Semantik-kognitiv tahlil bosqichlarini tavsiflang.</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Лакофф Дж., Джонсон М. Метафоры, которыми мы живём. – М.: Едиториал УРСС, 2004.</w:t>
      </w:r>
    </w:p>
    <w:p>
      <w:pPr>
        <w:pStyle w:val="ListParagraph"/>
        <w:numPr>
          <w:ilvl w:val="0"/>
          <w:numId w:val="5"/>
        </w:numPr>
        <w:spacing w:after="40"/>
        <w:jc w:val="both"/>
      </w:pPr>
      <w:r>
        <w:t xml:space="preserve">Lakoff G., Johnson M. Metaphors We Live By. – Chicago: University of Chicago Press, 1980.</w:t>
      </w:r>
    </w:p>
    <w:p>
      <w:pPr>
        <w:pStyle w:val="ListParagraph"/>
        <w:numPr>
          <w:ilvl w:val="0"/>
          <w:numId w:val="5"/>
        </w:numPr>
        <w:spacing w:after="40"/>
        <w:jc w:val="both"/>
      </w:pPr>
      <w:r>
        <w:t xml:space="preserve">Johnson M. The Body in the Mind: The Bodily Basis of Meaning, Imagination, and Reason. – Chicago: University of Chicago Press, 1987.</w:t>
      </w:r>
    </w:p>
    <w:p>
      <w:pPr>
        <w:pStyle w:val="ListParagraph"/>
        <w:numPr>
          <w:ilvl w:val="0"/>
          <w:numId w:val="5"/>
        </w:numPr>
        <w:spacing w:after="40"/>
        <w:jc w:val="both"/>
      </w:pPr>
      <w:r>
        <w:t xml:space="preserve">Langacker R.W. Foundations of Cognitive Grammar. Vol. 1: Theoretical Prerequisites. – Stanford: Stanford University Press, 1987.</w:t>
      </w:r>
    </w:p>
    <w:p>
      <w:pPr>
        <w:pStyle w:val="ListParagraph"/>
        <w:numPr>
          <w:ilvl w:val="0"/>
          <w:numId w:val="5"/>
        </w:numPr>
        <w:spacing w:after="40"/>
        <w:jc w:val="both"/>
      </w:pPr>
      <w:r>
        <w:t xml:space="preserve">Goldberg A. Constructions: A Construction Grammar Approach to Argument Structure. – Chicago: University of Chicago Press, 1995.</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Evans V., Green M. Cognitive Linguistics: An Introduction. – Edinburgh: Edinburgh University Press, 2006.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13-AMALIY MASHG‘ULOT. TIL HODISALARINING KOGNITIV TAHLILI VA UNING KO‘RINISHLARI</dc:title>
  <dc:creator>Un-named</dc:creator>
  <cp:lastModifiedBy>Un-named</cp:lastModifiedBy>
  <cp:revision>1</cp:revision>
  <dcterms:created xsi:type="dcterms:W3CDTF">2026-10-30T07:58:17.808Z</dcterms:created>
  <dcterms:modified xsi:type="dcterms:W3CDTF">2026-10-30T07:58:17.808Z</dcterms:modified>
</cp:coreProperties>
</file>

<file path=docProps/custom.xml><?xml version="1.0" encoding="utf-8"?>
<Properties xmlns="http://schemas.openxmlformats.org/officeDocument/2006/custom-properties" xmlns:vt="http://schemas.openxmlformats.org/officeDocument/2006/docPropsVTypes"/>
</file>