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</w:rPr>
        <w:t xml:space="preserve">LINGVOKULTUROLOGIYA</w:t>
      </w:r>
    </w:p>
    <w:p>
      <w:pPr>
        <w:spacing w:after="120"/>
        <w:jc w:val="center"/>
      </w:pPr>
      <w:r>
        <w:rPr>
          <w:b/>
          <w:bCs/>
        </w:rPr>
        <w:t xml:space="preserve">11-MA'RUZA</w:t>
      </w:r>
    </w:p>
    <w:p>
      <w:pPr>
        <w:pStyle w:val="Title"/>
        <w:spacing w:after="360" w:before="240"/>
        <w:jc w:val="center"/>
      </w:pPr>
      <w:r>
        <w:rPr>
          <w:b/>
          <w:bCs/>
        </w:rPr>
        <w:t xml:space="preserve">FRAZEOLOGIZMLAR VA PAREMIYALAR LINGVOKULTUROLOGIK BIRLIK SIFATIDA</w:t>
      </w:r>
    </w:p>
    <w:p>
      <w:pPr>
        <w:pStyle w:val="Heading1"/>
        <w:keepNext/>
        <w:spacing w:after="120" w:before="280"/>
      </w:pPr>
      <w:r>
        <w:t xml:space="preserve">Reja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Frazeologizm va paremiyalarning lingvokulturologik tabiati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V.N. Teliya: frazeologizmlarning madaniy konnotatsiyasi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Frazeologizmning ichki shakli va madaniy talqini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Paremiologiya: maqol, matal, aforizm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G.L. Permyakov va maqollarning mantiqiy-semantik tasnifi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O'zbek maqollarida milliy qadriyatlar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Frazeologik va paremiologik birliklarni qiyosiy o'rganish</w:t>
      </w:r>
    </w:p>
    <w:p>
      <w:pPr>
        <w:ind w:firstLine="709"/>
        <w:jc w:val="both"/>
      </w:pPr>
      <w:r>
        <w:rPr>
          <w:b/>
          <w:bCs/>
        </w:rPr>
        <w:t xml:space="preserve">Tayanch tushunchalar:</w:t>
      </w:r>
      <w:r>
        <w:t xml:space="preserve"> frazeologizm, ichki shakl, obraz, madaniy konnotatsiya, madaniy talqin, paremiya, maqol, matal, aforizm, frazeologik ekvivalent, qadriyatlar tizimi.</w:t>
      </w:r>
    </w:p>
    <w:p>
      <w:pPr>
        <w:pStyle w:val="Heading1"/>
        <w:keepNext/>
        <w:spacing w:after="120" w:before="280"/>
      </w:pPr>
      <w:r>
        <w:t xml:space="preserve">1. Frazeologizm va paremiyalarning lingvokulturologik tabiati</w:t>
      </w:r>
    </w:p>
    <w:p>
      <w:pPr>
        <w:ind w:firstLine="709"/>
        <w:jc w:val="both"/>
      </w:pPr>
      <w:r>
        <w:t xml:space="preserve">Frazeologizmlar va maqollar xalqning ko'p asrlik tajribasi, kuzatishlari va baholarini "siqilgan" holda saqlaydi. V.A. Maslova ularni "xalq madaniyatining ko'zgusi" deb ataydi: ularda xalqning turmush tarzi, urf-odatlari, e'tiqodlari va qadriyatlari aks etadi. Shuning uchun ular lingvokulturologiyaning eng muhim o'rganish obyektlaridan biri hisoblanadi.</w:t>
      </w:r>
    </w:p>
    <w:p>
      <w:pPr>
        <w:ind w:firstLine="709"/>
        <w:jc w:val="both"/>
      </w:pPr>
      <w:r>
        <w:t xml:space="preserve">Frazeologizm (ibora) – ma'nosi tarkibidagi so'zlar ma'nolari yig'indisidan kelib chiqmaydigan barqaror birikma ("ko'zi to'q", "og'zi qulog'ida"). </w:t>
      </w:r>
      <w:r>
        <w:rPr>
          <w:b/>
          <w:bCs/>
        </w:rPr>
        <w:t xml:space="preserve">Paremiya</w:t>
      </w:r>
      <w:r>
        <w:t xml:space="preserve"> – tugal fikrni ifodalovchi, ko'pincha hukm yoki o'git shaklidagi barqaror birlik: maqol, matal, aforizm.</w:t>
      </w:r>
    </w:p>
    <w:p>
      <w:pPr>
        <w:pStyle w:val="Heading1"/>
        <w:keepNext/>
        <w:spacing w:after="120" w:before="280"/>
      </w:pPr>
      <w:r>
        <w:t xml:space="preserve">2. V.N. Teliya: frazeologizmlarning madaniy konnotatsiyasi</w:t>
      </w:r>
    </w:p>
    <w:p>
      <w:pPr>
        <w:ind w:firstLine="709"/>
        <w:jc w:val="both"/>
      </w:pPr>
      <w:r>
        <w:rPr>
          <w:b/>
          <w:bCs/>
        </w:rPr>
        <w:t xml:space="preserve">V.N. Teliya</w:t>
      </w:r>
      <w:r>
        <w:t xml:space="preserve"> ("Русская фразеология. Семантический, прагматический и лингвокультурологический аспекты", 1996) frazeologizmlarni lingvokulturologik tahlil qilishning nazariy asosini yaratdi. Uning fikricha, frazeologizm obrazi madaniyat "tili" bilan, ya'ni ramzlar, etalonlar, stereotiplar va madaniyat kodlari bilan bog'langanda </w:t>
      </w:r>
      <w:r>
        <w:rPr>
          <w:b/>
          <w:bCs/>
        </w:rPr>
        <w:t xml:space="preserve">madaniy konnotatsiya</w:t>
      </w:r>
      <w:r>
        <w:t xml:space="preserve"> hosil bo'ladi.</w:t>
      </w:r>
    </w:p>
    <w:p>
      <w:pPr>
        <w:ind w:firstLine="709"/>
        <w:jc w:val="both"/>
      </w:pPr>
      <w:r>
        <w:t xml:space="preserve">Teliya va uning shogirdlari "Большой фразеологический словарь русского языка" (2006) loyihasida har bir frazeologizm uchun alohida </w:t>
      </w:r>
      <w:r>
        <w:rPr>
          <w:b/>
          <w:bCs/>
        </w:rPr>
        <w:t xml:space="preserve">"madaniy izoh"</w:t>
      </w:r>
      <w:r>
        <w:t xml:space="preserve"> qismini berganlar. Bu lingvokulturologik leksikografiyaning muhim namunasidir.</w:t>
      </w:r>
    </w:p>
    <w:p>
      <w:pPr>
        <w:pStyle w:val="Heading1"/>
        <w:keepNext/>
        <w:spacing w:after="120" w:before="280"/>
      </w:pPr>
      <w:r>
        <w:t xml:space="preserve">3. Frazeologizmning ichki shakli va madaniy talqini</w:t>
      </w:r>
    </w:p>
    <w:p>
      <w:pPr>
        <w:ind w:firstLine="709"/>
        <w:jc w:val="both"/>
      </w:pPr>
      <w:r>
        <w:rPr>
          <w:b/>
          <w:bCs/>
        </w:rPr>
        <w:t xml:space="preserve">Ichki shakl</w:t>
      </w:r>
      <w:r>
        <w:t xml:space="preserve"> – frazeologizm ma'nosining asosida yotgan obraz. Lingvokulturologik tahlil uch bosqichda olib boriladi: 1) frazeologik ma'noni aniqlash; 2) ichki shaklni (obrazni) tiklash; 3) obrazni madaniyat kodlari va qadriyatlar orqali talqin qilish.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8"/>
        <w:gridCol w:w="2338"/>
        <w:gridCol w:w="2338"/>
        <w:gridCol w:w="2338"/>
      </w:tblGrid>
      <w:tr>
        <w:trPr>
          <w:tblHeader/>
        </w:trPr>
        <w:tc>
          <w:tcPr>
            <w:tcW w:type="dxa" w:w="2338"/>
            <w:shd w:fill="DCEA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/>
                <w:bCs/>
                <w:sz w:val="26"/>
                <w:szCs w:val="26"/>
              </w:rPr>
              <w:t xml:space="preserve">Frazeologizm</w:t>
            </w:r>
          </w:p>
        </w:tc>
        <w:tc>
          <w:tcPr>
            <w:tcW w:type="dxa" w:w="2338"/>
            <w:shd w:fill="DCEA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/>
                <w:bCs/>
                <w:sz w:val="26"/>
                <w:szCs w:val="26"/>
              </w:rPr>
              <w:t xml:space="preserve">Ma'nosi</w:t>
            </w:r>
          </w:p>
        </w:tc>
        <w:tc>
          <w:tcPr>
            <w:tcW w:type="dxa" w:w="2338"/>
            <w:shd w:fill="DCEA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/>
                <w:bCs/>
                <w:sz w:val="26"/>
                <w:szCs w:val="26"/>
              </w:rPr>
              <w:t xml:space="preserve">Ichki shakl (obraz)</w:t>
            </w:r>
          </w:p>
        </w:tc>
        <w:tc>
          <w:tcPr>
            <w:tcW w:type="dxa" w:w="2338"/>
            <w:shd w:fill="DCEA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/>
                <w:bCs/>
                <w:sz w:val="26"/>
                <w:szCs w:val="26"/>
              </w:rPr>
              <w:t xml:space="preserve">Madaniy talqin</w:t>
            </w:r>
          </w:p>
        </w:tc>
      </w:tr>
      <w:tr>
        <w:trPr>
          <w:tblHeader w:val="false"/>
        </w:trPr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sz w:val="26"/>
                <w:szCs w:val="26"/>
              </w:rPr>
              <w:t xml:space="preserve">do'ppisini osmonga otdi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sz w:val="26"/>
                <w:szCs w:val="26"/>
              </w:rPr>
              <w:t xml:space="preserve">haddan tashqari xursand bo'ldi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sz w:val="26"/>
                <w:szCs w:val="26"/>
              </w:rPr>
              <w:t xml:space="preserve">bosh kiyimni yuqoriga otish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sz w:val="26"/>
                <w:szCs w:val="26"/>
              </w:rPr>
              <w:t xml:space="preserve">do'ppi – milliy kiyim; "yuqori" – quvonch</w:t>
            </w:r>
          </w:p>
        </w:tc>
      </w:tr>
      <w:tr>
        <w:trPr>
          <w:tblHeader w:val="false"/>
        </w:trPr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sz w:val="26"/>
                <w:szCs w:val="26"/>
              </w:rPr>
              <w:t xml:space="preserve">tuzini ichib, tuzlug'iga tupurmoq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sz w:val="26"/>
                <w:szCs w:val="26"/>
              </w:rPr>
              <w:t xml:space="preserve">yaxshilikka yomonlik qilmoq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sz w:val="26"/>
                <w:szCs w:val="26"/>
              </w:rPr>
              <w:t xml:space="preserve">tuz va dasturxon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sz w:val="26"/>
                <w:szCs w:val="26"/>
              </w:rPr>
              <w:t xml:space="preserve">tuz – noz-ne'mat va vafo ramzi</w:t>
            </w:r>
          </w:p>
        </w:tc>
      </w:tr>
      <w:tr>
        <w:trPr>
          <w:tblHeader w:val="false"/>
        </w:trPr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sz w:val="26"/>
                <w:szCs w:val="26"/>
              </w:rPr>
              <w:t xml:space="preserve">tuyaning dumi yerga tekkanda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sz w:val="26"/>
                <w:szCs w:val="26"/>
              </w:rPr>
              <w:t xml:space="preserve">hech qachon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sz w:val="26"/>
                <w:szCs w:val="26"/>
              </w:rPr>
              <w:t xml:space="preserve">tuya dumi yerga yetmaydi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sz w:val="26"/>
                <w:szCs w:val="26"/>
              </w:rPr>
              <w:t xml:space="preserve">Markaziy Osiyo turmushidagi tuya obrazi</w:t>
            </w:r>
          </w:p>
        </w:tc>
      </w:tr>
      <w:tr>
        <w:trPr>
          <w:tblHeader w:val="false"/>
        </w:trPr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sz w:val="26"/>
                <w:szCs w:val="26"/>
              </w:rPr>
              <w:t xml:space="preserve">oyog'ini qo'liga olib keldi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sz w:val="26"/>
                <w:szCs w:val="26"/>
              </w:rPr>
              <w:t xml:space="preserve">shoshilib, darhol keldi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sz w:val="26"/>
                <w:szCs w:val="26"/>
              </w:rPr>
              <w:t xml:space="preserve">oyoqni qo'lga olish – mubolag'ali obraz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sz w:val="26"/>
                <w:szCs w:val="26"/>
              </w:rPr>
              <w:t xml:space="preserve">tezlik va shoshilish mubolag'a orqali ifodalangan</w:t>
            </w:r>
          </w:p>
        </w:tc>
      </w:tr>
    </w:tbl>
    <w:p/>
    <w:p>
      <w:pPr>
        <w:ind w:firstLine="709"/>
        <w:jc w:val="both"/>
      </w:pPr>
      <w:r>
        <w:t xml:space="preserve">Eslatma: jadvaldagi ichki shakl talqinlari o'quv maqsadida berilgan; frazeologizmlarning kelib chiqishi har doim ham aniq hujjatlashtirilmagan, shuning uchun talqinlar ehtiyotkorlik bilan "taxmin" sifatida beriladi.</w:t>
      </w:r>
    </w:p>
    <w:p>
      <w:pPr>
        <w:pStyle w:val="Heading1"/>
        <w:keepNext/>
        <w:spacing w:after="120" w:before="280"/>
      </w:pPr>
      <w:r>
        <w:t xml:space="preserve">4. Paremiologiya: maqol, matal, aforizm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3118"/>
            <w:shd w:fill="DCEA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/>
                <w:bCs/>
                <w:sz w:val="26"/>
                <w:szCs w:val="26"/>
              </w:rPr>
              <w:t xml:space="preserve">Turi</w:t>
            </w:r>
          </w:p>
        </w:tc>
        <w:tc>
          <w:tcPr>
            <w:tcW w:type="dxa" w:w="3118"/>
            <w:shd w:fill="DCEA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/>
                <w:bCs/>
                <w:sz w:val="26"/>
                <w:szCs w:val="26"/>
              </w:rPr>
              <w:t xml:space="preserve">Belgisi</w:t>
            </w:r>
          </w:p>
        </w:tc>
        <w:tc>
          <w:tcPr>
            <w:tcW w:type="dxa" w:w="3118"/>
            <w:shd w:fill="DCEA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/>
                <w:bCs/>
                <w:sz w:val="26"/>
                <w:szCs w:val="26"/>
              </w:rPr>
              <w:t xml:space="preserve">Misol</w:t>
            </w:r>
          </w:p>
        </w:tc>
      </w:tr>
      <w:tr>
        <w:trPr>
          <w:tblHeader w:val="false"/>
        </w:trPr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sz w:val="26"/>
                <w:szCs w:val="26"/>
              </w:rPr>
              <w:t xml:space="preserve">Maqol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sz w:val="26"/>
                <w:szCs w:val="26"/>
              </w:rPr>
              <w:t xml:space="preserve">tugal hukm, umumlashgan xulosa, ko'pincha ko'chma ma'noli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sz w:val="26"/>
                <w:szCs w:val="26"/>
              </w:rPr>
              <w:t xml:space="preserve">Yetti o'lchab, bir kes.</w:t>
            </w:r>
          </w:p>
        </w:tc>
      </w:tr>
      <w:tr>
        <w:trPr>
          <w:tblHeader w:val="false"/>
        </w:trPr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sz w:val="26"/>
                <w:szCs w:val="26"/>
              </w:rPr>
              <w:t xml:space="preserve">Matal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sz w:val="26"/>
                <w:szCs w:val="26"/>
              </w:rPr>
              <w:t xml:space="preserve">tugal hukm emas, gap ichida qo'llanuvchi obrazli ifoda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sz w:val="26"/>
                <w:szCs w:val="26"/>
              </w:rPr>
              <w:t xml:space="preserve">tuyaning dumi yerga tekkanda (hech qachon)</w:t>
            </w:r>
          </w:p>
        </w:tc>
      </w:tr>
      <w:tr>
        <w:trPr>
          <w:tblHeader w:val="false"/>
        </w:trPr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sz w:val="26"/>
                <w:szCs w:val="26"/>
              </w:rPr>
              <w:t xml:space="preserve">Aforizm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sz w:val="26"/>
                <w:szCs w:val="26"/>
              </w:rPr>
              <w:t xml:space="preserve">muallifi ma'lum bo'lgan hikmatli so'z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sz w:val="26"/>
                <w:szCs w:val="26"/>
              </w:rPr>
              <w:t xml:space="preserve">Navoiy, Bobur va boshqa mualliflarning hikmatlari</w:t>
            </w:r>
          </w:p>
        </w:tc>
      </w:tr>
      <w:tr>
        <w:trPr>
          <w:tblHeader w:val="false"/>
        </w:trPr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sz w:val="26"/>
                <w:szCs w:val="26"/>
              </w:rPr>
              <w:t xml:space="preserve">Tez aytish, topishmoq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sz w:val="26"/>
                <w:szCs w:val="26"/>
              </w:rPr>
              <w:t xml:space="preserve">paremiyalarga yaqin janrlar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sz w:val="26"/>
                <w:szCs w:val="26"/>
              </w:rPr>
              <w:t xml:space="preserve">xalq og'zaki ijodi namunalari</w:t>
            </w:r>
          </w:p>
        </w:tc>
      </w:tr>
    </w:tbl>
    <w:p/>
    <w:p>
      <w:pPr>
        <w:ind w:firstLine="709"/>
        <w:jc w:val="both"/>
      </w:pPr>
      <w:r>
        <w:t xml:space="preserve">Maqol va matal o'rtasidagi chegara har doim ham aniq emas; o'zbek folklorshunosligida bu masala alohida o'rganilgan. Maqollar to'plami sifatida "O'zbek xalq maqollari" (T. Mirzayev, A. Musoqulov, B. Sarimsoqov tuzgan nashrlar) asosiy manba hisoblanadi.</w:t>
      </w:r>
    </w:p>
    <w:p>
      <w:pPr>
        <w:pStyle w:val="Heading1"/>
        <w:keepNext/>
        <w:spacing w:after="120" w:before="280"/>
      </w:pPr>
      <w:r>
        <w:t xml:space="preserve">5. G.L. Permyakov va maqollarning tasnifi</w:t>
      </w:r>
    </w:p>
    <w:p>
      <w:pPr>
        <w:ind w:firstLine="709"/>
        <w:jc w:val="both"/>
      </w:pPr>
      <w:r>
        <w:t xml:space="preserve">Rus folklorshunosi </w:t>
      </w:r>
      <w:r>
        <w:rPr>
          <w:b/>
          <w:bCs/>
        </w:rPr>
        <w:t xml:space="preserve">G.L. Permyakov</w:t>
      </w:r>
      <w:r>
        <w:t xml:space="preserve"> ("От поговорки до сказки", 1970) maqollarni mavzu bo'yicha emas, balki ularning </w:t>
      </w:r>
      <w:r>
        <w:rPr>
          <w:b/>
          <w:bCs/>
        </w:rPr>
        <w:t xml:space="preserve">mantiqiy-semantik tuzilishi</w:t>
      </w:r>
      <w:r>
        <w:t xml:space="preserve"> bo'yicha tasniflashni taklif qilgan. Uning fikricha, turli xalqlarning maqollari bir xil mantiqiy "qolip"larga asoslanadi, lekin har bir xalq bu qoliplarni o'z turmushidagi obrazlar bilan to'ldiradi. Masalan, "narsaning qadri u yo'qolganda bilinadi" qolipi turli tillarda turli obrazlar bilan ifodalanadi.</w:t>
      </w:r>
    </w:p>
    <w:p>
      <w:pPr>
        <w:ind w:firstLine="709"/>
        <w:jc w:val="both"/>
      </w:pPr>
      <w:r>
        <w:t xml:space="preserve">Bu yondashuv lingvokulturologiya uchun muhim: </w:t>
      </w:r>
      <w:r>
        <w:rPr>
          <w:b/>
          <w:bCs/>
        </w:rPr>
        <w:t xml:space="preserve">mantiqiy qolip umuminsoniy</w:t>
      </w:r>
      <w:r>
        <w:t xml:space="preserve">, </w:t>
      </w:r>
      <w:r>
        <w:rPr>
          <w:b/>
          <w:bCs/>
        </w:rPr>
        <w:t xml:space="preserve">obraz esa milliy</w:t>
      </w:r>
      <w:r>
        <w:t xml:space="preserve">. Shu sababli maqollarni qiyoslash orqali madaniyatlarning umumiy va o'ziga xos jihatlarini ajratish mumkin.</w:t>
      </w:r>
    </w:p>
    <w:p>
      <w:pPr>
        <w:pStyle w:val="Heading1"/>
        <w:keepNext/>
        <w:spacing w:after="120" w:before="280"/>
      </w:pPr>
      <w:r>
        <w:t xml:space="preserve">6. O'zbek maqollarida milliy qadriyatlar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3118"/>
            <w:shd w:fill="DCEA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/>
                <w:bCs/>
                <w:sz w:val="26"/>
                <w:szCs w:val="26"/>
              </w:rPr>
              <w:t xml:space="preserve">Qadriyat</w:t>
            </w:r>
          </w:p>
        </w:tc>
        <w:tc>
          <w:tcPr>
            <w:tcW w:type="dxa" w:w="3118"/>
            <w:shd w:fill="DCEA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/>
                <w:bCs/>
                <w:sz w:val="26"/>
                <w:szCs w:val="26"/>
              </w:rPr>
              <w:t xml:space="preserve">Maqol</w:t>
            </w:r>
          </w:p>
        </w:tc>
        <w:tc>
          <w:tcPr>
            <w:tcW w:type="dxa" w:w="3118"/>
            <w:shd w:fill="DCEA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/>
                <w:bCs/>
                <w:sz w:val="26"/>
                <w:szCs w:val="26"/>
              </w:rPr>
              <w:t xml:space="preserve">Izoh</w:t>
            </w:r>
          </w:p>
        </w:tc>
      </w:tr>
      <w:tr>
        <w:trPr>
          <w:tblHeader w:val="false"/>
        </w:trPr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sz w:val="26"/>
                <w:szCs w:val="26"/>
              </w:rPr>
              <w:t xml:space="preserve">Ota-ona hurmati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sz w:val="26"/>
                <w:szCs w:val="26"/>
              </w:rPr>
              <w:t xml:space="preserve">Ota rozi – xudo rozi.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sz w:val="26"/>
                <w:szCs w:val="26"/>
              </w:rPr>
              <w:t xml:space="preserve">ota-ona roziligi oliy qadriyat</w:t>
            </w:r>
          </w:p>
        </w:tc>
      </w:tr>
      <w:tr>
        <w:trPr>
          <w:tblHeader w:val="false"/>
        </w:trPr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sz w:val="26"/>
                <w:szCs w:val="26"/>
              </w:rPr>
              <w:t xml:space="preserve">Mehnat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sz w:val="26"/>
                <w:szCs w:val="26"/>
              </w:rPr>
              <w:t xml:space="preserve">Mehnat, mehnatning tagi – rohat.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sz w:val="26"/>
                <w:szCs w:val="26"/>
              </w:rPr>
              <w:t xml:space="preserve">mehnat va uning samarasi</w:t>
            </w:r>
          </w:p>
        </w:tc>
      </w:tr>
      <w:tr>
        <w:trPr>
          <w:tblHeader w:val="false"/>
        </w:trPr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sz w:val="26"/>
                <w:szCs w:val="26"/>
              </w:rPr>
              <w:t xml:space="preserve">Ilm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sz w:val="26"/>
                <w:szCs w:val="26"/>
              </w:rPr>
              <w:t xml:space="preserve">Ilm – aql chirog'i.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sz w:val="26"/>
                <w:szCs w:val="26"/>
              </w:rPr>
              <w:t xml:space="preserve">ilmning qadri</w:t>
            </w:r>
          </w:p>
        </w:tc>
      </w:tr>
      <w:tr>
        <w:trPr>
          <w:tblHeader w:val="false"/>
        </w:trPr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sz w:val="26"/>
                <w:szCs w:val="26"/>
              </w:rPr>
              <w:t xml:space="preserve">Do'stlik va qo'shnichilik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sz w:val="26"/>
                <w:szCs w:val="26"/>
              </w:rPr>
              <w:t xml:space="preserve">Hovli olma – qo'shni ol.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sz w:val="26"/>
                <w:szCs w:val="26"/>
              </w:rPr>
              <w:t xml:space="preserve">qo'shni tanlash uy tanlashdan muhim</w:t>
            </w:r>
          </w:p>
        </w:tc>
      </w:tr>
      <w:tr>
        <w:trPr>
          <w:tblHeader w:val="false"/>
        </w:trPr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sz w:val="26"/>
                <w:szCs w:val="26"/>
              </w:rPr>
              <w:t xml:space="preserve">Vatan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sz w:val="26"/>
                <w:szCs w:val="26"/>
              </w:rPr>
              <w:t xml:space="preserve">Kishi yurtida shoh bo'lguncha, o'z yurtingda gado bo'l.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sz w:val="26"/>
                <w:szCs w:val="26"/>
              </w:rPr>
              <w:t xml:space="preserve">Vatanga sadoqat</w:t>
            </w:r>
          </w:p>
        </w:tc>
      </w:tr>
      <w:tr>
        <w:trPr>
          <w:tblHeader w:val="false"/>
        </w:trPr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sz w:val="26"/>
                <w:szCs w:val="26"/>
              </w:rPr>
              <w:t xml:space="preserve">Til va so'z odobi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sz w:val="26"/>
                <w:szCs w:val="26"/>
              </w:rPr>
              <w:t xml:space="preserve">Til – dil kaliti.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sz w:val="26"/>
                <w:szCs w:val="26"/>
              </w:rPr>
              <w:t xml:space="preserve">so'zning qudrati</w:t>
            </w:r>
          </w:p>
        </w:tc>
      </w:tr>
      <w:tr>
        <w:trPr>
          <w:tblHeader w:val="false"/>
        </w:trPr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sz w:val="26"/>
                <w:szCs w:val="26"/>
              </w:rPr>
              <w:t xml:space="preserve">Ehtiyotkorlik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sz w:val="26"/>
                <w:szCs w:val="26"/>
              </w:rPr>
              <w:t xml:space="preserve">Yetti o'lchab, bir kes.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sz w:val="26"/>
                <w:szCs w:val="26"/>
              </w:rPr>
              <w:t xml:space="preserve">puxta o'ylab ish qilish</w:t>
            </w:r>
          </w:p>
        </w:tc>
      </w:tr>
    </w:tbl>
    <w:p/>
    <w:p>
      <w:pPr>
        <w:ind w:firstLine="709"/>
        <w:jc w:val="both"/>
      </w:pPr>
      <w:r>
        <w:t xml:space="preserve">Maqollar ba'zan bir-biriga zid qadriyatlarni ham aks ettiradi (masalan, ehtiyotkorlik va jasorat haqidagi maqollar). Bu maqollar tizimining hayotiy vaziyatlarga mos tanlab qo'llanishini ko'rsatadi.</w:t>
      </w:r>
    </w:p>
    <w:p>
      <w:pPr>
        <w:pStyle w:val="Heading1"/>
        <w:keepNext/>
        <w:spacing w:after="120" w:before="280"/>
      </w:pPr>
      <w:r>
        <w:t xml:space="preserve">7. Qiyosiy o'rganish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8"/>
        <w:gridCol w:w="2338"/>
        <w:gridCol w:w="2338"/>
        <w:gridCol w:w="2338"/>
      </w:tblGrid>
      <w:tr>
        <w:trPr>
          <w:tblHeader/>
        </w:trPr>
        <w:tc>
          <w:tcPr>
            <w:tcW w:type="dxa" w:w="2338"/>
            <w:shd w:fill="DCEA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/>
                <w:bCs/>
                <w:sz w:val="26"/>
                <w:szCs w:val="26"/>
              </w:rPr>
              <w:t xml:space="preserve">O'zbek tili</w:t>
            </w:r>
          </w:p>
        </w:tc>
        <w:tc>
          <w:tcPr>
            <w:tcW w:type="dxa" w:w="2338"/>
            <w:shd w:fill="DCEA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/>
                <w:bCs/>
                <w:sz w:val="26"/>
                <w:szCs w:val="26"/>
              </w:rPr>
              <w:t xml:space="preserve">Ingliz tili</w:t>
            </w:r>
          </w:p>
        </w:tc>
        <w:tc>
          <w:tcPr>
            <w:tcW w:type="dxa" w:w="2338"/>
            <w:shd w:fill="DCEA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/>
                <w:bCs/>
                <w:sz w:val="26"/>
                <w:szCs w:val="26"/>
              </w:rPr>
              <w:t xml:space="preserve">Umumiy qolip</w:t>
            </w:r>
          </w:p>
        </w:tc>
        <w:tc>
          <w:tcPr>
            <w:tcW w:type="dxa" w:w="2338"/>
            <w:shd w:fill="DCEA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/>
                <w:bCs/>
                <w:sz w:val="26"/>
                <w:szCs w:val="26"/>
              </w:rPr>
              <w:t xml:space="preserve">Obrazlar farqi</w:t>
            </w:r>
          </w:p>
        </w:tc>
      </w:tr>
      <w:tr>
        <w:trPr>
          <w:tblHeader w:val="false"/>
        </w:trPr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sz w:val="26"/>
                <w:szCs w:val="26"/>
              </w:rPr>
              <w:t xml:space="preserve">Yetti o'lchab, bir kes.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sz w:val="26"/>
                <w:szCs w:val="26"/>
              </w:rPr>
              <w:t xml:space="preserve">Measure twice, cut once.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sz w:val="26"/>
                <w:szCs w:val="26"/>
              </w:rPr>
              <w:t xml:space="preserve">ish oldidan puxta o'ylash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sz w:val="26"/>
                <w:szCs w:val="26"/>
              </w:rPr>
              <w:t xml:space="preserve">7 – muqaddas son; inglizchada "ikki"</w:t>
            </w:r>
          </w:p>
        </w:tc>
      </w:tr>
      <w:tr>
        <w:trPr>
          <w:tblHeader w:val="false"/>
        </w:trPr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sz w:val="26"/>
                <w:szCs w:val="26"/>
              </w:rPr>
              <w:t xml:space="preserve">Qush uyasida ko'rganini qiladi.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sz w:val="26"/>
                <w:szCs w:val="26"/>
              </w:rPr>
              <w:t xml:space="preserve">Like father, like son.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sz w:val="26"/>
                <w:szCs w:val="26"/>
              </w:rPr>
              <w:t xml:space="preserve">bola ota-onasiga o'xshaydi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sz w:val="26"/>
                <w:szCs w:val="26"/>
              </w:rPr>
              <w:t xml:space="preserve">o'zbekchada qush obrazi</w:t>
            </w:r>
          </w:p>
        </w:tc>
      </w:tr>
      <w:tr>
        <w:trPr>
          <w:tblHeader w:val="false"/>
        </w:trPr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sz w:val="26"/>
                <w:szCs w:val="26"/>
              </w:rPr>
              <w:t xml:space="preserve">Tomchi-tomchi ko'l bo'lur.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sz w:val="26"/>
                <w:szCs w:val="26"/>
              </w:rPr>
              <w:t xml:space="preserve">Many a little makes a mickle.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sz w:val="26"/>
                <w:szCs w:val="26"/>
              </w:rPr>
              <w:t xml:space="preserve">oz-ozdan ko'p yig'iladi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sz w:val="26"/>
                <w:szCs w:val="26"/>
              </w:rPr>
              <w:t xml:space="preserve">suv obrazi Markaziy Osiyo uchun muhim</w:t>
            </w:r>
          </w:p>
        </w:tc>
      </w:tr>
      <w:tr>
        <w:trPr>
          <w:tblHeader w:val="false"/>
        </w:trPr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sz w:val="26"/>
                <w:szCs w:val="26"/>
              </w:rPr>
              <w:t xml:space="preserve">Bir kun tuz ichgan joyingga qirq kun salom ber.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sz w:val="26"/>
                <w:szCs w:val="26"/>
              </w:rPr>
              <w:t xml:space="preserve">(to'g'ridan-to'g'ri muqobil yo'q)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sz w:val="26"/>
                <w:szCs w:val="26"/>
              </w:rPr>
              <w:t xml:space="preserve">yaxshilikni unutmaslik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b w:val="false"/>
                <w:bCs w:val="false"/>
                <w:sz w:val="26"/>
                <w:szCs w:val="26"/>
              </w:rPr>
              <w:t xml:space="preserve">tuz va 40 son ramzi – milliy</w:t>
            </w:r>
          </w:p>
        </w:tc>
      </w:tr>
    </w:tbl>
    <w:p/>
    <w:p>
      <w:pPr>
        <w:ind w:firstLine="709"/>
        <w:jc w:val="both"/>
      </w:pPr>
      <w:r>
        <w:t xml:space="preserve">Qiyos shuni ko'rsatadiki, ko'plab maqollarning mantiqiy mazmuni umumiy, lekin obrazlar (son, hayvon, taom, tabiat) har bir xalqning turmushi va madaniyat kodlarini aks ettiradi.</w:t>
      </w:r>
    </w:p>
    <w:p>
      <w:pPr>
        <w:pStyle w:val="Heading1"/>
        <w:keepNext/>
        <w:spacing w:after="120" w:before="280"/>
      </w:pPr>
      <w:r>
        <w:t xml:space="preserve">Xulosa</w:t>
      </w:r>
    </w:p>
    <w:p>
      <w:pPr>
        <w:ind w:firstLine="709"/>
        <w:jc w:val="both"/>
      </w:pPr>
      <w:r>
        <w:t xml:space="preserve">Frazeologizmlar va maqollar – xalq madaniyatining "ko'zgusi", ularda xalqning tajribasi, qadriyatlari va dunyoqarashi siqilgan holda saqlanadi. V.N. Teliya frazeologizmlarning madaniy konnotatsiyasi nazariyasini yaratgan, G.L. Permyakov maqollarning mantiqiy-semantik tasnifini taklif qilgan. Lingvokulturologik tahlil ma'no, ichki shakl va madaniy talqin bosqichlaridan iborat. O'zbek maqollarida ota-ona hurmati, mehnat, ilm, qo'shnichilik, Vatan va so'z odobi asosiy qadriyatlar sifatida namoyon bo'ladi. Qiyosiy tahlil umuminsoniy qoliplar va milliy obrazlarni ajratishga imkon beradi.</w:t>
      </w:r>
    </w:p>
    <w:p>
      <w:pPr>
        <w:pStyle w:val="Heading1"/>
        <w:keepNext/>
        <w:spacing w:after="120" w:before="280"/>
      </w:pPr>
      <w:r>
        <w:t xml:space="preserve">Nazorat savollari</w:t>
      </w:r>
    </w:p>
    <w:p>
      <w:pPr>
        <w:pStyle w:val="ListParagraph"/>
        <w:numPr>
          <w:ilvl w:val="0"/>
          <w:numId w:val="3"/>
        </w:numPr>
        <w:jc w:val="both"/>
      </w:pPr>
      <w:r>
        <w:t xml:space="preserve">Nima uchun frazeologizm va maqollar "xalq madaniyatining ko'zgusi" deb ataladi?</w:t>
      </w:r>
    </w:p>
    <w:p>
      <w:pPr>
        <w:pStyle w:val="ListParagraph"/>
        <w:numPr>
          <w:ilvl w:val="0"/>
          <w:numId w:val="3"/>
        </w:numPr>
        <w:jc w:val="both"/>
      </w:pPr>
      <w:r>
        <w:t xml:space="preserve">V.N. Teliya madaniy konnotatsiyani qanday tushuntiradi?</w:t>
      </w:r>
    </w:p>
    <w:p>
      <w:pPr>
        <w:pStyle w:val="ListParagraph"/>
        <w:numPr>
          <w:ilvl w:val="0"/>
          <w:numId w:val="3"/>
        </w:numPr>
        <w:jc w:val="both"/>
      </w:pPr>
      <w:r>
        <w:t xml:space="preserve">Frazeologizmning ichki shakli nima?</w:t>
      </w:r>
    </w:p>
    <w:p>
      <w:pPr>
        <w:pStyle w:val="ListParagraph"/>
        <w:numPr>
          <w:ilvl w:val="0"/>
          <w:numId w:val="3"/>
        </w:numPr>
        <w:jc w:val="both"/>
      </w:pPr>
      <w:r>
        <w:t xml:space="preserve">Frazeologizmni lingvokulturologik tahlil qilish bosqichlarini ayting.</w:t>
      </w:r>
    </w:p>
    <w:p>
      <w:pPr>
        <w:pStyle w:val="ListParagraph"/>
        <w:numPr>
          <w:ilvl w:val="0"/>
          <w:numId w:val="3"/>
        </w:numPr>
        <w:jc w:val="both"/>
      </w:pPr>
      <w:r>
        <w:t xml:space="preserve">Maqol, matal va aforizm qanday farqlanadi?</w:t>
      </w:r>
    </w:p>
    <w:p>
      <w:pPr>
        <w:pStyle w:val="ListParagraph"/>
        <w:numPr>
          <w:ilvl w:val="0"/>
          <w:numId w:val="3"/>
        </w:numPr>
        <w:jc w:val="both"/>
      </w:pPr>
      <w:r>
        <w:t xml:space="preserve">G.L. Permyakov maqollarni qanday tamoyil asosida tasniflagan?</w:t>
      </w:r>
    </w:p>
    <w:p>
      <w:pPr>
        <w:pStyle w:val="ListParagraph"/>
        <w:numPr>
          <w:ilvl w:val="0"/>
          <w:numId w:val="3"/>
        </w:numPr>
        <w:jc w:val="both"/>
      </w:pPr>
      <w:r>
        <w:t xml:space="preserve">O'zbek maqollarida qaysi qadriyatlar ustuvor?</w:t>
      </w:r>
    </w:p>
    <w:p>
      <w:pPr>
        <w:pStyle w:val="ListParagraph"/>
        <w:numPr>
          <w:ilvl w:val="0"/>
          <w:numId w:val="3"/>
        </w:numPr>
        <w:jc w:val="both"/>
      </w:pPr>
      <w:r>
        <w:t xml:space="preserve">Maqollarni qiyoslashda "umumiy qolip" va "milliy obraz" qanday ajratiladi?</w:t>
      </w:r>
    </w:p>
    <w:p>
      <w:pPr>
        <w:pStyle w:val="Heading1"/>
        <w:keepNext/>
        <w:spacing w:after="120" w:before="280"/>
      </w:pPr>
      <w:r>
        <w:t xml:space="preserve">Topshiriqlar</w:t>
      </w:r>
    </w:p>
    <w:p>
      <w:pPr>
        <w:pStyle w:val="ListParagraph"/>
        <w:numPr>
          <w:ilvl w:val="0"/>
          <w:numId w:val="4"/>
        </w:numPr>
        <w:jc w:val="both"/>
      </w:pPr>
      <w:r>
        <w:t xml:space="preserve">"O'zbek xalq maqollari" to'plamidan bitta mavzu (mehnat, ilm, Vatan yoki do'stlik) bo'yicha 20 ta maqol tanlab, ularda qanday obrazlar qo'llanganini tahlil qiling.</w:t>
      </w:r>
    </w:p>
    <w:p>
      <w:pPr>
        <w:pStyle w:val="ListParagraph"/>
        <w:numPr>
          <w:ilvl w:val="0"/>
          <w:numId w:val="4"/>
        </w:numPr>
        <w:jc w:val="both"/>
      </w:pPr>
      <w:r>
        <w:t xml:space="preserve">10 ta o'zbek maqolining ingliz yoki rus tilidagi muqobilini toping va umumiy qolip hamda obrazlar farqini jadvalda ko'rsating.</w:t>
      </w:r>
    </w:p>
    <w:p>
      <w:pPr>
        <w:pStyle w:val="ListParagraph"/>
        <w:numPr>
          <w:ilvl w:val="0"/>
          <w:numId w:val="4"/>
        </w:numPr>
        <w:jc w:val="both"/>
      </w:pPr>
      <w:r>
        <w:t xml:space="preserve">Kelib chiqishi milliy urf-odat yoki turmush bilan bog'liq 10 ta frazeologizmni toping va ichki shaklini tiklashga harakat qiling.</w:t>
      </w:r>
    </w:p>
    <w:p>
      <w:pPr>
        <w:pStyle w:val="ListParagraph"/>
        <w:numPr>
          <w:ilvl w:val="0"/>
          <w:numId w:val="4"/>
        </w:numPr>
        <w:jc w:val="both"/>
      </w:pPr>
      <w:r>
        <w:t xml:space="preserve">Bitta maqolni turli vaziyatlarda qo'llash bo'yicha qisqa dialoglar tuzing.</w:t>
      </w:r>
    </w:p>
    <w:p>
      <w:pPr>
        <w:pStyle w:val="Heading1"/>
        <w:keepNext/>
        <w:spacing w:after="120" w:before="280"/>
      </w:pPr>
      <w:r>
        <w:t xml:space="preserve">Adabiyotlar</w:t>
      </w:r>
    </w:p>
    <w:p>
      <w:pPr>
        <w:pStyle w:val="ListParagraph"/>
        <w:numPr>
          <w:ilvl w:val="0"/>
          <w:numId w:val="5"/>
        </w:numPr>
        <w:jc w:val="both"/>
      </w:pPr>
      <w:r>
        <w:t xml:space="preserve">Телия В.Н. Русская фразеология. Семантический, прагматический и лингвокультурологический аспекты. – М.: Языки русской культуры, 1996.</w:t>
      </w:r>
    </w:p>
    <w:p>
      <w:pPr>
        <w:pStyle w:val="ListParagraph"/>
        <w:numPr>
          <w:ilvl w:val="0"/>
          <w:numId w:val="5"/>
        </w:numPr>
        <w:jc w:val="both"/>
      </w:pPr>
      <w:r>
        <w:t xml:space="preserve">Большой фразеологический словарь русского языка / Отв. ред. В.Н. Телия. – М.: АСТ-Пресс, 2006.</w:t>
      </w:r>
    </w:p>
    <w:p>
      <w:pPr>
        <w:pStyle w:val="ListParagraph"/>
        <w:numPr>
          <w:ilvl w:val="0"/>
          <w:numId w:val="5"/>
        </w:numPr>
        <w:jc w:val="both"/>
      </w:pPr>
      <w:r>
        <w:t xml:space="preserve">Пермяков Г.Л. От поговорки до сказки (Заметки по общей теории клише). – М.: Наука, 1970.</w:t>
      </w:r>
    </w:p>
    <w:p>
      <w:pPr>
        <w:pStyle w:val="ListParagraph"/>
        <w:numPr>
          <w:ilvl w:val="0"/>
          <w:numId w:val="5"/>
        </w:numPr>
        <w:jc w:val="both"/>
      </w:pPr>
      <w:r>
        <w:t xml:space="preserve">Маслова В.А. Лингвокультурология. – М.: Академия, 2001.</w:t>
      </w:r>
    </w:p>
    <w:p>
      <w:pPr>
        <w:pStyle w:val="ListParagraph"/>
        <w:numPr>
          <w:ilvl w:val="0"/>
          <w:numId w:val="5"/>
        </w:numPr>
        <w:jc w:val="both"/>
      </w:pPr>
      <w:r>
        <w:t xml:space="preserve">Rahmatullayev Sh. O'zbek tilining izohli frazeologik lug'ati. – Toshkent, 1978.</w:t>
      </w:r>
    </w:p>
    <w:p>
      <w:pPr>
        <w:pStyle w:val="ListParagraph"/>
        <w:numPr>
          <w:ilvl w:val="0"/>
          <w:numId w:val="5"/>
        </w:numPr>
        <w:jc w:val="both"/>
      </w:pPr>
      <w:r>
        <w:t xml:space="preserve">O'zbek xalq maqollari / Tuzuvchilar: T. Mirzayev, A. Musoqulov, B. Sarimsoqov. – Toshkent (turli nashrlar).</w:t>
      </w:r>
    </w:p>
    <w:p>
      <w:pPr>
        <w:pStyle w:val="ListParagraph"/>
        <w:numPr>
          <w:ilvl w:val="0"/>
          <w:numId w:val="5"/>
        </w:numPr>
        <w:jc w:val="both"/>
      </w:pPr>
      <w:r>
        <w:t xml:space="preserve">Usmanova Sh. Lingvokulturologiya: darslik. – Toshkent, 2019.</w:t>
      </w:r>
    </w:p>
    <w:sectPr>
      <w:footerReference w:type="default" r:id="rId7"/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rPr>
      <w:sz w:val="56"/>
      <w:szCs w:val="56"/>
    </w:rPr>
  </w:style>
  <w:style w:type="paragraph" w:styleId="Heading1">
    <w:name w:val="Heading 1"/>
    <w:basedOn w:val="Normal"/>
    <w:next w:val="Normal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color w:val="2E74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2026-10-28T17:06:04.681Z</dcterms:created>
  <dcterms:modified xsi:type="dcterms:W3CDTF">2026-10-28T17:06:04.681Z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