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rPr>
        <w:t xml:space="preserve">LINGVOKULTUROLOGIYA</w:t>
      </w:r>
    </w:p>
    <w:p>
      <w:pPr>
        <w:spacing w:after="120"/>
        <w:jc w:val="center"/>
      </w:pPr>
      <w:r>
        <w:rPr>
          <w:b/>
          <w:bCs/>
        </w:rPr>
        <w:t xml:space="preserve">2-AMALIY MASHG'ULOT</w:t>
      </w:r>
    </w:p>
    <w:p>
      <w:pPr>
        <w:pStyle w:val="Title"/>
        <w:spacing w:after="360" w:before="240"/>
        <w:jc w:val="center"/>
      </w:pPr>
      <w:r>
        <w:rPr>
          <w:b/>
          <w:bCs/>
        </w:rPr>
        <w:t xml:space="preserve">TIL VA MADANIYAT MUNOSABATIGA OID NAZARIYALARNI QIYOSLASH (SEPIR–UORF GIPOTEZASI, NEOGUMBOLDTCHILIK)</w:t>
      </w:r>
    </w:p>
    <w:p>
      <w:pPr>
        <w:ind w:firstLine="709"/>
        <w:jc w:val="both"/>
      </w:pPr>
      <w:r>
        <w:rPr>
          <w:b/>
          <w:bCs/>
        </w:rPr>
        <w:t xml:space="preserve">Ajratilgan vaqt:</w:t>
      </w:r>
      <w:r>
        <w:t xml:space="preserve"> 2 soat (80 daqiqa).</w:t>
      </w:r>
    </w:p>
    <w:p>
      <w:pPr>
        <w:ind w:firstLine="709"/>
        <w:jc w:val="both"/>
      </w:pPr>
      <w:r>
        <w:rPr>
          <w:b/>
          <w:bCs/>
        </w:rPr>
        <w:t xml:space="preserve">Mashg'ulot maqsadi:</w:t>
      </w:r>
      <w:r>
        <w:t xml:space="preserve"> talabalarni til, tafakkur va madaniyat munosabatiga oid asosiy nazariyalarni qiyoslashga, ularni o'zbek tili materiali asosida sinab ko'rishga va ilmiy munozara olib borishga o'rgatish.</w:t>
      </w:r>
    </w:p>
    <w:p>
      <w:pPr>
        <w:ind w:firstLine="709"/>
        <w:jc w:val="both"/>
      </w:pPr>
      <w:r>
        <w:rPr>
          <w:b/>
          <w:bCs/>
        </w:rPr>
        <w:t xml:space="preserve">Kutilayotgan natijalar.</w:t>
      </w:r>
      <w:r>
        <w:t xml:space="preserve"> Mashg'ulot yakunida talaba:</w:t>
      </w:r>
    </w:p>
    <w:p>
      <w:pPr>
        <w:pStyle w:val="ListParagraph"/>
        <w:numPr>
          <w:ilvl w:val="0"/>
          <w:numId w:val="2"/>
        </w:numPr>
        <w:jc w:val="both"/>
      </w:pPr>
      <w:r>
        <w:t xml:space="preserve">Gumboldt, Sepir, Uorf va Vaysgerber qarashlarining umumiy va farqli jihatlarini biladi;</w:t>
      </w:r>
    </w:p>
    <w:p>
      <w:pPr>
        <w:pStyle w:val="ListParagraph"/>
        <w:numPr>
          <w:ilvl w:val="0"/>
          <w:numId w:val="2"/>
        </w:numPr>
        <w:jc w:val="both"/>
      </w:pPr>
      <w:r>
        <w:t xml:space="preserve">lingvistik nisbiylik gipotezasining kuchli va kuchsiz talqinlarini farqlaydi;</w:t>
      </w:r>
    </w:p>
    <w:p>
      <w:pPr>
        <w:pStyle w:val="ListParagraph"/>
        <w:numPr>
          <w:ilvl w:val="0"/>
          <w:numId w:val="2"/>
        </w:numPr>
        <w:jc w:val="both"/>
      </w:pPr>
      <w:r>
        <w:t xml:space="preserve">gipotezani qo'llab-quvvatlovchi va unga qarshi asosiy dalillarni keltira oladi;</w:t>
      </w:r>
    </w:p>
    <w:p>
      <w:pPr>
        <w:pStyle w:val="ListParagraph"/>
        <w:numPr>
          <w:ilvl w:val="0"/>
          <w:numId w:val="2"/>
        </w:numPr>
        <w:jc w:val="both"/>
      </w:pPr>
      <w:r>
        <w:t xml:space="preserve">o'zbek tilidan til va tafakkur munosabatini ko'rsatuvchi misollar topa oladi;</w:t>
      </w:r>
    </w:p>
    <w:p>
      <w:pPr>
        <w:pStyle w:val="ListParagraph"/>
        <w:numPr>
          <w:ilvl w:val="0"/>
          <w:numId w:val="2"/>
        </w:numPr>
        <w:jc w:val="both"/>
      </w:pPr>
      <w:r>
        <w:t xml:space="preserve">ilmiy munozarada o'z fikrini dalillar bilan himoya qiladi.</w:t>
      </w:r>
    </w:p>
    <w:p>
      <w:pPr>
        <w:ind w:firstLine="709"/>
        <w:jc w:val="both"/>
      </w:pPr>
      <w:r>
        <w:rPr>
          <w:b/>
          <w:bCs/>
        </w:rPr>
        <w:t xml:space="preserve">Kerakli materiallar:</w:t>
      </w:r>
      <w:r>
        <w:t xml:space="preserve"> 2-ma'ruza matni, tarqatma kartochkalar, rangli kartochkalar (4-topshiriq uchun).</w:t>
      </w:r>
    </w:p>
    <w:p>
      <w:pPr>
        <w:pStyle w:val="Heading1"/>
        <w:keepNext/>
        <w:spacing w:after="120" w:before="280"/>
      </w:pPr>
      <w:r>
        <w:t xml:space="preserve">Mashg'ulotning borishi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Bosqich</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Mazmuni</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Vaqt</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Kirish</w:t>
            </w:r>
          </w:p>
        </w:tc>
        <w:tc>
          <w:tcPr>
            <w:tcW w:type="dxa" w:w="3118"/>
            <w:tcMar>
              <w:top w:type="dxa" w:w="60"/>
              <w:left w:type="dxa" w:w="100"/>
              <w:bottom w:type="dxa" w:w="60"/>
              <w:right w:type="dxa" w:w="100"/>
            </w:tcMar>
          </w:tcPr>
          <w:p>
            <w:pPr>
              <w:spacing w:line="276"/>
            </w:pPr>
            <w:r>
              <w:rPr>
                <w:b w:val="false"/>
                <w:bCs w:val="false"/>
                <w:sz w:val="26"/>
                <w:szCs w:val="26"/>
              </w:rPr>
              <w:t xml:space="preserve">2-ma'ruza bo'yicha qisqa og'zaki so'rov</w:t>
            </w:r>
          </w:p>
        </w:tc>
        <w:tc>
          <w:tcPr>
            <w:tcW w:type="dxa" w:w="3118"/>
            <w:tcMar>
              <w:top w:type="dxa" w:w="60"/>
              <w:left w:type="dxa" w:w="100"/>
              <w:bottom w:type="dxa" w:w="60"/>
              <w:right w:type="dxa" w:w="100"/>
            </w:tcMar>
          </w:tcPr>
          <w:p>
            <w:pPr>
              <w:spacing w:line="276"/>
            </w:pPr>
            <w:r>
              <w:rPr>
                <w:b w:val="false"/>
                <w:bCs w:val="false"/>
                <w:sz w:val="26"/>
                <w:szCs w:val="26"/>
              </w:rPr>
              <w:t xml:space="preserve">10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 bo'lim</w:t>
            </w:r>
          </w:p>
        </w:tc>
        <w:tc>
          <w:tcPr>
            <w:tcW w:type="dxa" w:w="3118"/>
            <w:tcMar>
              <w:top w:type="dxa" w:w="60"/>
              <w:left w:type="dxa" w:w="100"/>
              <w:bottom w:type="dxa" w:w="60"/>
              <w:right w:type="dxa" w:w="100"/>
            </w:tcMar>
          </w:tcPr>
          <w:p>
            <w:pPr>
              <w:spacing w:line="276"/>
            </w:pPr>
            <w:r>
              <w:rPr>
                <w:b w:val="false"/>
                <w:bCs w:val="false"/>
                <w:sz w:val="26"/>
                <w:szCs w:val="26"/>
              </w:rPr>
              <w:t xml:space="preserve">Amaliy topshiriqlar</w:t>
            </w:r>
          </w:p>
        </w:tc>
        <w:tc>
          <w:tcPr>
            <w:tcW w:type="dxa" w:w="3118"/>
            <w:tcMar>
              <w:top w:type="dxa" w:w="60"/>
              <w:left w:type="dxa" w:w="100"/>
              <w:bottom w:type="dxa" w:w="60"/>
              <w:right w:type="dxa" w:w="100"/>
            </w:tcMar>
          </w:tcPr>
          <w:p>
            <w:pPr>
              <w:spacing w:line="276"/>
            </w:pPr>
            <w:r>
              <w:rPr>
                <w:b w:val="false"/>
                <w:bCs w:val="false"/>
                <w:sz w:val="26"/>
                <w:szCs w:val="26"/>
              </w:rPr>
              <w:t xml:space="preserve">30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II bo'lim</w:t>
            </w:r>
          </w:p>
        </w:tc>
        <w:tc>
          <w:tcPr>
            <w:tcW w:type="dxa" w:w="3118"/>
            <w:tcMar>
              <w:top w:type="dxa" w:w="60"/>
              <w:left w:type="dxa" w:w="100"/>
              <w:bottom w:type="dxa" w:w="60"/>
              <w:right w:type="dxa" w:w="100"/>
            </w:tcMar>
          </w:tcPr>
          <w:p>
            <w:pPr>
              <w:spacing w:line="276"/>
            </w:pPr>
            <w:r>
              <w:rPr>
                <w:b w:val="false"/>
                <w:bCs w:val="false"/>
                <w:sz w:val="26"/>
                <w:szCs w:val="26"/>
              </w:rPr>
              <w:t xml:space="preserve">Keys-stadi (kichik guruhlarda)</w:t>
            </w:r>
          </w:p>
        </w:tc>
        <w:tc>
          <w:tcPr>
            <w:tcW w:type="dxa" w:w="3118"/>
            <w:tcMar>
              <w:top w:type="dxa" w:w="60"/>
              <w:left w:type="dxa" w:w="100"/>
              <w:bottom w:type="dxa" w:w="60"/>
              <w:right w:type="dxa" w:w="100"/>
            </w:tcMar>
          </w:tcPr>
          <w:p>
            <w:pPr>
              <w:spacing w:line="276"/>
            </w:pPr>
            <w:r>
              <w:rPr>
                <w:b w:val="false"/>
                <w:bCs w:val="false"/>
                <w:sz w:val="26"/>
                <w:szCs w:val="26"/>
              </w:rPr>
              <w:t xml:space="preserve">10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III bo'lim</w:t>
            </w:r>
          </w:p>
        </w:tc>
        <w:tc>
          <w:tcPr>
            <w:tcW w:type="dxa" w:w="3118"/>
            <w:tcMar>
              <w:top w:type="dxa" w:w="60"/>
              <w:left w:type="dxa" w:w="100"/>
              <w:bottom w:type="dxa" w:w="60"/>
              <w:right w:type="dxa" w:w="100"/>
            </w:tcMar>
          </w:tcPr>
          <w:p>
            <w:pPr>
              <w:spacing w:line="276"/>
            </w:pPr>
            <w:r>
              <w:rPr>
                <w:b w:val="false"/>
                <w:bCs w:val="false"/>
                <w:sz w:val="26"/>
                <w:szCs w:val="26"/>
              </w:rPr>
              <w:t xml:space="preserve">Kazuslar</w:t>
            </w:r>
          </w:p>
        </w:tc>
        <w:tc>
          <w:tcPr>
            <w:tcW w:type="dxa" w:w="3118"/>
            <w:tcMar>
              <w:top w:type="dxa" w:w="60"/>
              <w:left w:type="dxa" w:w="100"/>
              <w:bottom w:type="dxa" w:w="60"/>
              <w:right w:type="dxa" w:w="100"/>
            </w:tcMar>
          </w:tcPr>
          <w:p>
            <w:pPr>
              <w:spacing w:line="276"/>
            </w:pPr>
            <w:r>
              <w:rPr>
                <w:b w:val="false"/>
                <w:bCs w:val="false"/>
                <w:sz w:val="26"/>
                <w:szCs w:val="26"/>
              </w:rPr>
              <w:t xml:space="preserve">10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IV bo'lim</w:t>
            </w:r>
          </w:p>
        </w:tc>
        <w:tc>
          <w:tcPr>
            <w:tcW w:type="dxa" w:w="3118"/>
            <w:tcMar>
              <w:top w:type="dxa" w:w="60"/>
              <w:left w:type="dxa" w:w="100"/>
              <w:bottom w:type="dxa" w:w="60"/>
              <w:right w:type="dxa" w:w="100"/>
            </w:tcMar>
          </w:tcPr>
          <w:p>
            <w:pPr>
              <w:spacing w:line="276"/>
            </w:pPr>
            <w:r>
              <w:rPr>
                <w:b w:val="false"/>
                <w:bCs w:val="false"/>
                <w:sz w:val="26"/>
                <w:szCs w:val="26"/>
              </w:rPr>
              <w:t xml:space="preserve">Ilmiy munozara (debat)</w:t>
            </w:r>
          </w:p>
        </w:tc>
        <w:tc>
          <w:tcPr>
            <w:tcW w:type="dxa" w:w="3118"/>
            <w:tcMar>
              <w:top w:type="dxa" w:w="60"/>
              <w:left w:type="dxa" w:w="100"/>
              <w:bottom w:type="dxa" w:w="60"/>
              <w:right w:type="dxa" w:w="100"/>
            </w:tcMar>
          </w:tcPr>
          <w:p>
            <w:pPr>
              <w:spacing w:line="276"/>
            </w:pPr>
            <w:r>
              <w:rPr>
                <w:b w:val="false"/>
                <w:bCs w:val="false"/>
                <w:sz w:val="26"/>
                <w:szCs w:val="26"/>
              </w:rPr>
              <w:t xml:space="preserve">10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V bo'lim</w:t>
            </w:r>
          </w:p>
        </w:tc>
        <w:tc>
          <w:tcPr>
            <w:tcW w:type="dxa" w:w="3118"/>
            <w:tcMar>
              <w:top w:type="dxa" w:w="60"/>
              <w:left w:type="dxa" w:w="100"/>
              <w:bottom w:type="dxa" w:w="60"/>
              <w:right w:type="dxa" w:w="100"/>
            </w:tcMar>
          </w:tcPr>
          <w:p>
            <w:pPr>
              <w:spacing w:line="276"/>
            </w:pPr>
            <w:r>
              <w:rPr>
                <w:b w:val="false"/>
                <w:bCs w:val="false"/>
                <w:sz w:val="26"/>
                <w:szCs w:val="26"/>
              </w:rPr>
              <w:t xml:space="preserve">Test</w:t>
            </w:r>
          </w:p>
        </w:tc>
        <w:tc>
          <w:tcPr>
            <w:tcW w:type="dxa" w:w="3118"/>
            <w:tcMar>
              <w:top w:type="dxa" w:w="60"/>
              <w:left w:type="dxa" w:w="100"/>
              <w:bottom w:type="dxa" w:w="60"/>
              <w:right w:type="dxa" w:w="100"/>
            </w:tcMar>
          </w:tcPr>
          <w:p>
            <w:pPr>
              <w:spacing w:line="276"/>
            </w:pPr>
            <w:r>
              <w:rPr>
                <w:b w:val="false"/>
                <w:bCs w:val="false"/>
                <w:sz w:val="26"/>
                <w:szCs w:val="26"/>
              </w:rPr>
              <w:t xml:space="preserve">5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Yakun</w:t>
            </w:r>
          </w:p>
        </w:tc>
        <w:tc>
          <w:tcPr>
            <w:tcW w:type="dxa" w:w="3118"/>
            <w:tcMar>
              <w:top w:type="dxa" w:w="60"/>
              <w:left w:type="dxa" w:w="100"/>
              <w:bottom w:type="dxa" w:w="60"/>
              <w:right w:type="dxa" w:w="100"/>
            </w:tcMar>
          </w:tcPr>
          <w:p>
            <w:pPr>
              <w:spacing w:line="276"/>
            </w:pPr>
            <w:r>
              <w:rPr>
                <w:b w:val="false"/>
                <w:bCs w:val="false"/>
                <w:sz w:val="26"/>
                <w:szCs w:val="26"/>
              </w:rPr>
              <w:t xml:space="preserve">Xulosa, baholash, uyga vazifa</w:t>
            </w:r>
          </w:p>
        </w:tc>
        <w:tc>
          <w:tcPr>
            <w:tcW w:type="dxa" w:w="3118"/>
            <w:tcMar>
              <w:top w:type="dxa" w:w="60"/>
              <w:left w:type="dxa" w:w="100"/>
              <w:bottom w:type="dxa" w:w="60"/>
              <w:right w:type="dxa" w:w="100"/>
            </w:tcMar>
          </w:tcPr>
          <w:p>
            <w:pPr>
              <w:spacing w:line="276"/>
            </w:pPr>
            <w:r>
              <w:rPr>
                <w:b w:val="false"/>
                <w:bCs w:val="false"/>
                <w:sz w:val="26"/>
                <w:szCs w:val="26"/>
              </w:rPr>
              <w:t xml:space="preserve">5 daqiqa</w:t>
            </w:r>
          </w:p>
        </w:tc>
      </w:tr>
    </w:tbl>
    <w:p/>
    <w:p>
      <w:pPr>
        <w:pStyle w:val="Heading1"/>
        <w:keepNext/>
        <w:spacing w:after="120" w:before="280"/>
      </w:pPr>
      <w:r>
        <w:t xml:space="preserve">I. AMALIY TOPSHIRIQLAR</w:t>
      </w:r>
    </w:p>
    <w:p>
      <w:pPr>
        <w:pStyle w:val="Heading2"/>
        <w:keepNext/>
        <w:spacing w:after="80" w:before="200"/>
      </w:pPr>
      <w:r>
        <w:t xml:space="preserve">1-topshiriq. Nazariyalarni qiyoslash jadvali</w:t>
      </w:r>
    </w:p>
    <w:p>
      <w:pPr>
        <w:ind w:firstLine="709"/>
        <w:jc w:val="both"/>
      </w:pPr>
      <w:r>
        <w:rPr>
          <w:b/>
          <w:bCs/>
        </w:rPr>
        <w:t xml:space="preserve">Shart.</w:t>
      </w:r>
      <w:r>
        <w:t xml:space="preserve"> Gumboldt, Sepir, Uorf va Vaysgerber qarashlarini quyidagi mezonlar bo'yicha jadvalga joylang: asosiy asar; asosiy tushuncha; til va tafakkur munosabatiga qarashi; tadqiqot materiali.</w:t>
      </w:r>
    </w:p>
    <w:p>
      <w:pPr>
        <w:pBdr>
          <w:left w:val="single" w:color="2F7FD1" w:sz="24" w:space="8"/>
        </w:pBdr>
        <w:shd w:fill="EEF5FC" w:color="auto" w:val="clear"/>
        <w:ind w:left="284" w:right="142"/>
        <w:jc w:val="both"/>
      </w:pPr>
      <w:r>
        <w:rPr>
          <w:b/>
          <w:bCs/>
        </w:rPr>
        <w:t xml:space="preserve">Namuna (birinchi qator)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rPr>
          <w:tblHeader/>
        </w:trPr>
        <w:tc>
          <w:tcPr>
            <w:tcW w:type="dxa" w:w="1870"/>
            <w:shd w:fill="DCEAF8" w:color="auto" w:val="clear"/>
            <w:tcMar>
              <w:top w:type="dxa" w:w="60"/>
              <w:left w:type="dxa" w:w="100"/>
              <w:bottom w:type="dxa" w:w="60"/>
              <w:right w:type="dxa" w:w="100"/>
            </w:tcMar>
          </w:tcPr>
          <w:p>
            <w:pPr>
              <w:spacing w:line="276"/>
            </w:pPr>
            <w:r>
              <w:rPr>
                <w:b/>
                <w:bCs/>
                <w:sz w:val="26"/>
                <w:szCs w:val="26"/>
              </w:rPr>
              <w:t xml:space="preserve">Olim</w:t>
            </w:r>
          </w:p>
        </w:tc>
        <w:tc>
          <w:tcPr>
            <w:tcW w:type="dxa" w:w="1870"/>
            <w:shd w:fill="DCEAF8" w:color="auto" w:val="clear"/>
            <w:tcMar>
              <w:top w:type="dxa" w:w="60"/>
              <w:left w:type="dxa" w:w="100"/>
              <w:bottom w:type="dxa" w:w="60"/>
              <w:right w:type="dxa" w:w="100"/>
            </w:tcMar>
          </w:tcPr>
          <w:p>
            <w:pPr>
              <w:spacing w:line="276"/>
            </w:pPr>
            <w:r>
              <w:rPr>
                <w:b/>
                <w:bCs/>
                <w:sz w:val="26"/>
                <w:szCs w:val="26"/>
              </w:rPr>
              <w:t xml:space="preserve">Asosiy asar</w:t>
            </w:r>
          </w:p>
        </w:tc>
        <w:tc>
          <w:tcPr>
            <w:tcW w:type="dxa" w:w="1870"/>
            <w:shd w:fill="DCEAF8" w:color="auto" w:val="clear"/>
            <w:tcMar>
              <w:top w:type="dxa" w:w="60"/>
              <w:left w:type="dxa" w:w="100"/>
              <w:bottom w:type="dxa" w:w="60"/>
              <w:right w:type="dxa" w:w="100"/>
            </w:tcMar>
          </w:tcPr>
          <w:p>
            <w:pPr>
              <w:spacing w:line="276"/>
            </w:pPr>
            <w:r>
              <w:rPr>
                <w:b/>
                <w:bCs/>
                <w:sz w:val="26"/>
                <w:szCs w:val="26"/>
              </w:rPr>
              <w:t xml:space="preserve">Asosiy tushuncha</w:t>
            </w:r>
          </w:p>
        </w:tc>
        <w:tc>
          <w:tcPr>
            <w:tcW w:type="dxa" w:w="1870"/>
            <w:shd w:fill="DCEAF8" w:color="auto" w:val="clear"/>
            <w:tcMar>
              <w:top w:type="dxa" w:w="60"/>
              <w:left w:type="dxa" w:w="100"/>
              <w:bottom w:type="dxa" w:w="60"/>
              <w:right w:type="dxa" w:w="100"/>
            </w:tcMar>
          </w:tcPr>
          <w:p>
            <w:pPr>
              <w:spacing w:line="276"/>
            </w:pPr>
            <w:r>
              <w:rPr>
                <w:b/>
                <w:bCs/>
                <w:sz w:val="26"/>
                <w:szCs w:val="26"/>
              </w:rPr>
              <w:t xml:space="preserve">Til va tafakkur munosabati</w:t>
            </w:r>
          </w:p>
        </w:tc>
        <w:tc>
          <w:tcPr>
            <w:tcW w:type="dxa" w:w="1870"/>
            <w:shd w:fill="DCEAF8" w:color="auto" w:val="clear"/>
            <w:tcMar>
              <w:top w:type="dxa" w:w="60"/>
              <w:left w:type="dxa" w:w="100"/>
              <w:bottom w:type="dxa" w:w="60"/>
              <w:right w:type="dxa" w:w="100"/>
            </w:tcMar>
          </w:tcPr>
          <w:p>
            <w:pPr>
              <w:spacing w:line="276"/>
            </w:pPr>
            <w:r>
              <w:rPr>
                <w:b/>
                <w:bCs/>
                <w:sz w:val="26"/>
                <w:szCs w:val="26"/>
              </w:rPr>
              <w:t xml:space="preserve">Material</w:t>
            </w:r>
          </w:p>
        </w:tc>
      </w:tr>
      <w:tr>
        <w:trPr>
          <w:tblHeader w:val="false"/>
        </w:trPr>
        <w:tc>
          <w:tcPr>
            <w:tcW w:type="dxa" w:w="1870"/>
            <w:tcMar>
              <w:top w:type="dxa" w:w="60"/>
              <w:left w:type="dxa" w:w="100"/>
              <w:bottom w:type="dxa" w:w="60"/>
              <w:right w:type="dxa" w:w="100"/>
            </w:tcMar>
          </w:tcPr>
          <w:p>
            <w:pPr>
              <w:spacing w:line="276"/>
            </w:pPr>
            <w:r>
              <w:rPr>
                <w:b w:val="false"/>
                <w:bCs w:val="false"/>
                <w:sz w:val="26"/>
                <w:szCs w:val="26"/>
              </w:rPr>
              <w:t xml:space="preserve">V. fon Gumboldt</w:t>
            </w:r>
          </w:p>
        </w:tc>
        <w:tc>
          <w:tcPr>
            <w:tcW w:type="dxa" w:w="1870"/>
            <w:tcMar>
              <w:top w:type="dxa" w:w="60"/>
              <w:left w:type="dxa" w:w="100"/>
              <w:bottom w:type="dxa" w:w="60"/>
              <w:right w:type="dxa" w:w="100"/>
            </w:tcMar>
          </w:tcPr>
          <w:p>
            <w:pPr>
              <w:spacing w:line="276"/>
            </w:pPr>
            <w:r>
              <w:rPr>
                <w:b w:val="false"/>
                <w:bCs w:val="false"/>
                <w:sz w:val="26"/>
                <w:szCs w:val="26"/>
              </w:rPr>
              <w:t xml:space="preserve">"Über die Verschiedenheit des menschlichen Sprachbaues…" (1836)</w:t>
            </w:r>
          </w:p>
        </w:tc>
        <w:tc>
          <w:tcPr>
            <w:tcW w:type="dxa" w:w="1870"/>
            <w:tcMar>
              <w:top w:type="dxa" w:w="60"/>
              <w:left w:type="dxa" w:w="100"/>
              <w:bottom w:type="dxa" w:w="60"/>
              <w:right w:type="dxa" w:w="100"/>
            </w:tcMar>
          </w:tcPr>
          <w:p>
            <w:pPr>
              <w:spacing w:line="276"/>
            </w:pPr>
            <w:r>
              <w:rPr>
                <w:b w:val="false"/>
                <w:bCs w:val="false"/>
                <w:sz w:val="26"/>
                <w:szCs w:val="26"/>
              </w:rPr>
              <w:t xml:space="preserve">tilning ichki shakli, xalq ruhi</w:t>
            </w:r>
          </w:p>
        </w:tc>
        <w:tc>
          <w:tcPr>
            <w:tcW w:type="dxa" w:w="1870"/>
            <w:tcMar>
              <w:top w:type="dxa" w:w="60"/>
              <w:left w:type="dxa" w:w="100"/>
              <w:bottom w:type="dxa" w:w="60"/>
              <w:right w:type="dxa" w:w="100"/>
            </w:tcMar>
          </w:tcPr>
          <w:p>
            <w:pPr>
              <w:spacing w:line="276"/>
            </w:pPr>
            <w:r>
              <w:rPr>
                <w:b w:val="false"/>
                <w:bCs w:val="false"/>
                <w:sz w:val="26"/>
                <w:szCs w:val="26"/>
              </w:rPr>
              <w:t xml:space="preserve">har bir til dunyoni o'ziga xos tarzda ko'rsatadi</w:t>
            </w:r>
          </w:p>
        </w:tc>
        <w:tc>
          <w:tcPr>
            <w:tcW w:type="dxa" w:w="1870"/>
            <w:tcMar>
              <w:top w:type="dxa" w:w="60"/>
              <w:left w:type="dxa" w:w="100"/>
              <w:bottom w:type="dxa" w:w="60"/>
              <w:right w:type="dxa" w:w="100"/>
            </w:tcMar>
          </w:tcPr>
          <w:p>
            <w:pPr>
              <w:spacing w:line="276"/>
            </w:pPr>
            <w:r>
              <w:rPr>
                <w:b w:val="false"/>
                <w:bCs w:val="false"/>
                <w:sz w:val="26"/>
                <w:szCs w:val="26"/>
              </w:rPr>
              <w:t xml:space="preserve">turli tizimdagi tillar, jumladan kavi tili</w:t>
            </w:r>
          </w:p>
        </w:tc>
      </w:tr>
      <w:tr>
        <w:trPr>
          <w:tblHeader w:val="false"/>
        </w:trPr>
        <w:tc>
          <w:tcPr>
            <w:tcW w:type="dxa" w:w="1870"/>
            <w:tcMar>
              <w:top w:type="dxa" w:w="60"/>
              <w:left w:type="dxa" w:w="100"/>
              <w:bottom w:type="dxa" w:w="60"/>
              <w:right w:type="dxa" w:w="100"/>
            </w:tcMar>
          </w:tcPr>
          <w:p>
            <w:pPr>
              <w:spacing w:line="276"/>
            </w:pPr>
            <w:r>
              <w:rPr>
                <w:b w:val="false"/>
                <w:bCs w:val="false"/>
                <w:sz w:val="26"/>
                <w:szCs w:val="26"/>
              </w:rPr>
              <w:t xml:space="preserve">E. Sepir</w:t>
            </w:r>
          </w:p>
        </w:tc>
        <w:tc>
          <w:tcPr>
            <w:tcW w:type="dxa" w:w="1870"/>
            <w:tcMar>
              <w:top w:type="dxa" w:w="60"/>
              <w:left w:type="dxa" w:w="100"/>
              <w:bottom w:type="dxa" w:w="60"/>
              <w:right w:type="dxa" w:w="100"/>
            </w:tcMar>
          </w:tcPr>
          <w:p>
            <w:pPr>
              <w:spacing w:line="276"/>
            </w:pPr>
            <w:r>
              <w:rPr>
                <w:b w:val="false"/>
                <w:bCs w:val="false"/>
                <w:sz w:val="26"/>
                <w:szCs w:val="26"/>
              </w:rPr>
              <w:t xml:space="preserve">...</w:t>
            </w:r>
          </w:p>
        </w:tc>
        <w:tc>
          <w:tcPr>
            <w:tcW w:type="dxa" w:w="1870"/>
            <w:tcMar>
              <w:top w:type="dxa" w:w="60"/>
              <w:left w:type="dxa" w:w="100"/>
              <w:bottom w:type="dxa" w:w="60"/>
              <w:right w:type="dxa" w:w="100"/>
            </w:tcMar>
          </w:tcPr>
          <w:p>
            <w:pPr>
              <w:spacing w:line="276"/>
            </w:pPr>
            <w:r>
              <w:rPr>
                <w:b w:val="false"/>
                <w:bCs w:val="false"/>
                <w:sz w:val="26"/>
                <w:szCs w:val="26"/>
              </w:rPr>
              <w:t xml:space="preserve">...</w:t>
            </w:r>
          </w:p>
        </w:tc>
        <w:tc>
          <w:tcPr>
            <w:tcW w:type="dxa" w:w="1870"/>
            <w:tcMar>
              <w:top w:type="dxa" w:w="60"/>
              <w:left w:type="dxa" w:w="100"/>
              <w:bottom w:type="dxa" w:w="60"/>
              <w:right w:type="dxa" w:w="100"/>
            </w:tcMar>
          </w:tcPr>
          <w:p>
            <w:pPr>
              <w:spacing w:line="276"/>
            </w:pPr>
            <w:r>
              <w:rPr>
                <w:b w:val="false"/>
                <w:bCs w:val="false"/>
                <w:sz w:val="26"/>
                <w:szCs w:val="26"/>
              </w:rPr>
              <w:t xml:space="preserve">...</w:t>
            </w:r>
          </w:p>
        </w:tc>
        <w:tc>
          <w:tcPr>
            <w:tcW w:type="dxa" w:w="1870"/>
            <w:tcMar>
              <w:top w:type="dxa" w:w="60"/>
              <w:left w:type="dxa" w:w="100"/>
              <w:bottom w:type="dxa" w:w="60"/>
              <w:right w:type="dxa" w:w="100"/>
            </w:tcMar>
          </w:tcPr>
          <w:p>
            <w:pPr>
              <w:spacing w:line="276"/>
            </w:pPr>
            <w:r>
              <w:rPr>
                <w:b w:val="false"/>
                <w:bCs w:val="false"/>
                <w:sz w:val="26"/>
                <w:szCs w:val="26"/>
              </w:rPr>
              <w:t xml:space="preserve">...</w:t>
            </w:r>
          </w:p>
        </w:tc>
      </w:tr>
      <w:tr>
        <w:trPr>
          <w:tblHeader w:val="false"/>
        </w:trPr>
        <w:tc>
          <w:tcPr>
            <w:tcW w:type="dxa" w:w="1870"/>
            <w:tcMar>
              <w:top w:type="dxa" w:w="60"/>
              <w:left w:type="dxa" w:w="100"/>
              <w:bottom w:type="dxa" w:w="60"/>
              <w:right w:type="dxa" w:w="100"/>
            </w:tcMar>
          </w:tcPr>
          <w:p>
            <w:pPr>
              <w:spacing w:line="276"/>
            </w:pPr>
            <w:r>
              <w:rPr>
                <w:b w:val="false"/>
                <w:bCs w:val="false"/>
                <w:sz w:val="26"/>
                <w:szCs w:val="26"/>
              </w:rPr>
              <w:t xml:space="preserve">B.L. Uorf</w:t>
            </w:r>
          </w:p>
        </w:tc>
        <w:tc>
          <w:tcPr>
            <w:tcW w:type="dxa" w:w="1870"/>
            <w:tcMar>
              <w:top w:type="dxa" w:w="60"/>
              <w:left w:type="dxa" w:w="100"/>
              <w:bottom w:type="dxa" w:w="60"/>
              <w:right w:type="dxa" w:w="100"/>
            </w:tcMar>
          </w:tcPr>
          <w:p>
            <w:pPr>
              <w:spacing w:line="276"/>
            </w:pPr>
            <w:r>
              <w:rPr>
                <w:b w:val="false"/>
                <w:bCs w:val="false"/>
                <w:sz w:val="26"/>
                <w:szCs w:val="26"/>
              </w:rPr>
              <w:t xml:space="preserve">...</w:t>
            </w:r>
          </w:p>
        </w:tc>
        <w:tc>
          <w:tcPr>
            <w:tcW w:type="dxa" w:w="1870"/>
            <w:tcMar>
              <w:top w:type="dxa" w:w="60"/>
              <w:left w:type="dxa" w:w="100"/>
              <w:bottom w:type="dxa" w:w="60"/>
              <w:right w:type="dxa" w:w="100"/>
            </w:tcMar>
          </w:tcPr>
          <w:p>
            <w:pPr>
              <w:spacing w:line="276"/>
            </w:pPr>
            <w:r>
              <w:rPr>
                <w:b w:val="false"/>
                <w:bCs w:val="false"/>
                <w:sz w:val="26"/>
                <w:szCs w:val="26"/>
              </w:rPr>
              <w:t xml:space="preserve">...</w:t>
            </w:r>
          </w:p>
        </w:tc>
        <w:tc>
          <w:tcPr>
            <w:tcW w:type="dxa" w:w="1870"/>
            <w:tcMar>
              <w:top w:type="dxa" w:w="60"/>
              <w:left w:type="dxa" w:w="100"/>
              <w:bottom w:type="dxa" w:w="60"/>
              <w:right w:type="dxa" w:w="100"/>
            </w:tcMar>
          </w:tcPr>
          <w:p>
            <w:pPr>
              <w:spacing w:line="276"/>
            </w:pPr>
            <w:r>
              <w:rPr>
                <w:b w:val="false"/>
                <w:bCs w:val="false"/>
                <w:sz w:val="26"/>
                <w:szCs w:val="26"/>
              </w:rPr>
              <w:t xml:space="preserve">...</w:t>
            </w:r>
          </w:p>
        </w:tc>
        <w:tc>
          <w:tcPr>
            <w:tcW w:type="dxa" w:w="1870"/>
            <w:tcMar>
              <w:top w:type="dxa" w:w="60"/>
              <w:left w:type="dxa" w:w="100"/>
              <w:bottom w:type="dxa" w:w="60"/>
              <w:right w:type="dxa" w:w="100"/>
            </w:tcMar>
          </w:tcPr>
          <w:p>
            <w:pPr>
              <w:spacing w:line="276"/>
            </w:pPr>
            <w:r>
              <w:rPr>
                <w:b w:val="false"/>
                <w:bCs w:val="false"/>
                <w:sz w:val="26"/>
                <w:szCs w:val="26"/>
              </w:rPr>
              <w:t xml:space="preserve">...</w:t>
            </w:r>
          </w:p>
        </w:tc>
      </w:tr>
      <w:tr>
        <w:trPr>
          <w:tblHeader w:val="false"/>
        </w:trPr>
        <w:tc>
          <w:tcPr>
            <w:tcW w:type="dxa" w:w="1870"/>
            <w:tcMar>
              <w:top w:type="dxa" w:w="60"/>
              <w:left w:type="dxa" w:w="100"/>
              <w:bottom w:type="dxa" w:w="60"/>
              <w:right w:type="dxa" w:w="100"/>
            </w:tcMar>
          </w:tcPr>
          <w:p>
            <w:pPr>
              <w:spacing w:line="276"/>
            </w:pPr>
            <w:r>
              <w:rPr>
                <w:b w:val="false"/>
                <w:bCs w:val="false"/>
                <w:sz w:val="26"/>
                <w:szCs w:val="26"/>
              </w:rPr>
              <w:t xml:space="preserve">L. Vaysgerber</w:t>
            </w:r>
          </w:p>
        </w:tc>
        <w:tc>
          <w:tcPr>
            <w:tcW w:type="dxa" w:w="1870"/>
            <w:tcMar>
              <w:top w:type="dxa" w:w="60"/>
              <w:left w:type="dxa" w:w="100"/>
              <w:bottom w:type="dxa" w:w="60"/>
              <w:right w:type="dxa" w:w="100"/>
            </w:tcMar>
          </w:tcPr>
          <w:p>
            <w:pPr>
              <w:spacing w:line="276"/>
            </w:pPr>
            <w:r>
              <w:rPr>
                <w:b w:val="false"/>
                <w:bCs w:val="false"/>
                <w:sz w:val="26"/>
                <w:szCs w:val="26"/>
              </w:rPr>
              <w:t xml:space="preserve">...</w:t>
            </w:r>
          </w:p>
        </w:tc>
        <w:tc>
          <w:tcPr>
            <w:tcW w:type="dxa" w:w="1870"/>
            <w:tcMar>
              <w:top w:type="dxa" w:w="60"/>
              <w:left w:type="dxa" w:w="100"/>
              <w:bottom w:type="dxa" w:w="60"/>
              <w:right w:type="dxa" w:w="100"/>
            </w:tcMar>
          </w:tcPr>
          <w:p>
            <w:pPr>
              <w:spacing w:line="276"/>
            </w:pPr>
            <w:r>
              <w:rPr>
                <w:b w:val="false"/>
                <w:bCs w:val="false"/>
                <w:sz w:val="26"/>
                <w:szCs w:val="26"/>
              </w:rPr>
              <w:t xml:space="preserve">...</w:t>
            </w:r>
          </w:p>
        </w:tc>
        <w:tc>
          <w:tcPr>
            <w:tcW w:type="dxa" w:w="1870"/>
            <w:tcMar>
              <w:top w:type="dxa" w:w="60"/>
              <w:left w:type="dxa" w:w="100"/>
              <w:bottom w:type="dxa" w:w="60"/>
              <w:right w:type="dxa" w:w="100"/>
            </w:tcMar>
          </w:tcPr>
          <w:p>
            <w:pPr>
              <w:spacing w:line="276"/>
            </w:pPr>
            <w:r>
              <w:rPr>
                <w:b w:val="false"/>
                <w:bCs w:val="false"/>
                <w:sz w:val="26"/>
                <w:szCs w:val="26"/>
              </w:rPr>
              <w:t xml:space="preserve">...</w:t>
            </w:r>
          </w:p>
        </w:tc>
        <w:tc>
          <w:tcPr>
            <w:tcW w:type="dxa" w:w="1870"/>
            <w:tcMar>
              <w:top w:type="dxa" w:w="60"/>
              <w:left w:type="dxa" w:w="100"/>
              <w:bottom w:type="dxa" w:w="60"/>
              <w:right w:type="dxa" w:w="100"/>
            </w:tcMar>
          </w:tcPr>
          <w:p>
            <w:pPr>
              <w:spacing w:line="276"/>
            </w:pPr>
            <w:r>
              <w:rPr>
                <w:b w:val="false"/>
                <w:bCs w:val="false"/>
                <w:sz w:val="26"/>
                <w:szCs w:val="26"/>
              </w:rPr>
              <w:t xml:space="preserve">...</w:t>
            </w:r>
          </w:p>
        </w:tc>
      </w:tr>
    </w:tbl>
    <w:p/>
    <w:p>
      <w:pPr>
        <w:pStyle w:val="Heading2"/>
        <w:keepNext/>
        <w:spacing w:after="80" w:before="200"/>
      </w:pPr>
      <w:r>
        <w:t xml:space="preserve">2-topshiriq. Iqtiboslarni kuchli va kuchsiz talqinga ajratish</w:t>
      </w:r>
    </w:p>
    <w:p>
      <w:pPr>
        <w:ind w:firstLine="709"/>
        <w:jc w:val="both"/>
      </w:pPr>
      <w:r>
        <w:rPr>
          <w:b/>
          <w:bCs/>
        </w:rPr>
        <w:t xml:space="preserve">Shart.</w:t>
      </w:r>
      <w:r>
        <w:t xml:space="preserve"> Quyidagi fikrlarning har biri lingvistik nisbiylik gipotezasining qaysi talqiniga mos kelishini aniqlang: kuchli talqin (lingvistik determinizm) yoki kuchsiz talqin (lingvistik nisbiylik). Javobingizni asoslang.</w:t>
      </w:r>
    </w:p>
    <w:p>
      <w:pPr>
        <w:pStyle w:val="ListParagraph"/>
        <w:numPr>
          <w:ilvl w:val="0"/>
          <w:numId w:val="3"/>
        </w:numPr>
        <w:jc w:val="both"/>
      </w:pPr>
      <w:r>
        <w:t xml:space="preserve">Inson faqat o'z ona tilida so'zi bor narsalar haqida o'ylay oladi.</w:t>
      </w:r>
    </w:p>
    <w:p>
      <w:pPr>
        <w:pStyle w:val="ListParagraph"/>
        <w:numPr>
          <w:ilvl w:val="0"/>
          <w:numId w:val="3"/>
        </w:numPr>
        <w:jc w:val="both"/>
      </w:pPr>
      <w:r>
        <w:t xml:space="preserve">Til so'zlovchining diqqatini voqelikning ayrim jihatlariga ko'proq qaratadi.</w:t>
      </w:r>
    </w:p>
    <w:p>
      <w:pPr>
        <w:pStyle w:val="ListParagraph"/>
        <w:numPr>
          <w:ilvl w:val="0"/>
          <w:numId w:val="3"/>
        </w:numPr>
        <w:jc w:val="both"/>
      </w:pPr>
      <w:r>
        <w:t xml:space="preserve">Rangni bildiruvchi so'zlar farqi rangni ajratish tezligiga ta'sir qilishi mumkin.</w:t>
      </w:r>
    </w:p>
    <w:p>
      <w:pPr>
        <w:pStyle w:val="ListParagraph"/>
        <w:numPr>
          <w:ilvl w:val="0"/>
          <w:numId w:val="3"/>
        </w:numPr>
        <w:jc w:val="both"/>
      </w:pPr>
      <w:r>
        <w:t xml:space="preserve">Bir tildan ikkinchi tilga to'liq tarjima qilish mumkin emas, chunki har bir til egasi butunlay boshqacha fikrlaydi.</w:t>
      </w:r>
    </w:p>
    <w:p>
      <w:pPr>
        <w:pStyle w:val="ListParagraph"/>
        <w:numPr>
          <w:ilvl w:val="0"/>
          <w:numId w:val="3"/>
        </w:numPr>
        <w:jc w:val="both"/>
      </w:pPr>
      <w:r>
        <w:t xml:space="preserve">Grammatik kategoriya so'zlovchini ma'lum ma'lumotni har doim ifodalashga majbur qiladi.</w:t>
      </w:r>
    </w:p>
    <w:p>
      <w:pPr>
        <w:pBdr>
          <w:left w:val="single" w:color="2F7FD1" w:sz="24" w:space="8"/>
        </w:pBdr>
        <w:shd w:fill="EEF5FC" w:color="auto" w:val="clear"/>
        <w:ind w:left="284" w:right="142"/>
        <w:jc w:val="both"/>
      </w:pPr>
      <w:r>
        <w:rPr>
          <w:b/>
          <w:bCs/>
        </w:rPr>
        <w:t xml:space="preserve">Namuna (1-fikr bo'yicha)</w:t>
      </w:r>
    </w:p>
    <w:p>
      <w:pPr>
        <w:pBdr>
          <w:left w:val="single" w:color="2F7FD1" w:sz="24" w:space="8"/>
        </w:pBdr>
        <w:shd w:fill="EEF5FC" w:color="auto" w:val="clear"/>
        <w:ind w:left="284" w:right="142"/>
        <w:jc w:val="both"/>
      </w:pPr>
      <w:r>
        <w:rPr>
          <w:b/>
          <w:bCs/>
        </w:rPr>
        <w:t xml:space="preserve">Javob:</w:t>
      </w:r>
      <w:r>
        <w:t xml:space="preserve"> kuchli talqin. </w:t>
      </w:r>
      <w:r>
        <w:rPr>
          <w:b/>
          <w:bCs/>
        </w:rPr>
        <w:t xml:space="preserve">Asoslash:</w:t>
      </w:r>
      <w:r>
        <w:t xml:space="preserve"> bu fikr til tafakkurni to'liq cheklaydi, deb da'vo qiladi. Ammo inson yangi tushuncha uchun so'z yasay oladi, uni tasvirlab bera oladi yoki boshqa tildan o'zlashtira oladi. Masalan, o'zbek tiliga "kompyuter", "internet" kabi so'zlar kirib kelguniga qadar ham odamlar bu tushunchalarni o'rgana olgan. Shu sababli kuchli talqin hozirgi tilshunoslikda asosan rad etilgan.</w:t>
      </w:r>
    </w:p>
    <w:p>
      <w:pPr>
        <w:pStyle w:val="Heading2"/>
        <w:keepNext/>
        <w:spacing w:after="80" w:before="200"/>
      </w:pPr>
      <w:r>
        <w:t xml:space="preserve">3-topshiriq. O'zbek tilida "tilning dunyo manzarasi"</w:t>
      </w:r>
    </w:p>
    <w:p>
      <w:pPr>
        <w:ind w:firstLine="709"/>
        <w:jc w:val="both"/>
      </w:pPr>
      <w:r>
        <w:rPr>
          <w:b/>
          <w:bCs/>
        </w:rPr>
        <w:t xml:space="preserve">Shart.</w:t>
      </w:r>
      <w:r>
        <w:t xml:space="preserve"> Quyidagi har bir guruhdagi o'zbekcha so'zlarni ingliz yoki rus tili bilan qiyoslang. O'zbek tili voqelikni qanday "bo'lib" ko'rsatishini aniqlang va xulosa chiqaring.</w:t>
      </w:r>
    </w:p>
    <w:p>
      <w:pPr>
        <w:pStyle w:val="ListParagraph"/>
        <w:numPr>
          <w:ilvl w:val="0"/>
          <w:numId w:val="4"/>
        </w:numPr>
        <w:jc w:val="both"/>
      </w:pPr>
      <w:r>
        <w:t xml:space="preserve">Qarindoshlik: aka, uka, opa, singil, amaki, tog'a, amma, xola.</w:t>
      </w:r>
    </w:p>
    <w:p>
      <w:pPr>
        <w:pStyle w:val="ListParagraph"/>
        <w:numPr>
          <w:ilvl w:val="0"/>
          <w:numId w:val="4"/>
        </w:numPr>
        <w:jc w:val="both"/>
      </w:pPr>
      <w:r>
        <w:t xml:space="preserve">Murojaat: sen, siz, sizlar.</w:t>
      </w:r>
    </w:p>
    <w:p>
      <w:pPr>
        <w:pStyle w:val="ListParagraph"/>
        <w:numPr>
          <w:ilvl w:val="0"/>
          <w:numId w:val="4"/>
        </w:numPr>
        <w:jc w:val="both"/>
      </w:pPr>
      <w:r>
        <w:t xml:space="preserve">Xabarning manbai: keldi, kelibdi, kelgan ekan, kelarmish.</w:t>
      </w:r>
    </w:p>
    <w:p>
      <w:pPr>
        <w:pStyle w:val="ListParagraph"/>
        <w:numPr>
          <w:ilvl w:val="0"/>
          <w:numId w:val="4"/>
        </w:numPr>
        <w:jc w:val="both"/>
      </w:pPr>
      <w:r>
        <w:t xml:space="preserve">Rang: ko'k (ko'k osmon, ko'k maysa, ko'k choy), yashil.</w:t>
      </w:r>
    </w:p>
    <w:p>
      <w:pPr>
        <w:pBdr>
          <w:left w:val="single" w:color="2F7FD1" w:sz="24" w:space="8"/>
        </w:pBdr>
        <w:shd w:fill="EEF5FC" w:color="auto" w:val="clear"/>
        <w:ind w:left="284" w:right="142"/>
        <w:jc w:val="both"/>
      </w:pPr>
      <w:r>
        <w:rPr>
          <w:b/>
          <w:bCs/>
        </w:rPr>
        <w:t xml:space="preserve">Namuna (1-guruh bo'yicha)</w:t>
      </w:r>
    </w:p>
    <w:p>
      <w:pPr>
        <w:pBdr>
          <w:left w:val="single" w:color="2F7FD1" w:sz="24" w:space="8"/>
        </w:pBdr>
        <w:shd w:fill="EEF5FC" w:color="auto" w:val="clear"/>
        <w:ind w:left="284" w:right="142"/>
        <w:jc w:val="both"/>
      </w:pPr>
      <w:r>
        <w:t xml:space="preserve">O'zbek tilida aka-uka va opa-singil yoshiga qarab farqlanadi. Ingliz tilida esa yoshidan qat'i nazar "brother" va "sister" so'zlari qo'llanadi. Otaning va onaning aka-ukasi ham o'zbek tilida turlicha ("amaki" va "tog'a"), ingliz tilida esa bitta so'z bilan ("uncle") ataladi. </w:t>
      </w:r>
      <w:r>
        <w:rPr>
          <w:b/>
          <w:bCs/>
        </w:rPr>
        <w:t xml:space="preserve">Xulosa:</w:t>
      </w:r>
      <w:r>
        <w:t xml:space="preserve"> o'zbek madaniyatida yosh va qarindoshlik tomoni muhim ijtimoiy ahamiyatga ega. Til bu farqlarni majburiy ravishda ko'rsatadi. Bu holat gipotezaning kuchsiz talqiniga mos keladi: til so'zlovchining diqqatini yosh va qarindoshlik yo'nalishiga qaratadi. Lekin ingliz tilida so'zlashuvchi ham "elder brother" deb bu farqni ifodalay oladi.</w:t>
      </w:r>
    </w:p>
    <w:p>
      <w:pPr>
        <w:pStyle w:val="Heading2"/>
        <w:keepNext/>
        <w:spacing w:after="80" w:before="200"/>
      </w:pPr>
      <w:r>
        <w:t xml:space="preserve">4-topshiriq. "Ko'k" so'zi bilan kichik tajriba</w:t>
      </w:r>
    </w:p>
    <w:p>
      <w:pPr>
        <w:ind w:firstLine="709"/>
        <w:jc w:val="both"/>
      </w:pPr>
      <w:r>
        <w:rPr>
          <w:b/>
          <w:bCs/>
        </w:rPr>
        <w:t xml:space="preserve">Shart.</w:t>
      </w:r>
      <w:r>
        <w:t xml:space="preserve"> Guruhda kichik tajriba o'tkazing. Talabalarga ko'kdan yashilgacha bo'lgan 8 ta rang kartochkasi ko'rsatiladi. Har bir talaba kartochkalarni avval o'zbek tilida, so'ngra ingliz yoki rus tilida nomlaydi. Natijalarni jadvalga yozing va tahlil qiling.</w:t>
      </w:r>
    </w:p>
    <w:p>
      <w:pPr>
        <w:pBdr>
          <w:left w:val="single" w:color="2F7FD1" w:sz="24" w:space="8"/>
        </w:pBdr>
        <w:shd w:fill="EEF5FC" w:color="auto" w:val="clear"/>
        <w:ind w:left="284" w:right="142"/>
        <w:jc w:val="both"/>
      </w:pPr>
      <w:r>
        <w:rPr>
          <w:b/>
          <w:bCs/>
        </w:rPr>
        <w:t xml:space="preserve">Namuna jadval</w:t>
      </w:r>
    </w:p>
    <w:tbl>
      <w:tblPr>
        <w:tblW w:type="dxa" w:w="9352"/>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DCEAF8" w:color="auto" w:val="clear"/>
            <w:tcMar>
              <w:top w:type="dxa" w:w="60"/>
              <w:left w:type="dxa" w:w="100"/>
              <w:bottom w:type="dxa" w:w="60"/>
              <w:right w:type="dxa" w:w="100"/>
            </w:tcMar>
          </w:tcPr>
          <w:p>
            <w:pPr>
              <w:spacing w:line="276"/>
            </w:pPr>
            <w:r>
              <w:rPr>
                <w:b/>
                <w:bCs/>
                <w:sz w:val="26"/>
                <w:szCs w:val="26"/>
              </w:rPr>
              <w:t xml:space="preserve">Kartochka</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O'zbekcha nomi</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Inglizcha nomi</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Ruscha nomi</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1 (to'q ko'k)</w:t>
            </w:r>
          </w:p>
        </w:tc>
        <w:tc>
          <w:tcPr>
            <w:tcW w:type="dxa" w:w="2338"/>
            <w:tcMar>
              <w:top w:type="dxa" w:w="60"/>
              <w:left w:type="dxa" w:w="100"/>
              <w:bottom w:type="dxa" w:w="60"/>
              <w:right w:type="dxa" w:w="100"/>
            </w:tcMar>
          </w:tcPr>
          <w:p>
            <w:pPr>
              <w:spacing w:line="276"/>
            </w:pPr>
            <w:r>
              <w:rPr>
                <w:b w:val="false"/>
                <w:bCs w:val="false"/>
                <w:sz w:val="26"/>
                <w:szCs w:val="26"/>
              </w:rPr>
              <w:t xml:space="preserve">ko'k</w:t>
            </w:r>
          </w:p>
        </w:tc>
        <w:tc>
          <w:tcPr>
            <w:tcW w:type="dxa" w:w="2338"/>
            <w:tcMar>
              <w:top w:type="dxa" w:w="60"/>
              <w:left w:type="dxa" w:w="100"/>
              <w:bottom w:type="dxa" w:w="60"/>
              <w:right w:type="dxa" w:w="100"/>
            </w:tcMar>
          </w:tcPr>
          <w:p>
            <w:pPr>
              <w:spacing w:line="276"/>
            </w:pPr>
            <w:r>
              <w:rPr>
                <w:b w:val="false"/>
                <w:bCs w:val="false"/>
                <w:sz w:val="26"/>
                <w:szCs w:val="26"/>
              </w:rPr>
              <w:t xml:space="preserve">blue</w:t>
            </w:r>
          </w:p>
        </w:tc>
        <w:tc>
          <w:tcPr>
            <w:tcW w:type="dxa" w:w="2338"/>
            <w:tcMar>
              <w:top w:type="dxa" w:w="60"/>
              <w:left w:type="dxa" w:w="100"/>
              <w:bottom w:type="dxa" w:w="60"/>
              <w:right w:type="dxa" w:w="100"/>
            </w:tcMar>
          </w:tcPr>
          <w:p>
            <w:pPr>
              <w:spacing w:line="276"/>
            </w:pPr>
            <w:r>
              <w:rPr>
                <w:b w:val="false"/>
                <w:bCs w:val="false"/>
                <w:sz w:val="26"/>
                <w:szCs w:val="26"/>
              </w:rPr>
              <w:t xml:space="preserve">синий</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2 (havorang)</w:t>
            </w:r>
          </w:p>
        </w:tc>
        <w:tc>
          <w:tcPr>
            <w:tcW w:type="dxa" w:w="2338"/>
            <w:tcMar>
              <w:top w:type="dxa" w:w="60"/>
              <w:left w:type="dxa" w:w="100"/>
              <w:bottom w:type="dxa" w:w="60"/>
              <w:right w:type="dxa" w:w="100"/>
            </w:tcMar>
          </w:tcPr>
          <w:p>
            <w:pPr>
              <w:spacing w:line="276"/>
            </w:pPr>
            <w:r>
              <w:rPr>
                <w:b w:val="false"/>
                <w:bCs w:val="false"/>
                <w:sz w:val="26"/>
                <w:szCs w:val="26"/>
              </w:rPr>
              <w:t xml:space="preserve">havorang, ko'k</w:t>
            </w:r>
          </w:p>
        </w:tc>
        <w:tc>
          <w:tcPr>
            <w:tcW w:type="dxa" w:w="2338"/>
            <w:tcMar>
              <w:top w:type="dxa" w:w="60"/>
              <w:left w:type="dxa" w:w="100"/>
              <w:bottom w:type="dxa" w:w="60"/>
              <w:right w:type="dxa" w:w="100"/>
            </w:tcMar>
          </w:tcPr>
          <w:p>
            <w:pPr>
              <w:spacing w:line="276"/>
            </w:pPr>
            <w:r>
              <w:rPr>
                <w:b w:val="false"/>
                <w:bCs w:val="false"/>
                <w:sz w:val="26"/>
                <w:szCs w:val="26"/>
              </w:rPr>
              <w:t xml:space="preserve">light blue</w:t>
            </w:r>
          </w:p>
        </w:tc>
        <w:tc>
          <w:tcPr>
            <w:tcW w:type="dxa" w:w="2338"/>
            <w:tcMar>
              <w:top w:type="dxa" w:w="60"/>
              <w:left w:type="dxa" w:w="100"/>
              <w:bottom w:type="dxa" w:w="60"/>
              <w:right w:type="dxa" w:w="100"/>
            </w:tcMar>
          </w:tcPr>
          <w:p>
            <w:pPr>
              <w:spacing w:line="276"/>
            </w:pPr>
            <w:r>
              <w:rPr>
                <w:b w:val="false"/>
                <w:bCs w:val="false"/>
                <w:sz w:val="26"/>
                <w:szCs w:val="26"/>
              </w:rPr>
              <w:t xml:space="preserve">голубой</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3 (maysa rangi)</w:t>
            </w:r>
          </w:p>
        </w:tc>
        <w:tc>
          <w:tcPr>
            <w:tcW w:type="dxa" w:w="2338"/>
            <w:tcMar>
              <w:top w:type="dxa" w:w="60"/>
              <w:left w:type="dxa" w:w="100"/>
              <w:bottom w:type="dxa" w:w="60"/>
              <w:right w:type="dxa" w:w="100"/>
            </w:tcMar>
          </w:tcPr>
          <w:p>
            <w:pPr>
              <w:spacing w:line="276"/>
            </w:pPr>
            <w:r>
              <w:rPr>
                <w:b w:val="false"/>
                <w:bCs w:val="false"/>
                <w:sz w:val="26"/>
                <w:szCs w:val="26"/>
              </w:rPr>
              <w:t xml:space="preserve">ko'k, yashil</w:t>
            </w:r>
          </w:p>
        </w:tc>
        <w:tc>
          <w:tcPr>
            <w:tcW w:type="dxa" w:w="2338"/>
            <w:tcMar>
              <w:top w:type="dxa" w:w="60"/>
              <w:left w:type="dxa" w:w="100"/>
              <w:bottom w:type="dxa" w:w="60"/>
              <w:right w:type="dxa" w:w="100"/>
            </w:tcMar>
          </w:tcPr>
          <w:p>
            <w:pPr>
              <w:spacing w:line="276"/>
            </w:pPr>
            <w:r>
              <w:rPr>
                <w:b w:val="false"/>
                <w:bCs w:val="false"/>
                <w:sz w:val="26"/>
                <w:szCs w:val="26"/>
              </w:rPr>
              <w:t xml:space="preserve">green</w:t>
            </w:r>
          </w:p>
        </w:tc>
        <w:tc>
          <w:tcPr>
            <w:tcW w:type="dxa" w:w="2338"/>
            <w:tcMar>
              <w:top w:type="dxa" w:w="60"/>
              <w:left w:type="dxa" w:w="100"/>
              <w:bottom w:type="dxa" w:w="60"/>
              <w:right w:type="dxa" w:w="100"/>
            </w:tcMar>
          </w:tcPr>
          <w:p>
            <w:pPr>
              <w:spacing w:line="276"/>
            </w:pPr>
            <w:r>
              <w:rPr>
                <w:b w:val="false"/>
                <w:bCs w:val="false"/>
                <w:sz w:val="26"/>
                <w:szCs w:val="26"/>
              </w:rPr>
              <w:t xml:space="preserve">зелёный</w:t>
            </w:r>
          </w:p>
        </w:tc>
      </w:tr>
    </w:tbl>
    <w:p/>
    <w:p>
      <w:pPr>
        <w:pBdr>
          <w:left w:val="single" w:color="2F7FD1" w:sz="24" w:space="8"/>
        </w:pBdr>
        <w:shd w:fill="EEF5FC" w:color="auto" w:val="clear"/>
        <w:ind w:left="284" w:right="142"/>
        <w:jc w:val="both"/>
      </w:pPr>
      <w:r>
        <w:rPr>
          <w:b/>
          <w:bCs/>
        </w:rPr>
        <w:t xml:space="preserve">Tahlil namunasi:</w:t>
      </w:r>
      <w:r>
        <w:t xml:space="preserve"> o'zbek tilida "ko'k" so'zi an'anaviy ravishda ham osmon rangini, ham maysa rangini bildiradi: "ko'k osmon", "ko'k maysa". Rus tilida esa ko'k rangning ochi va to'qi alohida asosiy so'zlar bilan ataladi ("голубой" va "синий"). J. Vinauer va hammualliflarining tadqiqotida (2007) rus tilida so'zlashuvchilar bu ikki rangni ingliz tilida so'zlashuvchilarga qaraganda tezroq ajratgani aniqlangan. Bu natija gipotezaning kuchsiz talqinini qo'llab-quvvatlaydi.</w:t>
      </w:r>
    </w:p>
    <w:p>
      <w:pPr>
        <w:pStyle w:val="Heading2"/>
        <w:keepNext/>
        <w:spacing w:after="80" w:before="200"/>
      </w:pPr>
      <w:r>
        <w:t xml:space="preserve">5-topshiriq. Neogumboldtchilik: so'z maydoni</w:t>
      </w:r>
    </w:p>
    <w:p>
      <w:pPr>
        <w:ind w:firstLine="709"/>
        <w:jc w:val="both"/>
      </w:pPr>
      <w:r>
        <w:rPr>
          <w:b/>
          <w:bCs/>
        </w:rPr>
        <w:t xml:space="preserve">Shart.</w:t>
      </w:r>
      <w:r>
        <w:t xml:space="preserve"> Neogumboldtchilar (L. Vaysgerber, J. Trir) so'zlarning ma'nosini u mansub bo'lgan so'z maydoni ichida aniqlash kerak, deb hisoblagan. "Aql-idrok" maydoniga kiruvchi o'zbekcha so'zlarni (aql, idrok, zehn, farosat, fahm, es, hush) ingliz tilidagi mos so'zlar bilan qiyoslang. Har bir so'z maydonda qaysi "bo'lak"ni egallashini izohlang.</w:t>
      </w:r>
    </w:p>
    <w:p>
      <w:pPr>
        <w:pBdr>
          <w:left w:val="single" w:color="2F7FD1" w:sz="24" w:space="8"/>
        </w:pBdr>
        <w:shd w:fill="EEF5FC" w:color="auto" w:val="clear"/>
        <w:ind w:left="284" w:right="142"/>
        <w:jc w:val="both"/>
      </w:pPr>
      <w:r>
        <w:rPr>
          <w:b/>
          <w:bCs/>
        </w:rPr>
        <w:t xml:space="preserve">Namuna</w:t>
      </w:r>
    </w:p>
    <w:p>
      <w:pPr>
        <w:pBdr>
          <w:left w:val="single" w:color="2F7FD1" w:sz="24" w:space="8"/>
        </w:pBdr>
        <w:shd w:fill="EEF5FC" w:color="auto" w:val="clear"/>
        <w:ind w:left="284" w:right="142"/>
        <w:jc w:val="both"/>
      </w:pPr>
      <w:r>
        <w:rPr>
          <w:b/>
          <w:bCs/>
        </w:rPr>
        <w:t xml:space="preserve">Farosat:</w:t>
      </w:r>
      <w:r>
        <w:t xml:space="preserve"> vaziyatni, boshqalarning holatini tez va to'g'ri sezish qobiliyati. "Farosatli odam" deganda nozik, odobli, vaziyatni tushunadigan odam nazarda tutiladi. Ingliz tilida bu ma'noni bitta so'z to'liq bermaydi: tarjimada vaziyatga qarab "tact", "perceptiveness", "insight" kabi so'zlar tanlanadi. </w:t>
      </w:r>
      <w:r>
        <w:rPr>
          <w:b/>
          <w:bCs/>
        </w:rPr>
        <w:t xml:space="preserve">Xulosa:</w:t>
      </w:r>
      <w:r>
        <w:t xml:space="preserve"> "farosat" o'zbek madaniyatida muhim qadriyat bo'lgan ijtimoiy sezgirlikni ifodalaydi. Vaysgerber ta'biri bilan aytganda, til bu tushunchani "oraliq dunyo"da alohida bo'lak sifatida ajratib ko'rsatgan.</w:t>
      </w:r>
    </w:p>
    <w:p>
      <w:pPr>
        <w:pStyle w:val="Heading1"/>
        <w:keepNext/>
        <w:spacing w:after="120" w:before="280"/>
      </w:pPr>
      <w:r>
        <w:t xml:space="preserve">II. KEYS-STADI</w:t>
      </w:r>
    </w:p>
    <w:p>
      <w:pPr>
        <w:pStyle w:val="Heading2"/>
        <w:keepNext/>
        <w:spacing w:after="80" w:before="200"/>
      </w:pPr>
      <w:r>
        <w:t xml:space="preserve">Keys. "Eskimoslarning qor uchun yuzta so'zi"</w:t>
      </w:r>
    </w:p>
    <w:p>
      <w:pPr>
        <w:ind w:firstLine="709"/>
        <w:jc w:val="both"/>
      </w:pPr>
      <w:r>
        <w:rPr>
          <w:b/>
          <w:bCs/>
        </w:rPr>
        <w:t xml:space="preserve">Vaziyat.</w:t>
      </w:r>
      <w:r>
        <w:t xml:space="preserve"> Magistrant Jasur Sepir–Uorf gipotezasi haqidagi taqdimotida shunday dedi: "Eskimoslarning tilida qor uchun yuzlab so'z bor. Shuning uchun ular qorni biz ko'rmaydigan tarzda ko'radi. Bu til tafakkurni belgilashining eng yaxshi isboti." Ilmiy rahbar bu misolni ilmiy adabiyotda ko'p tanqid qilingan "afsona" deb atadi va manbalarni qayta tekshirishni tavsiya qildi.</w:t>
      </w:r>
    </w:p>
    <w:p>
      <w:pPr>
        <w:ind w:firstLine="709"/>
        <w:jc w:val="both"/>
      </w:pPr>
      <w:r>
        <w:rPr>
          <w:b/>
          <w:bCs/>
        </w:rPr>
        <w:t xml:space="preserve">Savollar:</w:t>
      </w:r>
    </w:p>
    <w:p>
      <w:pPr>
        <w:pStyle w:val="ListParagraph"/>
        <w:numPr>
          <w:ilvl w:val="0"/>
          <w:numId w:val="5"/>
        </w:numPr>
        <w:jc w:val="both"/>
      </w:pPr>
      <w:r>
        <w:t xml:space="preserve">Jasurning misolida qanday ilmiy xatolar bor?</w:t>
      </w:r>
    </w:p>
    <w:p>
      <w:pPr>
        <w:pStyle w:val="ListParagraph"/>
        <w:numPr>
          <w:ilvl w:val="0"/>
          <w:numId w:val="5"/>
        </w:numPr>
        <w:jc w:val="both"/>
      </w:pPr>
      <w:r>
        <w:t xml:space="preserve">Biror sohada so'zlarning ko'pligi tafakkurning cheklanganligini yoki kengligini isbotlaydimi?</w:t>
      </w:r>
    </w:p>
    <w:p>
      <w:pPr>
        <w:pStyle w:val="ListParagraph"/>
        <w:numPr>
          <w:ilvl w:val="0"/>
          <w:numId w:val="5"/>
        </w:numPr>
        <w:jc w:val="both"/>
      </w:pPr>
      <w:r>
        <w:t xml:space="preserve">O'zbek tilidan shunga o'xshash misol keltiring (masalan, non turlari, qarindoshlik nomlari).</w:t>
      </w:r>
    </w:p>
    <w:p>
      <w:pPr>
        <w:pStyle w:val="ListParagraph"/>
        <w:numPr>
          <w:ilvl w:val="0"/>
          <w:numId w:val="5"/>
        </w:numPr>
        <w:jc w:val="both"/>
      </w:pPr>
      <w:r>
        <w:t xml:space="preserve">Taqdimotni qanday tuzatish kerak?</w:t>
      </w:r>
    </w:p>
    <w:p>
      <w:pPr>
        <w:pBdr>
          <w:left w:val="single" w:color="2F7FD1" w:sz="24" w:space="8"/>
        </w:pBdr>
        <w:shd w:fill="EEF5FC" w:color="auto" w:val="clear"/>
        <w:ind w:left="284" w:right="142"/>
        <w:jc w:val="both"/>
      </w:pPr>
      <w:r>
        <w:rPr>
          <w:b/>
          <w:bCs/>
        </w:rPr>
        <w:t xml:space="preserve">Namuna yechim</w:t>
      </w:r>
    </w:p>
    <w:p>
      <w:pPr>
        <w:pBdr>
          <w:left w:val="single" w:color="2F7FD1" w:sz="24" w:space="8"/>
        </w:pBdr>
        <w:shd w:fill="EEF5FC" w:color="auto" w:val="clear"/>
        <w:ind w:left="284" w:right="142"/>
        <w:jc w:val="both"/>
      </w:pPr>
      <w:r>
        <w:t xml:space="preserve">Birinchidan, "yuzlab so'z" haqidagi da'vo tekshirilmagan manbalar orqali tarqalgan. L. Martin (1986) va J. Pallum ("The Great Eskimo Vocabulary Hoax") bu raqamlar bo'rttirilganini ko'rsatgan. Eskimos-aleut tillari polisintetik bo'lgani uchun bitta o'zakdan juda ko'p so'z shakllari yasaladi. Shuning uchun "so'zlar sonini" sanashning o'zi muammoli. Ikkinchidan, ko'p so'z mavjudligi muayyan sohaning shu xalq hayotida muhimligini ko'rsatadi, lekin boshqa tilda so'zlashuvchilar bu farqlarni ko'ra olmaydi degani emas. Masalan, o'zbek tilida non turlari uchun ko'p nom bor ("obi non", "patir", "qatlama", "kulcha", "shirmoy non"). Bu non o'zbek madaniyatida muhim o'rin tutishini ko'rsatadi, lekin boshqa xalq vakillari bu farqlarni idrok eta olmaydi degan xulosaga olib kelmaydi. Uchinchidan, taqdimotda bu misolni gipoteza "isboti" emas, kuchsiz talqinning, ya'ni madaniy ahamiyatning leksikada aks etishining namunasi sifatida berish kerak.</w:t>
      </w:r>
    </w:p>
    <w:p>
      <w:pPr>
        <w:pStyle w:val="Heading1"/>
        <w:keepNext/>
        <w:spacing w:after="120" w:before="280"/>
      </w:pPr>
      <w:r>
        <w:t xml:space="preserve">III. KAZUSLAR</w:t>
      </w:r>
    </w:p>
    <w:p>
      <w:pPr>
        <w:pStyle w:val="Heading2"/>
        <w:keepNext/>
        <w:spacing w:after="80" w:before="200"/>
      </w:pPr>
      <w:r>
        <w:t xml:space="preserve">1-kazus</w:t>
      </w:r>
    </w:p>
    <w:p>
      <w:pPr>
        <w:ind w:firstLine="709"/>
        <w:jc w:val="both"/>
      </w:pPr>
      <w:r>
        <w:t xml:space="preserve">Talaba shunday dedi: "Agar Uorf haq bo'lsa, tarjima umuman mumkin emas. Lekin biz kitoblarni tarjima qilyapmiz. Demak, Uorf noto'g'ri." Bu mulohaza to'g'rimi?</w:t>
      </w:r>
    </w:p>
    <w:p>
      <w:pPr>
        <w:pBdr>
          <w:left w:val="single" w:color="2F7FD1" w:sz="24" w:space="8"/>
        </w:pBdr>
        <w:shd w:fill="EEF5FC" w:color="auto" w:val="clear"/>
        <w:ind w:left="284" w:right="142"/>
        <w:jc w:val="both"/>
      </w:pPr>
      <w:r>
        <w:rPr>
          <w:b/>
          <w:bCs/>
        </w:rPr>
        <w:t xml:space="preserve">Namuna javob</w:t>
      </w:r>
    </w:p>
    <w:p>
      <w:pPr>
        <w:pBdr>
          <w:left w:val="single" w:color="2F7FD1" w:sz="24" w:space="8"/>
        </w:pBdr>
        <w:shd w:fill="EEF5FC" w:color="auto" w:val="clear"/>
        <w:ind w:left="284" w:right="142"/>
        <w:jc w:val="both"/>
      </w:pPr>
      <w:r>
        <w:t xml:space="preserve">Mulohaza faqat gipotezaning kuchli talqiniga nisbatan to'g'ri. Kuchli talqin rad etilgan, chunki tarjima amalda mumkin. Ammo kuchsiz talqin tarjimani inkor etmaydi. U tarjimada qiyinchiliklar, yo'qotishlar va izohlash zarurati bo'lishini tushuntiradi. Masalan, "andisha" so'zini ingliz tiliga bir so'z bilan to'liq o'girib bo'lmaydi, lekin uni tasvirlab yoki izoh bilan berish mumkin. Demak, Uorf g'oyalarini butunlay "noto'g'ri" deb bo'lmaydi.</w:t>
      </w:r>
    </w:p>
    <w:p>
      <w:pPr>
        <w:pStyle w:val="Heading2"/>
        <w:keepNext/>
        <w:spacing w:after="80" w:before="200"/>
      </w:pPr>
      <w:r>
        <w:t xml:space="preserve">2-kazus</w:t>
      </w:r>
    </w:p>
    <w:p>
      <w:pPr>
        <w:ind w:firstLine="709"/>
        <w:jc w:val="both"/>
      </w:pPr>
      <w:r>
        <w:t xml:space="preserve">Seminarda munozara bo'ldi. Bir talaba: "O'zbek tilida 'sen' va 'siz' bor, ingliz tilida esa faqat 'you'. Demak, inglizlar hurmat nimaligini bilmaydi", dedi. Ikkinchi talaba bunga qo'shilmadi. Kim haq va nima uchun?</w:t>
      </w:r>
    </w:p>
    <w:p>
      <w:pPr>
        <w:pBdr>
          <w:left w:val="single" w:color="2F7FD1" w:sz="24" w:space="8"/>
        </w:pBdr>
        <w:shd w:fill="EEF5FC" w:color="auto" w:val="clear"/>
        <w:ind w:left="284" w:right="142"/>
        <w:jc w:val="both"/>
      </w:pPr>
      <w:r>
        <w:rPr>
          <w:b/>
          <w:bCs/>
        </w:rPr>
        <w:t xml:space="preserve">Namuna javob</w:t>
      </w:r>
    </w:p>
    <w:p>
      <w:pPr>
        <w:pBdr>
          <w:left w:val="single" w:color="2F7FD1" w:sz="24" w:space="8"/>
        </w:pBdr>
        <w:shd w:fill="EEF5FC" w:color="auto" w:val="clear"/>
        <w:ind w:left="284" w:right="142"/>
        <w:jc w:val="both"/>
      </w:pPr>
      <w:r>
        <w:t xml:space="preserve">Ikkinchi talaba haq. Ingliz tilida hurmat boshqa vositalar bilan ifodalanadi: "Mr./Mrs." kabi murojaatlar, "could you", "would you mind" kabi muloyim shakllar. O'zbek tilidagi "sen" va "siz" farqi esa so'zlovchini har bir muloqotda munosabatni tanlashga majbur qiladi. Bu madaniyatda yosh va mavqega e'tibor kuchli ekanini ko'rsatadi. Biroq grammatik farq yo'qligidan madaniy tushuncha yo'q degan xulosa chiqarish kuchli talqin xatosidir.</w:t>
      </w:r>
    </w:p>
    <w:p>
      <w:pPr>
        <w:pStyle w:val="Heading2"/>
        <w:keepNext/>
        <w:spacing w:after="80" w:before="200"/>
      </w:pPr>
      <w:r>
        <w:t xml:space="preserve">3-kazus</w:t>
      </w:r>
    </w:p>
    <w:p>
      <w:pPr>
        <w:ind w:firstLine="709"/>
        <w:jc w:val="both"/>
      </w:pPr>
      <w:r>
        <w:t xml:space="preserve">Talaba kurs ishida shunday yozgan: "Neogumboldtchilik va Sepir–Uorf gipotezasi bir xil nazariya, faqat biri nemis, ikkinchisi amerika olimlariniki." Ushbu fikrga baho bering.</w:t>
      </w:r>
    </w:p>
    <w:p>
      <w:pPr>
        <w:pBdr>
          <w:left w:val="single" w:color="2F7FD1" w:sz="24" w:space="8"/>
        </w:pBdr>
        <w:shd w:fill="EEF5FC" w:color="auto" w:val="clear"/>
        <w:ind w:left="284" w:right="142"/>
        <w:jc w:val="both"/>
      </w:pPr>
      <w:r>
        <w:rPr>
          <w:b/>
          <w:bCs/>
        </w:rPr>
        <w:t xml:space="preserve">Namuna javob</w:t>
      </w:r>
    </w:p>
    <w:p>
      <w:pPr>
        <w:pBdr>
          <w:left w:val="single" w:color="2F7FD1" w:sz="24" w:space="8"/>
        </w:pBdr>
        <w:shd w:fill="EEF5FC" w:color="auto" w:val="clear"/>
        <w:ind w:left="284" w:right="142"/>
        <w:jc w:val="both"/>
      </w:pPr>
      <w:r>
        <w:t xml:space="preserve">Ikkala yo'nalish ham Gumboldt g'oyalariga tayanadi va til dunyoni ko'rishga ta'sir qiladi deb hisoblaydi. Lekin ular mustaqil shakllangan va farqlari bor. Neogumboldtchilik (Vaysgerber, Trir) asosan leksika va so'z maydonlarini, tilning "oraliq dunyo"sini falsafiy-nazariy yo'nalishda o'rgangan. Sepir va Uorf esa amerika antropologiyasi an'anasida, asosan hindu tillari materiali asosida grammatik tuzilishning tafakkurga ta'sirini o'rgangan. Demak, ular yaqin, lekin bir xil emas.</w:t>
      </w:r>
    </w:p>
    <w:p>
      <w:pPr>
        <w:pStyle w:val="Heading1"/>
        <w:keepNext/>
        <w:spacing w:after="120" w:before="280"/>
      </w:pPr>
      <w:r>
        <w:t xml:space="preserve">IV. ILMIY MUNOZARA (DEBAT)</w:t>
      </w:r>
    </w:p>
    <w:p>
      <w:pPr>
        <w:ind w:firstLine="709"/>
        <w:jc w:val="both"/>
      </w:pPr>
      <w:r>
        <w:rPr>
          <w:b/>
          <w:bCs/>
        </w:rPr>
        <w:t xml:space="preserve">Mavzu:</w:t>
      </w:r>
      <w:r>
        <w:t xml:space="preserve"> "Til tafakkurimizni belgilaydimi?"</w:t>
      </w:r>
    </w:p>
    <w:p>
      <w:pPr>
        <w:ind w:firstLine="709"/>
        <w:jc w:val="both"/>
      </w:pPr>
      <w:r>
        <w:rPr>
          <w:b/>
          <w:bCs/>
        </w:rPr>
        <w:t xml:space="preserve">O'tkazish tartibi.</w:t>
      </w:r>
      <w:r>
        <w:t xml:space="preserve"> Guruh ikkiga bo'linadi. Birinchi jamoa gipotezani himoya qiladi, ikkinchi jamoa unga qarshi dalil keltiradi. Har bir jamoaga tayyorgarlik uchun 3 daqiqa, chiqish uchun 2 daqiqa, javob uchun 1 daqiqa beriladi. O'qituvchi yakunda xulosa qiladi.</w:t>
      </w:r>
    </w:p>
    <w:p>
      <w:pPr>
        <w:pBdr>
          <w:left w:val="single" w:color="2F7FD1" w:sz="24" w:space="8"/>
        </w:pBdr>
        <w:shd w:fill="EEF5FC" w:color="auto" w:val="clear"/>
        <w:ind w:left="284" w:right="142"/>
        <w:jc w:val="both"/>
      </w:pPr>
      <w:r>
        <w:rPr>
          <w:b/>
          <w:bCs/>
        </w:rPr>
        <w:t xml:space="preserve">"Tarafdorlar" uchun dalil namunalari</w:t>
      </w:r>
    </w:p>
    <w:p>
      <w:pPr>
        <w:pBdr>
          <w:left w:val="single" w:color="2F7FD1" w:sz="24" w:space="8"/>
        </w:pBdr>
        <w:shd w:fill="EEF5FC" w:color="auto" w:val="clear"/>
        <w:ind w:left="284" w:right="142"/>
        <w:jc w:val="both"/>
      </w:pPr>
      <w:r>
        <w:t xml:space="preserve">Rus tilida so'zlashuvchilar ko'kning ochi va to'qini tezroq ajratadi (J. Vinauer va boshq., 2007). Avstraliyadagi guugu yimitirr tilida "o'ng" va "chap" o'rniga dunyo tomonlari ishlatiladi. S. Levinson (2003) bu til egalari dunyo tomonlarini doimo aniq bilishini ko'rsatgan. O'zbek tilidagi "-ibdi" va "ekan" shakllari so'zlovchini xabar manbaini doimo ko'rsatishga majbur qiladi.</w:t>
      </w:r>
    </w:p>
    <w:p>
      <w:pPr>
        <w:pBdr>
          <w:left w:val="single" w:color="2F7FD1" w:sz="24" w:space="8"/>
        </w:pBdr>
        <w:shd w:fill="EEF5FC" w:color="auto" w:val="clear"/>
        <w:ind w:left="284" w:right="142"/>
        <w:jc w:val="both"/>
      </w:pPr>
      <w:r>
        <w:rPr>
          <w:b/>
          <w:bCs/>
        </w:rPr>
        <w:t xml:space="preserve">"Qarshilar" uchun dalil namunalari</w:t>
      </w:r>
    </w:p>
    <w:p>
      <w:pPr>
        <w:pBdr>
          <w:left w:val="single" w:color="2F7FD1" w:sz="24" w:space="8"/>
        </w:pBdr>
        <w:shd w:fill="EEF5FC" w:color="auto" w:val="clear"/>
        <w:ind w:left="284" w:right="142"/>
        <w:jc w:val="both"/>
      </w:pPr>
      <w:r>
        <w:t xml:space="preserve">B. Berlin va P. Kay (Basic Color Terms, 1969) rang nomlarida universal qonuniyatlar borligini ko'rsatgan. E. Malotki (Hopi Time, 1983) hopi tilida vaqtni ifodalovchi vositalar ko'p ekanini isbotlab, Uorfning hopi tili haqidagi xulosalarini tanqid qilgan. S. Pinker (The Language Instinct, 1994) tafakkur tildan oldin ham mavjud bo'lishini ta'kidlagan. Tarjima amalda mumkin.</w:t>
      </w:r>
    </w:p>
    <w:p>
      <w:pPr>
        <w:pBdr>
          <w:left w:val="single" w:color="2F7FD1" w:sz="24" w:space="8"/>
        </w:pBdr>
        <w:shd w:fill="EEF5FC" w:color="auto" w:val="clear"/>
        <w:ind w:left="284" w:right="142"/>
        <w:jc w:val="both"/>
      </w:pPr>
      <w:r>
        <w:rPr>
          <w:b/>
          <w:bCs/>
        </w:rPr>
        <w:t xml:space="preserve">Kutilayotgan xulosa:</w:t>
      </w:r>
      <w:r>
        <w:t xml:space="preserve"> til tafakkurni to'liq belgilamaydi, lekin unga ta'sir ko'rsatadi. Ya'ni kuchsiz talqin dalillar bilan ko'proq tasdiqlanadi va lingvokulturologiya uchun nazariy asos bo'ladi.</w:t>
      </w:r>
    </w:p>
    <w:p>
      <w:pPr>
        <w:pStyle w:val="Heading1"/>
        <w:keepNext/>
        <w:spacing w:after="120" w:before="280"/>
      </w:pPr>
      <w:r>
        <w:t xml:space="preserve">V. TESTLAR</w:t>
      </w:r>
    </w:p>
    <w:p>
      <w:pPr>
        <w:ind w:firstLine="709"/>
        <w:jc w:val="both"/>
      </w:pPr>
      <w:r>
        <w:rPr>
          <w:b/>
          <w:bCs/>
        </w:rPr>
        <w:t xml:space="preserve">Ko'rsatma.</w:t>
      </w:r>
      <w:r>
        <w:t xml:space="preserve"> Har bir savolga bitta to'g'ri javobni belgilang.</w:t>
      </w:r>
    </w:p>
    <w:p>
      <w:pPr>
        <w:pBdr>
          <w:left w:val="single" w:color="2F7FD1" w:sz="24" w:space="8"/>
        </w:pBdr>
        <w:shd w:fill="EEF5FC" w:color="auto" w:val="clear"/>
        <w:ind w:left="284" w:right="142"/>
        <w:jc w:val="both"/>
      </w:pPr>
      <w:r>
        <w:rPr>
          <w:b/>
          <w:bCs/>
        </w:rPr>
        <w:t xml:space="preserve">Namuna (yechilgan test)</w:t>
      </w:r>
    </w:p>
    <w:p>
      <w:pPr>
        <w:pBdr>
          <w:left w:val="single" w:color="2F7FD1" w:sz="24" w:space="8"/>
        </w:pBdr>
        <w:shd w:fill="EEF5FC" w:color="auto" w:val="clear"/>
        <w:ind w:left="284" w:right="142"/>
        <w:jc w:val="both"/>
      </w:pPr>
      <w:r>
        <w:t xml:space="preserve">"Oraliq dunyo" (Zwischenwelt) tushunchasi kimga tegishli? A) E. Sepir; B) L. Vaysgerber; C) B.L. Uorf; D) F. Boas.</w:t>
      </w:r>
    </w:p>
    <w:p>
      <w:pPr>
        <w:pBdr>
          <w:left w:val="single" w:color="2F7FD1" w:sz="24" w:space="8"/>
        </w:pBdr>
        <w:shd w:fill="EEF5FC" w:color="auto" w:val="clear"/>
        <w:ind w:left="284" w:right="142"/>
        <w:jc w:val="both"/>
      </w:pPr>
      <w:r>
        <w:rPr>
          <w:b/>
          <w:bCs/>
        </w:rPr>
        <w:t xml:space="preserve">To'g'ri javob:</w:t>
      </w:r>
      <w:r>
        <w:t xml:space="preserve"> B. </w:t>
      </w:r>
      <w:r>
        <w:rPr>
          <w:b/>
          <w:bCs/>
        </w:rPr>
        <w:t xml:space="preserve">Izoh:</w:t>
      </w:r>
      <w:r>
        <w:t xml:space="preserve"> L. Vaysgerber har bir til o'z egalari va voqelik o'rtasida "oraliq dunyo" yaratadi, deb hisoblagan.</w:t>
      </w:r>
    </w:p>
    <w:p>
      <w:pPr>
        <w:ind w:firstLine="709"/>
        <w:jc w:val="both"/>
      </w:pPr>
      <w:r>
        <w:rPr>
          <w:b/>
          <w:bCs/>
        </w:rPr>
        <w:t xml:space="preserve">1.</w:t>
      </w:r>
      <w:r>
        <w:t xml:space="preserve"> Lingvistik nisbiylik gipotezasining kuchli talqini yana qanday ataladi?</w:t>
      </w:r>
    </w:p>
    <w:p>
      <w:pPr>
        <w:ind w:left="709"/>
      </w:pPr>
      <w:r>
        <w:t xml:space="preserve">A) lingvistik universalizm; B) lingvistik determinizm; C) neogumboldtchilik; D) strukturalizm.</w:t>
      </w:r>
    </w:p>
    <w:p>
      <w:pPr>
        <w:ind w:firstLine="709"/>
        <w:jc w:val="both"/>
      </w:pPr>
      <w:r>
        <w:rPr>
          <w:b/>
          <w:bCs/>
        </w:rPr>
        <w:t xml:space="preserve">2.</w:t>
      </w:r>
      <w:r>
        <w:t xml:space="preserve"> E. Sepirning "Language" asari qachon nashr etilgan?</w:t>
      </w:r>
    </w:p>
    <w:p>
      <w:pPr>
        <w:ind w:left="709"/>
      </w:pPr>
      <w:r>
        <w:t xml:space="preserve">A) 1836-yilda; B) 1911-yilda; C) 1921-yilda; D) 1956-yilda.</w:t>
      </w:r>
    </w:p>
    <w:p>
      <w:pPr>
        <w:ind w:firstLine="709"/>
        <w:jc w:val="both"/>
      </w:pPr>
      <w:r>
        <w:rPr>
          <w:b/>
          <w:bCs/>
        </w:rPr>
        <w:t xml:space="preserve">3.</w:t>
      </w:r>
      <w:r>
        <w:t xml:space="preserve"> B.L. Uorfning "Language, Thought, and Reality" to'plami haqida qaysi fikr to'g'ri?</w:t>
      </w:r>
    </w:p>
    <w:p>
      <w:pPr>
        <w:ind w:left="709"/>
      </w:pPr>
      <w:r>
        <w:t xml:space="preserve">A) muallif hayotligida, 1921-yilda nashr etilgan; B) vafotidan keyin, 1956-yilda nashr etilgan; C) Sepir bilan hammualliflikda yozilgan; D) nemis tilida nashr etilgan.</w:t>
      </w:r>
    </w:p>
    <w:p>
      <w:pPr>
        <w:ind w:firstLine="709"/>
        <w:jc w:val="both"/>
      </w:pPr>
      <w:r>
        <w:rPr>
          <w:b/>
          <w:bCs/>
        </w:rPr>
        <w:t xml:space="preserve">4.</w:t>
      </w:r>
      <w:r>
        <w:t xml:space="preserve"> Uorfning hopi tilidagi vaqt tushunchasi haqidagi xulosalarini "Hopi Time" (1983) asarida tanqid qilgan olim kim?</w:t>
      </w:r>
    </w:p>
    <w:p>
      <w:pPr>
        <w:ind w:left="709"/>
      </w:pPr>
      <w:r>
        <w:t xml:space="preserve">A) E. Malotki; B) S. Pinker; C) B. Berlin; D) J. Trir.</w:t>
      </w:r>
    </w:p>
    <w:p>
      <w:pPr>
        <w:ind w:firstLine="709"/>
        <w:jc w:val="both"/>
      </w:pPr>
      <w:r>
        <w:rPr>
          <w:b/>
          <w:bCs/>
        </w:rPr>
        <w:t xml:space="preserve">5.</w:t>
      </w:r>
      <w:r>
        <w:t xml:space="preserve"> Rang nomlarida universal qonuniyatlar borligini ko'rsatgan "Basic Color Terms" (1969) asarining mualliflari kimlar?</w:t>
      </w:r>
    </w:p>
    <w:p>
      <w:pPr>
        <w:ind w:left="709"/>
      </w:pPr>
      <w:r>
        <w:t xml:space="preserve">A) Sepir va Uorf; B) Lakoff va Jonson; C) Berlin va Kay; D) Vereshchagin va Kostomarov.</w:t>
      </w:r>
    </w:p>
    <w:p>
      <w:pPr>
        <w:ind w:firstLine="709"/>
        <w:jc w:val="both"/>
      </w:pPr>
      <w:r>
        <w:rPr>
          <w:b/>
          <w:bCs/>
        </w:rPr>
        <w:t xml:space="preserve">6.</w:t>
      </w:r>
      <w:r>
        <w:t xml:space="preserve"> So'z maydonlari nazariyasi bilan neogumboldtchilikka hissa qo'shgan nemis olimi kim?</w:t>
      </w:r>
    </w:p>
    <w:p>
      <w:pPr>
        <w:ind w:left="709"/>
      </w:pPr>
      <w:r>
        <w:t xml:space="preserve">A) F. Boas; B) J. Trir; C) A. Potebnya; D) E. Sepir.</w:t>
      </w:r>
    </w:p>
    <w:p>
      <w:pPr>
        <w:ind w:firstLine="709"/>
        <w:jc w:val="both"/>
      </w:pPr>
      <w:r>
        <w:rPr>
          <w:b/>
          <w:bCs/>
        </w:rPr>
        <w:t xml:space="preserve">7.</w:t>
      </w:r>
      <w:r>
        <w:t xml:space="preserve"> "Tilning ichki shakli" tushunchasi birinchi bo'lib kimning ta'limotida ishlab chiqilgan?</w:t>
      </w:r>
    </w:p>
    <w:p>
      <w:pPr>
        <w:ind w:left="709"/>
      </w:pPr>
      <w:r>
        <w:t xml:space="preserve">A) E. Sepir; B) B.L. Uorf; C) S. Pinker; D) V. fon Gumboldt.</w:t>
      </w:r>
    </w:p>
    <w:p>
      <w:pPr>
        <w:ind w:firstLine="709"/>
        <w:jc w:val="both"/>
      </w:pPr>
      <w:r>
        <w:rPr>
          <w:b/>
          <w:bCs/>
        </w:rPr>
        <w:t xml:space="preserve">8.</w:t>
      </w:r>
      <w:r>
        <w:t xml:space="preserve"> O'zbek tilida "ko'k" so'zining an'anaviy qo'llanishi haqida qaysi fikr to'g'ri?</w:t>
      </w:r>
    </w:p>
    <w:p>
      <w:pPr>
        <w:ind w:left="709"/>
      </w:pPr>
      <w:r>
        <w:t xml:space="preserve">A) faqat osmon rangini bildiradi; B) ham osmon, ham maysa rangini bildiradi; C) faqat qora rangni bildiradi; D) faqat o'simlik nomi.</w:t>
      </w:r>
    </w:p>
    <w:p>
      <w:pPr>
        <w:ind w:firstLine="709"/>
        <w:jc w:val="both"/>
      </w:pPr>
      <w:r>
        <w:rPr>
          <w:b/>
          <w:bCs/>
        </w:rPr>
        <w:t xml:space="preserve">9.</w:t>
      </w:r>
      <w:r>
        <w:t xml:space="preserve"> "The Language Instinct" (1994) asarida Sepir–Uorf gipotezasining kuchli talqinini tanqid qilgan olim kim?</w:t>
      </w:r>
    </w:p>
    <w:p>
      <w:pPr>
        <w:ind w:left="709"/>
      </w:pPr>
      <w:r>
        <w:t xml:space="preserve">A) S. Pinker; B) D. Xaymz; C) A. Vejbitskaya; D) G.B. Palmer.</w:t>
      </w:r>
    </w:p>
    <w:p>
      <w:pPr>
        <w:ind w:firstLine="709"/>
        <w:jc w:val="both"/>
      </w:pPr>
      <w:r>
        <w:rPr>
          <w:b/>
          <w:bCs/>
        </w:rPr>
        <w:t xml:space="preserve">10.</w:t>
      </w:r>
      <w:r>
        <w:t xml:space="preserve"> O'zbek tilidagi "kelibdi" shakli qanday ma'noni ifodalaydi?</w:t>
      </w:r>
    </w:p>
    <w:p>
      <w:pPr>
        <w:ind w:left="709"/>
      </w:pPr>
      <w:r>
        <w:t xml:space="preserve">A) kelasi zamon; B) buyruq; C) so'zlovchi o'zi ko'rmagan, keyin bilgan voqea; D) shart.</w:t>
      </w:r>
    </w:p>
    <w:p>
      <w:pPr>
        <w:ind w:firstLine="709"/>
        <w:jc w:val="both"/>
      </w:pPr>
      <w:r>
        <w:rPr>
          <w:b/>
          <w:bCs/>
        </w:rPr>
        <w:t xml:space="preserve">Javoblar kaliti:</w:t>
      </w:r>
      <w:r>
        <w:t xml:space="preserve"> 1–B; 2–C; 3–B; 4–A; 5–C; 6–B; 7–D; 8–B; 9–A; 10–C.</w:t>
      </w:r>
    </w:p>
    <w:p>
      <w:pPr>
        <w:pStyle w:val="Heading1"/>
        <w:keepNext/>
        <w:spacing w:after="120" w:before="280"/>
      </w:pPr>
      <w:r>
        <w:t xml:space="preserve">VI. NAZARIY SAVOLLAR</w:t>
      </w:r>
    </w:p>
    <w:p>
      <w:pPr>
        <w:pStyle w:val="ListParagraph"/>
        <w:numPr>
          <w:ilvl w:val="0"/>
          <w:numId w:val="6"/>
        </w:numPr>
        <w:jc w:val="both"/>
      </w:pPr>
      <w:r>
        <w:t xml:space="preserve">V. fon Gumboldtning til haqidagi qarashlarining asosiy g'oyalarini izohlang.</w:t>
      </w:r>
    </w:p>
    <w:p>
      <w:pPr>
        <w:pStyle w:val="ListParagraph"/>
        <w:numPr>
          <w:ilvl w:val="0"/>
          <w:numId w:val="6"/>
        </w:numPr>
        <w:jc w:val="both"/>
      </w:pPr>
      <w:r>
        <w:t xml:space="preserve">Sepir va Uorf qarashlarining farqi nimada?</w:t>
      </w:r>
    </w:p>
    <w:p>
      <w:pPr>
        <w:pStyle w:val="ListParagraph"/>
        <w:numPr>
          <w:ilvl w:val="0"/>
          <w:numId w:val="6"/>
        </w:numPr>
        <w:jc w:val="both"/>
      </w:pPr>
      <w:r>
        <w:t xml:space="preserve">Lingvistik nisbiylik gipotezasining kuchli va kuchsiz talqinlarini taqqoslang.</w:t>
      </w:r>
    </w:p>
    <w:p>
      <w:pPr>
        <w:pStyle w:val="ListParagraph"/>
        <w:numPr>
          <w:ilvl w:val="0"/>
          <w:numId w:val="6"/>
        </w:numPr>
        <w:jc w:val="both"/>
      </w:pPr>
      <w:r>
        <w:t xml:space="preserve">Neogumboldtchilikning "oraliq dunyo" va "so'z maydoni" tushunchalarini izohlang.</w:t>
      </w:r>
    </w:p>
    <w:p>
      <w:pPr>
        <w:pStyle w:val="ListParagraph"/>
        <w:numPr>
          <w:ilvl w:val="0"/>
          <w:numId w:val="6"/>
        </w:numPr>
        <w:jc w:val="both"/>
      </w:pPr>
      <w:r>
        <w:t xml:space="preserve">Gipotezani qo'llab-quvvatlovchi qanday zamonaviy tadqiqotlarni bilasiz?</w:t>
      </w:r>
    </w:p>
    <w:p>
      <w:pPr>
        <w:pStyle w:val="ListParagraph"/>
        <w:numPr>
          <w:ilvl w:val="0"/>
          <w:numId w:val="6"/>
        </w:numPr>
        <w:jc w:val="both"/>
      </w:pPr>
      <w:r>
        <w:t xml:space="preserve">Gipotezani tanqid qiluvchi qanday asosiy dalillar bor?</w:t>
      </w:r>
    </w:p>
    <w:p>
      <w:pPr>
        <w:pStyle w:val="ListParagraph"/>
        <w:numPr>
          <w:ilvl w:val="0"/>
          <w:numId w:val="6"/>
        </w:numPr>
        <w:jc w:val="both"/>
      </w:pPr>
      <w:r>
        <w:t xml:space="preserve">Nima uchun "eskimoslarning qor uchun yuzta so'zi" misoli tanqid qilinadi?</w:t>
      </w:r>
    </w:p>
    <w:p>
      <w:pPr>
        <w:pStyle w:val="ListParagraph"/>
        <w:numPr>
          <w:ilvl w:val="0"/>
          <w:numId w:val="6"/>
        </w:numPr>
        <w:jc w:val="both"/>
      </w:pPr>
      <w:r>
        <w:t xml:space="preserve">Lingvistik nisbiylik g'oyasi lingvokulturologiya uchun qanday ahamiyatga ega?</w:t>
      </w:r>
    </w:p>
    <w:p>
      <w:pPr>
        <w:pStyle w:val="Heading1"/>
        <w:keepNext/>
        <w:spacing w:after="120" w:before="280"/>
      </w:pPr>
      <w:r>
        <w:t xml:space="preserve">VII. UYGA VAZIFA</w:t>
      </w:r>
    </w:p>
    <w:p>
      <w:pPr>
        <w:ind w:firstLine="709"/>
        <w:jc w:val="both"/>
      </w:pPr>
      <w:r>
        <w:t xml:space="preserve">"Til tafakkurimizni belgilaydimi?" mavzusida 1–2 betlik esse yozing. Essedagi har bir fikr kamida bitta o'zbekcha misol va bitta ilmiy manba bilan asoslansin.</w:t>
      </w:r>
    </w:p>
    <w:p>
      <w:pPr>
        <w:pStyle w:val="Heading1"/>
        <w:keepNext/>
        <w:spacing w:after="120" w:before="280"/>
      </w:pPr>
      <w:r>
        <w:t xml:space="preserve">VIII. BAHOLASH MEZONLARI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tblHeader/>
        </w:trPr>
        <w:tc>
          <w:tcPr>
            <w:tcW w:type="dxa" w:w="4677"/>
            <w:shd w:fill="DCEAF8" w:color="auto" w:val="clear"/>
            <w:tcMar>
              <w:top w:type="dxa" w:w="60"/>
              <w:left w:type="dxa" w:w="100"/>
              <w:bottom w:type="dxa" w:w="60"/>
              <w:right w:type="dxa" w:w="100"/>
            </w:tcMar>
          </w:tcPr>
          <w:p>
            <w:pPr>
              <w:spacing w:line="276"/>
            </w:pPr>
            <w:r>
              <w:rPr>
                <w:b/>
                <w:bCs/>
                <w:sz w:val="26"/>
                <w:szCs w:val="26"/>
              </w:rPr>
              <w:t xml:space="preserve">Faoliyat turi</w:t>
            </w:r>
          </w:p>
        </w:tc>
        <w:tc>
          <w:tcPr>
            <w:tcW w:type="dxa" w:w="4677"/>
            <w:shd w:fill="DCEAF8" w:color="auto" w:val="clear"/>
            <w:tcMar>
              <w:top w:type="dxa" w:w="60"/>
              <w:left w:type="dxa" w:w="100"/>
              <w:bottom w:type="dxa" w:w="60"/>
              <w:right w:type="dxa" w:w="100"/>
            </w:tcMar>
          </w:tcPr>
          <w:p>
            <w:pPr>
              <w:spacing w:line="276"/>
            </w:pPr>
            <w:r>
              <w:rPr>
                <w:b/>
                <w:bCs/>
                <w:sz w:val="26"/>
                <w:szCs w:val="26"/>
              </w:rPr>
              <w:t xml:space="preserve">Ulushi</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Amaliy topshiriqlar (1–5)</w:t>
            </w:r>
          </w:p>
        </w:tc>
        <w:tc>
          <w:tcPr>
            <w:tcW w:type="dxa" w:w="4677"/>
            <w:tcMar>
              <w:top w:type="dxa" w:w="60"/>
              <w:left w:type="dxa" w:w="100"/>
              <w:bottom w:type="dxa" w:w="60"/>
              <w:right w:type="dxa" w:w="100"/>
            </w:tcMar>
          </w:tcPr>
          <w:p>
            <w:pPr>
              <w:spacing w:line="276"/>
            </w:pPr>
            <w:r>
              <w:rPr>
                <w:b w:val="false"/>
                <w:bCs w:val="false"/>
                <w:sz w:val="26"/>
                <w:szCs w:val="26"/>
              </w:rPr>
              <w:t xml:space="preserve">35%</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Keys-stadi va kazuslar</w:t>
            </w:r>
          </w:p>
        </w:tc>
        <w:tc>
          <w:tcPr>
            <w:tcW w:type="dxa" w:w="4677"/>
            <w:tcMar>
              <w:top w:type="dxa" w:w="60"/>
              <w:left w:type="dxa" w:w="100"/>
              <w:bottom w:type="dxa" w:w="60"/>
              <w:right w:type="dxa" w:w="100"/>
            </w:tcMar>
          </w:tcPr>
          <w:p>
            <w:pPr>
              <w:spacing w:line="276"/>
            </w:pPr>
            <w:r>
              <w:rPr>
                <w:b w:val="false"/>
                <w:bCs w:val="false"/>
                <w:sz w:val="26"/>
                <w:szCs w:val="26"/>
              </w:rPr>
              <w:t xml:space="preserve">20%</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Ilmiy munozara (debat)</w:t>
            </w:r>
          </w:p>
        </w:tc>
        <w:tc>
          <w:tcPr>
            <w:tcW w:type="dxa" w:w="4677"/>
            <w:tcMar>
              <w:top w:type="dxa" w:w="60"/>
              <w:left w:type="dxa" w:w="100"/>
              <w:bottom w:type="dxa" w:w="60"/>
              <w:right w:type="dxa" w:w="100"/>
            </w:tcMar>
          </w:tcPr>
          <w:p>
            <w:pPr>
              <w:spacing w:line="276"/>
            </w:pPr>
            <w:r>
              <w:rPr>
                <w:b w:val="false"/>
                <w:bCs w:val="false"/>
                <w:sz w:val="26"/>
                <w:szCs w:val="26"/>
              </w:rPr>
              <w:t xml:space="preserve">20%</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Test</w:t>
            </w:r>
          </w:p>
        </w:tc>
        <w:tc>
          <w:tcPr>
            <w:tcW w:type="dxa" w:w="4677"/>
            <w:tcMar>
              <w:top w:type="dxa" w:w="60"/>
              <w:left w:type="dxa" w:w="100"/>
              <w:bottom w:type="dxa" w:w="60"/>
              <w:right w:type="dxa" w:w="100"/>
            </w:tcMar>
          </w:tcPr>
          <w:p>
            <w:pPr>
              <w:spacing w:line="276"/>
            </w:pPr>
            <w:r>
              <w:rPr>
                <w:b w:val="false"/>
                <w:bCs w:val="false"/>
                <w:sz w:val="26"/>
                <w:szCs w:val="26"/>
              </w:rPr>
              <w:t xml:space="preserve">10%</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Esse (uyga vazifa)</w:t>
            </w:r>
          </w:p>
        </w:tc>
        <w:tc>
          <w:tcPr>
            <w:tcW w:type="dxa" w:w="4677"/>
            <w:tcMar>
              <w:top w:type="dxa" w:w="60"/>
              <w:left w:type="dxa" w:w="100"/>
              <w:bottom w:type="dxa" w:w="60"/>
              <w:right w:type="dxa" w:w="100"/>
            </w:tcMar>
          </w:tcPr>
          <w:p>
            <w:pPr>
              <w:spacing w:line="276"/>
            </w:pPr>
            <w:r>
              <w:rPr>
                <w:b w:val="false"/>
                <w:bCs w:val="false"/>
                <w:sz w:val="26"/>
                <w:szCs w:val="26"/>
              </w:rPr>
              <w:t xml:space="preserve">15%</w:t>
            </w:r>
          </w:p>
        </w:tc>
      </w:tr>
    </w:tbl>
    <w:p/>
    <w:p>
      <w:pPr>
        <w:pStyle w:val="Heading1"/>
        <w:keepNext/>
        <w:spacing w:after="120" w:before="280"/>
      </w:pPr>
      <w:r>
        <w:t xml:space="preserve">IX. ADABIYOTLAR</w:t>
      </w:r>
    </w:p>
    <w:p>
      <w:pPr>
        <w:ind w:firstLine="709"/>
        <w:jc w:val="both"/>
      </w:pPr>
      <w:r>
        <w:rPr>
          <w:b/>
          <w:bCs/>
        </w:rPr>
        <w:t xml:space="preserve">Asosiy adabiyotlar</w:t>
      </w:r>
    </w:p>
    <w:p>
      <w:pPr>
        <w:pStyle w:val="ListParagraph"/>
        <w:numPr>
          <w:ilvl w:val="0"/>
          <w:numId w:val="7"/>
        </w:numPr>
        <w:jc w:val="both"/>
      </w:pPr>
      <w:r>
        <w:t xml:space="preserve">Humboldt W. von. Über die Verschiedenheit des menschlichen Sprachbaues und ihren Einfluss auf die geistige Entwickelung des Menschengeschlechts. – Berlin, 1836.</w:t>
      </w:r>
    </w:p>
    <w:p>
      <w:pPr>
        <w:pStyle w:val="ListParagraph"/>
        <w:numPr>
          <w:ilvl w:val="0"/>
          <w:numId w:val="7"/>
        </w:numPr>
        <w:jc w:val="both"/>
      </w:pPr>
      <w:r>
        <w:t xml:space="preserve">Sapir E. Language: An Introduction to the Study of Speech. – New York, 1921.</w:t>
      </w:r>
    </w:p>
    <w:p>
      <w:pPr>
        <w:pStyle w:val="ListParagraph"/>
        <w:numPr>
          <w:ilvl w:val="0"/>
          <w:numId w:val="7"/>
        </w:numPr>
        <w:jc w:val="both"/>
      </w:pPr>
      <w:r>
        <w:t xml:space="preserve">Whorf B.L. Language, Thought, and Reality / Ed. J.B. Carroll. – Cambridge, MA: MIT Press, 1956.</w:t>
      </w:r>
    </w:p>
    <w:p>
      <w:pPr>
        <w:pStyle w:val="ListParagraph"/>
        <w:numPr>
          <w:ilvl w:val="0"/>
          <w:numId w:val="7"/>
        </w:numPr>
        <w:jc w:val="both"/>
      </w:pPr>
      <w:r>
        <w:t xml:space="preserve">Weisgerber L. Muttersprache und Geistesbildung. – Göttingen, 1929.</w:t>
      </w:r>
    </w:p>
    <w:p>
      <w:pPr>
        <w:pStyle w:val="ListParagraph"/>
        <w:numPr>
          <w:ilvl w:val="0"/>
          <w:numId w:val="7"/>
        </w:numPr>
        <w:jc w:val="both"/>
      </w:pPr>
      <w:r>
        <w:t xml:space="preserve">Маслова В.А. Лингвокультурология. – М.: Академия, 2001.</w:t>
      </w:r>
    </w:p>
    <w:p>
      <w:pPr>
        <w:pStyle w:val="ListParagraph"/>
        <w:numPr>
          <w:ilvl w:val="0"/>
          <w:numId w:val="7"/>
        </w:numPr>
        <w:jc w:val="both"/>
      </w:pPr>
      <w:r>
        <w:t xml:space="preserve">Usmanova Sh. Lingvokulturologiya: darslik. – Toshkent, 2019.</w:t>
      </w:r>
    </w:p>
    <w:p>
      <w:pPr>
        <w:ind w:firstLine="709"/>
        <w:jc w:val="both"/>
      </w:pPr>
      <w:r>
        <w:rPr>
          <w:b/>
          <w:bCs/>
        </w:rPr>
        <w:t xml:space="preserve">Qo'shimcha adabiyotlar</w:t>
      </w:r>
    </w:p>
    <w:p>
      <w:pPr>
        <w:pStyle w:val="ListParagraph"/>
        <w:numPr>
          <w:ilvl w:val="0"/>
          <w:numId w:val="8"/>
        </w:numPr>
        <w:jc w:val="both"/>
      </w:pPr>
      <w:r>
        <w:t xml:space="preserve">Trier J. Der deutsche Wortschatz im Sinnbezirk des Verstandes. – Heidelberg, 1931.</w:t>
      </w:r>
    </w:p>
    <w:p>
      <w:pPr>
        <w:pStyle w:val="ListParagraph"/>
        <w:numPr>
          <w:ilvl w:val="0"/>
          <w:numId w:val="8"/>
        </w:numPr>
        <w:jc w:val="both"/>
      </w:pPr>
      <w:r>
        <w:t xml:space="preserve">Berlin B., Kay P. Basic Color Terms: Their Universality and Evolution. – Berkeley: University of California Press, 1969.</w:t>
      </w:r>
    </w:p>
    <w:p>
      <w:pPr>
        <w:pStyle w:val="ListParagraph"/>
        <w:numPr>
          <w:ilvl w:val="0"/>
          <w:numId w:val="8"/>
        </w:numPr>
        <w:jc w:val="both"/>
      </w:pPr>
      <w:r>
        <w:t xml:space="preserve">Malotki E. Hopi Time: A Linguistic Analysis of the Temporal Concepts in the Hopi Language. – Berlin: Mouton, 1983.</w:t>
      </w:r>
    </w:p>
    <w:p>
      <w:pPr>
        <w:pStyle w:val="ListParagraph"/>
        <w:numPr>
          <w:ilvl w:val="0"/>
          <w:numId w:val="8"/>
        </w:numPr>
        <w:jc w:val="both"/>
      </w:pPr>
      <w:r>
        <w:t xml:space="preserve">Pinker S. The Language Instinct. – New York: William Morrow, 1994.</w:t>
      </w:r>
    </w:p>
    <w:p>
      <w:pPr>
        <w:pStyle w:val="ListParagraph"/>
        <w:numPr>
          <w:ilvl w:val="0"/>
          <w:numId w:val="8"/>
        </w:numPr>
        <w:jc w:val="both"/>
      </w:pPr>
      <w:r>
        <w:t xml:space="preserve">Levinson S.C. Space in Language and Cognition. – Cambridge: Cambridge University Press, 2003.</w:t>
      </w:r>
    </w:p>
    <w:p>
      <w:pPr>
        <w:pStyle w:val="ListParagraph"/>
        <w:numPr>
          <w:ilvl w:val="0"/>
          <w:numId w:val="8"/>
        </w:numPr>
        <w:jc w:val="both"/>
      </w:pPr>
      <w:r>
        <w:t xml:space="preserve">Winawer J., Witthoft N., Frank M.C., Wu L., Wade A.R., Boroditsky L. Russian blues reveal effects of language on color discrimination // PNAS. – 2007. – Vol. 104, No. 19.</w:t>
      </w:r>
    </w:p>
    <w:p>
      <w:pPr>
        <w:pStyle w:val="ListParagraph"/>
        <w:numPr>
          <w:ilvl w:val="0"/>
          <w:numId w:val="8"/>
        </w:numPr>
        <w:jc w:val="both"/>
      </w:pPr>
      <w:r>
        <w:t xml:space="preserve">Pullum G.K. The Great Eskimo Vocabulary Hoax. – Chicago: University of Chicago Press, 1991.</w:t>
      </w:r>
    </w:p>
    <w:p>
      <w:pPr>
        <w:pStyle w:val="ListParagraph"/>
        <w:numPr>
          <w:ilvl w:val="0"/>
          <w:numId w:val="8"/>
        </w:numPr>
        <w:jc w:val="both"/>
      </w:pPr>
      <w:r>
        <w:t xml:space="preserve">Safarov Sh. Kognitiv tilshunoslik. – Jizzax: Sangzor, 2006.</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sz w:val="30"/>
      <w:szCs w:val="3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i/>
      <w:i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2026-10-02T04:47:29.693Z</dcterms:created>
  <dcterms:modified xsi:type="dcterms:W3CDTF">2026-10-02T04:47:29.702Z</dcterms:modified>
</cp:coreProperties>
</file>

<file path=docProps/custom.xml><?xml version="1.0" encoding="utf-8"?>
<Properties xmlns="http://schemas.openxmlformats.org/officeDocument/2006/custom-properties" xmlns:vt="http://schemas.openxmlformats.org/officeDocument/2006/docPropsVTypes"/>
</file>