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76AD451B">
      <w:pPr>
        <w:jc w:val="center"/>
        <w:rPr>
          <w:b/>
          <w:bCs/>
        </w:rPr>
      </w:pPr>
      <w:r>
        <w:rPr>
          <w:b/>
          <w:bCs/>
        </w:rPr>
        <w:t>Форматирование и линтинг проекта. Сборка образа проекта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0C3E475F">
      <w:pPr>
        <w:rPr>
          <w:b/>
          <w:bCs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–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t xml:space="preserve">познакомится со способами поддержки качества кода и сборки образа приложения. </w:t>
      </w:r>
    </w:p>
    <w:p w14:paraId="1520CA98">
      <w:pPr>
        <w:rPr>
          <w:rFonts w:hint="default" w:ascii="Times New Roman" w:hAnsi="Times New Roman" w:cs="Times New Roman"/>
          <w:sz w:val="28"/>
          <w:szCs w:val="28"/>
        </w:rPr>
      </w:pPr>
    </w:p>
    <w:p w14:paraId="7C92AAE5">
      <w:r>
        <w:rPr>
          <w:rFonts w:hint="default"/>
          <w:lang w:val="ru-RU" w:eastAsia="ru-RU"/>
        </w:rPr>
        <w:t>Для</w:t>
      </w:r>
      <w:r>
        <w:rPr>
          <w:rFonts w:hint="default"/>
          <w:lang w:val="en-US" w:eastAsia="ru-RU"/>
        </w:rPr>
        <w:t xml:space="preserve"> начала ноебходимо установить зависимости </w:t>
      </w:r>
      <w:r>
        <w:t>pre-commit, pylint, black и isort.</w:t>
      </w:r>
    </w:p>
    <w:p w14:paraId="2B415D40">
      <w:pPr>
        <w:spacing w:before="0" w:after="160"/>
        <w:rPr>
          <w:rFonts w:hint="default"/>
          <w:lang w:val="en-US" w:eastAsia="ru-RU"/>
        </w:rPr>
      </w:pPr>
    </w:p>
    <w:p w14:paraId="7F5E301F">
      <w:pPr>
        <w:spacing w:before="0" w:after="160"/>
      </w:pPr>
      <w:r>
        <w:drawing>
          <wp:inline distT="0" distB="0" distL="114300" distR="114300">
            <wp:extent cx="5932170" cy="1437640"/>
            <wp:effectExtent l="0" t="0" r="11430" b="1016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6DEF">
      <w:pPr>
        <w:spacing w:before="0" w:after="160"/>
      </w:pPr>
    </w:p>
    <w:p w14:paraId="34F91B75">
      <w:pPr>
        <w:spacing w:before="0" w:after="160"/>
      </w:pPr>
      <w:r>
        <w:rPr>
          <w:rFonts w:hint="default"/>
          <w:lang w:val="en-US" w:eastAsia="ru-RU"/>
        </w:rPr>
        <w:t xml:space="preserve">Создать файл </w:t>
      </w:r>
      <w:r>
        <w:t>pre-commit-config.yaml</w:t>
      </w:r>
    </w:p>
    <w:p w14:paraId="1BFCEB2F">
      <w:pPr>
        <w:spacing w:before="0" w:after="160"/>
      </w:pPr>
      <w:r>
        <w:drawing>
          <wp:inline distT="0" distB="0" distL="0" distR="0">
            <wp:extent cx="2524125" cy="4010025"/>
            <wp:effectExtent l="0" t="0" r="5715" b="13335"/>
            <wp:docPr id="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5F7">
      <w:pPr>
        <w:spacing w:before="0" w:after="160"/>
      </w:pPr>
      <w:r>
        <w:drawing>
          <wp:inline distT="0" distB="0" distL="0" distR="0">
            <wp:extent cx="2524125" cy="4010025"/>
            <wp:effectExtent l="0" t="0" r="5715" b="13335"/>
            <wp:docPr id="1043725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5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78E7">
      <w:pPr>
        <w:spacing w:before="0" w:after="160"/>
      </w:pPr>
      <w:r>
        <w:drawing>
          <wp:inline distT="0" distB="0" distL="0" distR="0">
            <wp:extent cx="3933825" cy="5020310"/>
            <wp:effectExtent l="0" t="0" r="13335" b="8890"/>
            <wp:docPr id="1159546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6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F228">
      <w:pPr>
        <w:spacing w:before="0" w:after="160"/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написать докерфайл</w:t>
      </w:r>
    </w:p>
    <w:p w14:paraId="3ADF0107">
      <w:pPr>
        <w:spacing w:before="0" w:after="160"/>
      </w:pPr>
      <w:r>
        <w:drawing>
          <wp:inline distT="0" distB="0" distL="114300" distR="114300">
            <wp:extent cx="5935980" cy="2785745"/>
            <wp:effectExtent l="0" t="0" r="7620" b="317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3BAD">
      <w:pPr>
        <w:spacing w:before="0" w:after="160"/>
        <w:rPr>
          <w:rFonts w:hint="default"/>
          <w:lang w:val="en-US"/>
        </w:rPr>
      </w:pPr>
      <w:r>
        <w:rPr>
          <w:lang w:val="ru-RU"/>
        </w:rPr>
        <w:t>Написать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docker-compose.yml</w:t>
      </w:r>
    </w:p>
    <w:p w14:paraId="5DA61296">
      <w:pPr>
        <w:spacing w:before="0" w:after="160"/>
      </w:pPr>
      <w:r>
        <w:drawing>
          <wp:inline distT="0" distB="0" distL="114300" distR="114300">
            <wp:extent cx="5931535" cy="2752090"/>
            <wp:effectExtent l="0" t="0" r="12065" b="635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6F16">
      <w:pPr>
        <w:spacing w:before="0" w:after="160"/>
      </w:pPr>
    </w:p>
    <w:p w14:paraId="791DCF3D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Собрать</w:t>
      </w:r>
      <w:r>
        <w:rPr>
          <w:rFonts w:hint="default"/>
          <w:lang w:val="en-US" w:eastAsia="ru-RU"/>
        </w:rPr>
        <w:t xml:space="preserve"> контейнер по докерфайлу</w:t>
      </w:r>
    </w:p>
    <w:p w14:paraId="56AD762D">
      <w:pPr>
        <w:spacing w:before="0" w:after="160"/>
      </w:pPr>
      <w:r>
        <w:drawing>
          <wp:inline distT="0" distB="0" distL="114300" distR="114300">
            <wp:extent cx="5938520" cy="1992630"/>
            <wp:effectExtent l="0" t="0" r="5080" b="381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EDEB">
      <w:pPr>
        <w:spacing w:before="0" w:after="160"/>
      </w:pPr>
    </w:p>
    <w:p w14:paraId="01300C1A">
      <w:pPr>
        <w:spacing w:before="0" w:after="160"/>
      </w:pPr>
    </w:p>
    <w:p w14:paraId="43B45F61">
      <w:pPr>
        <w:pStyle w:val="26"/>
        <w:numPr>
          <w:ilvl w:val="0"/>
          <w:numId w:val="1"/>
        </w:numPr>
      </w:pPr>
      <w:r>
        <w:t>Что такое Docker-контейнер и чем он отличается от виртуальной машины?</w:t>
      </w:r>
    </w:p>
    <w:p w14:paraId="10253C38">
      <w:pPr>
        <w:pStyle w:val="26"/>
        <w:numPr>
          <w:ilvl w:val="0"/>
          <w:numId w:val="0"/>
        </w:numPr>
        <w:ind w:left="360" w:leftChars="0"/>
      </w:pPr>
      <w:r>
        <w:rPr>
          <w:rFonts w:hint="default"/>
        </w:rPr>
        <w:t>изолированное окружение для приложения, использующее ядро хоста. Отличается от виртуальной машины меньшим весом, быстрым запуском и отсутствием своей ОС.</w:t>
      </w:r>
    </w:p>
    <w:p w14:paraId="7C861886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Как работает кеширование слоев в Docker и почему это важно?</w:t>
      </w:r>
    </w:p>
    <w:p w14:paraId="6FA15C90">
      <w:pPr>
        <w:pStyle w:val="26"/>
        <w:numPr>
          <w:ilvl w:val="0"/>
          <w:numId w:val="0"/>
        </w:numPr>
        <w:ind w:left="360" w:leftChars="0"/>
        <w:rPr>
          <w:rFonts w:ascii="Segoe UI" w:hAnsi="Segoe UI" w:cs="Segoe UI"/>
          <w:color w:val="0F1115"/>
        </w:rPr>
      </w:pPr>
      <w:r>
        <w:rPr>
          <w:rFonts w:hint="default" w:ascii="Segoe UI" w:hAnsi="Segoe UI"/>
          <w:color w:val="0F1115"/>
        </w:rPr>
        <w:t>работает на основе индексации каждой инструкции в Dockerfile. Важно для ускорения сборки: если слой не изменился, Docker использует кеш.</w:t>
      </w:r>
    </w:p>
    <w:p w14:paraId="4B4C240D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Что означает инструкция </w:t>
      </w:r>
      <w:r>
        <w:rPr>
          <w:rStyle w:val="6"/>
          <w:rFonts w:ascii="Consolas" w:hAnsi="Consolas" w:eastAsiaTheme="majorEastAsia"/>
          <w:color w:val="0F1115"/>
          <w:sz w:val="24"/>
          <w:szCs w:val="24"/>
          <w:shd w:val="clear" w:color="auto" w:fill="EBEEF2"/>
        </w:rPr>
        <w:t>depends_on</w:t>
      </w:r>
      <w:r>
        <w:rPr>
          <w:rStyle w:val="7"/>
          <w:rFonts w:ascii="Segoe UI" w:hAnsi="Segoe UI" w:cs="Segoe UI"/>
          <w:b w:val="0"/>
          <w:bCs w:val="0"/>
          <w:color w:val="0F1115"/>
        </w:rPr>
        <w:t> в docker-compose?</w:t>
      </w:r>
    </w:p>
    <w:p w14:paraId="7E157BF6">
      <w:pPr>
        <w:pStyle w:val="26"/>
        <w:numPr>
          <w:ilvl w:val="0"/>
          <w:numId w:val="0"/>
        </w:numPr>
        <w:ind w:left="360" w:leftChars="0"/>
        <w:rPr>
          <w:rFonts w:ascii="Segoe UI" w:hAnsi="Segoe UI" w:cs="Segoe UI"/>
          <w:color w:val="0F1115"/>
        </w:rPr>
      </w:pPr>
      <w:r>
        <w:rPr>
          <w:rFonts w:hint="default" w:ascii="Segoe UI" w:hAnsi="Segoe UI"/>
          <w:color w:val="0F1115"/>
        </w:rPr>
        <w:t xml:space="preserve"> в docker-compose задаёт порядок запуска контейнеров (ожидание старта сервисов), но не гарантирует готовность их сервисов.</w:t>
      </w:r>
    </w:p>
    <w:p w14:paraId="34D881FB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Почему миграции БД выполняются в entrypoint.sh, а не во время сборки образа?</w:t>
      </w:r>
    </w:p>
    <w:p w14:paraId="2E2C2A81">
      <w:pPr>
        <w:pStyle w:val="26"/>
        <w:numPr>
          <w:ilvl w:val="0"/>
          <w:numId w:val="0"/>
        </w:numPr>
        <w:ind w:left="360" w:leftChars="0"/>
        <w:rPr>
          <w:rFonts w:ascii="Segoe UI" w:hAnsi="Segoe UI" w:cs="Segoe UI"/>
          <w:color w:val="0F1115"/>
        </w:rPr>
      </w:pPr>
      <w:r>
        <w:rPr>
          <w:rFonts w:hint="default" w:ascii="Segoe UI" w:hAnsi="Segoe UI"/>
          <w:color w:val="0F1115"/>
        </w:rPr>
        <w:t>чтобы БД была доступна во время запуска контейнера. При сборке БД ещё нет.</w:t>
      </w:r>
    </w:p>
    <w:p w14:paraId="528D0E37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Что произойдет, если миграции завершатся ошибкой при запуске контейнера?</w:t>
      </w:r>
    </w:p>
    <w:p w14:paraId="387654B6">
      <w:pPr>
        <w:pStyle w:val="26"/>
        <w:numPr>
          <w:ilvl w:val="0"/>
          <w:numId w:val="0"/>
        </w:numPr>
        <w:ind w:left="360" w:leftChars="0"/>
        <w:rPr>
          <w:rFonts w:ascii="Segoe UI" w:hAnsi="Segoe UI" w:cs="Segoe UI"/>
          <w:color w:val="0F1115"/>
        </w:rPr>
      </w:pPr>
      <w:r>
        <w:rPr>
          <w:rFonts w:hint="default" w:ascii="Segoe UI" w:hAnsi="Segoe UI"/>
          <w:color w:val="0F1115"/>
        </w:rPr>
        <w:t>контейнер завершится с ошибкой (status non-zero), orchestration-система (Kubernetes, Docker Compose) может перезапустить контейнер.</w:t>
      </w:r>
    </w:p>
    <w:p w14:paraId="5F830388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В чем разница между линтерами (flake8) и форматерами (black)?</w:t>
      </w:r>
    </w:p>
    <w:p w14:paraId="7D053D4E">
      <w:pPr>
        <w:pStyle w:val="26"/>
        <w:numPr>
          <w:ilvl w:val="0"/>
          <w:numId w:val="0"/>
        </w:numPr>
        <w:ind w:left="360" w:leftChars="0"/>
        <w:rPr>
          <w:rFonts w:ascii="Segoe UI" w:hAnsi="Segoe UI" w:cs="Segoe UI"/>
          <w:color w:val="0F1115"/>
        </w:rPr>
      </w:pPr>
      <w:r>
        <w:rPr>
          <w:rFonts w:hint="default" w:ascii="Segoe UI" w:hAnsi="Segoe UI"/>
          <w:color w:val="0F1115"/>
        </w:rPr>
        <w:t>проверяют код на ошибки и стандарты, форматеры (black) автоматически приводят код к единому стилю без анализа логики.</w:t>
      </w:r>
    </w:p>
    <w:p w14:paraId="0BFD6FED">
      <w:pPr>
        <w:pStyle w:val="26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Style w:val="7"/>
          <w:rFonts w:ascii="Segoe UI" w:hAnsi="Segoe UI" w:cs="Segoe UI"/>
          <w:b w:val="0"/>
          <w:bCs w:val="0"/>
          <w:color w:val="0F1115"/>
        </w:rPr>
        <w:t>Как pre-commit хуки помогают в разработке?</w:t>
      </w:r>
    </w:p>
    <w:p w14:paraId="67246024">
      <w:pPr>
        <w:pStyle w:val="26"/>
        <w:numPr>
          <w:ilvl w:val="0"/>
          <w:numId w:val="0"/>
        </w:numPr>
        <w:ind w:left="360" w:leftChars="0"/>
        <w:rPr>
          <w:rFonts w:hint="default" w:ascii="Segoe UI" w:hAnsi="Segoe UI"/>
          <w:color w:val="0F1115"/>
        </w:rPr>
      </w:pPr>
      <w:r>
        <w:rPr>
          <w:rFonts w:hint="default" w:ascii="Segoe UI" w:hAnsi="Segoe UI"/>
          <w:color w:val="0F1115"/>
        </w:rPr>
        <w:t>автоматически проверяют и форматируют код перед коммитом, что помогает поддерживать качество и единый стиль в репозитории.</w:t>
      </w:r>
    </w:p>
    <w:p w14:paraId="7FD5AAE1">
      <w:pPr>
        <w:spacing w:before="0" w:after="160"/>
        <w:rPr>
          <w:rFonts w:hint="default"/>
          <w:lang w:val="en-US" w:eastAsia="ru-RU"/>
        </w:rPr>
      </w:pPr>
      <w:bookmarkStart w:id="1" w:name="_GoBack"/>
      <w:bookmarkEnd w:id="1"/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61336"/>
    <w:multiLevelType w:val="multilevel"/>
    <w:tmpl w:val="64A6133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1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237413CA"/>
    <w:rsid w:val="28C50E71"/>
    <w:rsid w:val="2A315B45"/>
    <w:rsid w:val="310061F3"/>
    <w:rsid w:val="358F18F4"/>
    <w:rsid w:val="3B782B1F"/>
    <w:rsid w:val="40861B4B"/>
    <w:rsid w:val="43C32443"/>
    <w:rsid w:val="457A1A0B"/>
    <w:rsid w:val="534B2BB6"/>
    <w:rsid w:val="5E5545AB"/>
    <w:rsid w:val="681803D6"/>
    <w:rsid w:val="6C8E6327"/>
    <w:rsid w:val="752A2448"/>
    <w:rsid w:val="758D0E68"/>
    <w:rsid w:val="792C5E5B"/>
    <w:rsid w:val="7A5847A7"/>
    <w:rsid w:val="7A5F78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6</Pages>
  <Words>317</Words>
  <Characters>1909</Characters>
  <Paragraphs>46</Paragraphs>
  <TotalTime>0</TotalTime>
  <ScaleCrop>false</ScaleCrop>
  <LinksUpToDate>false</LinksUpToDate>
  <CharactersWithSpaces>2201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2025-12-09T18:05:28Z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2BC2F88667854F6D9296C0C455989456_13</vt:lpwstr>
  </property>
</Properties>
</file>