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E6C14" w14:textId="4BF62C21" w:rsidR="004842FA" w:rsidRDefault="00480CFA" w:rsidP="002E6540">
      <w:pPr>
        <w:pStyle w:val="Heading1"/>
        <w:bidi w:val="0"/>
        <w:spacing w:line="360" w:lineRule="auto"/>
        <w:jc w:val="left"/>
      </w:pPr>
      <w:r>
        <w:t>introduction</w:t>
      </w:r>
    </w:p>
    <w:p w14:paraId="398445C7" w14:textId="4F2B65B4" w:rsidR="00480CFA" w:rsidRDefault="00480CFA" w:rsidP="002E6540">
      <w:pPr>
        <w:bidi w:val="0"/>
        <w:spacing w:line="360" w:lineRule="auto"/>
        <w:rPr>
          <w:rFonts w:asciiTheme="majorBidi" w:hAnsiTheme="majorBidi" w:cstheme="majorBidi"/>
          <w:sz w:val="24"/>
          <w:szCs w:val="24"/>
        </w:rPr>
      </w:pPr>
      <w:r w:rsidRPr="00BF0BB5">
        <w:rPr>
          <w:rFonts w:asciiTheme="majorBidi" w:hAnsiTheme="majorBidi" w:cstheme="majorBidi"/>
          <w:sz w:val="24"/>
          <w:szCs w:val="24"/>
        </w:rPr>
        <w:t>Degradation of mRNA plays an important role in the cells. The decay of the mRNA has a regulatory role in gene expression during homeostasis and a critical role in the maternal-to-zygotic transition.</w:t>
      </w:r>
      <w:r>
        <w:rPr>
          <w:rFonts w:asciiTheme="majorBidi" w:hAnsiTheme="majorBidi" w:cstheme="majorBidi"/>
          <w:sz w:val="24"/>
          <w:szCs w:val="24"/>
        </w:rPr>
        <w:t xml:space="preserve"> The maternal-to-zygotic</w:t>
      </w:r>
      <w:r w:rsidR="00CD3C16">
        <w:rPr>
          <w:rFonts w:asciiTheme="majorBidi" w:hAnsiTheme="majorBidi" w:cstheme="majorBidi"/>
          <w:sz w:val="24"/>
          <w:szCs w:val="24"/>
        </w:rPr>
        <w:t xml:space="preserve"> transition</w:t>
      </w:r>
      <w:r>
        <w:rPr>
          <w:rFonts w:asciiTheme="majorBidi" w:hAnsiTheme="majorBidi" w:cstheme="majorBidi"/>
          <w:sz w:val="24"/>
          <w:szCs w:val="24"/>
        </w:rPr>
        <w:t xml:space="preserve"> is </w:t>
      </w:r>
      <w:r w:rsidRPr="00BF0BB5">
        <w:rPr>
          <w:rFonts w:asciiTheme="majorBidi" w:hAnsiTheme="majorBidi" w:cstheme="majorBidi"/>
          <w:sz w:val="24"/>
          <w:szCs w:val="24"/>
        </w:rPr>
        <w:t xml:space="preserve">a crucial process that takes place in </w:t>
      </w:r>
      <w:r>
        <w:rPr>
          <w:rFonts w:asciiTheme="majorBidi" w:hAnsiTheme="majorBidi" w:cstheme="majorBidi"/>
          <w:sz w:val="24"/>
          <w:szCs w:val="24"/>
        </w:rPr>
        <w:t>embryos of</w:t>
      </w:r>
      <w:r w:rsidRPr="00BF0BB5">
        <w:rPr>
          <w:rFonts w:asciiTheme="majorBidi" w:hAnsiTheme="majorBidi" w:cstheme="majorBidi"/>
          <w:sz w:val="24"/>
          <w:szCs w:val="24"/>
        </w:rPr>
        <w:t xml:space="preserve"> multicellular organisms </w:t>
      </w:r>
      <w:r>
        <w:rPr>
          <w:rFonts w:asciiTheme="majorBidi" w:hAnsiTheme="majorBidi" w:cstheme="majorBidi"/>
          <w:sz w:val="24"/>
          <w:szCs w:val="24"/>
        </w:rPr>
        <w:t xml:space="preserve">such as </w:t>
      </w:r>
      <w:r w:rsidRPr="00BF0BB5">
        <w:rPr>
          <w:rFonts w:asciiTheme="majorBidi" w:hAnsiTheme="majorBidi" w:cstheme="majorBidi"/>
          <w:sz w:val="24"/>
          <w:szCs w:val="24"/>
        </w:rPr>
        <w:t>Drosophila, fish</w:t>
      </w:r>
      <w:r>
        <w:rPr>
          <w:rFonts w:asciiTheme="majorBidi" w:hAnsiTheme="majorBidi" w:cstheme="majorBidi"/>
          <w:sz w:val="24"/>
          <w:szCs w:val="24"/>
        </w:rPr>
        <w:t>,</w:t>
      </w:r>
      <w:r w:rsidRPr="00BF0BB5">
        <w:rPr>
          <w:rFonts w:asciiTheme="majorBidi" w:hAnsiTheme="majorBidi" w:cstheme="majorBidi"/>
          <w:sz w:val="24"/>
          <w:szCs w:val="24"/>
        </w:rPr>
        <w:t xml:space="preserve"> humans</w:t>
      </w:r>
      <w:r>
        <w:rPr>
          <w:rFonts w:asciiTheme="majorBidi" w:hAnsiTheme="majorBidi" w:cstheme="majorBidi"/>
          <w:sz w:val="24"/>
          <w:szCs w:val="24"/>
        </w:rPr>
        <w:t>, etc.</w:t>
      </w:r>
      <w:r w:rsidRPr="00BF0BB5">
        <w:rPr>
          <w:rStyle w:val="EndnoteReference"/>
          <w:rFonts w:asciiTheme="majorBidi" w:hAnsiTheme="majorBidi" w:cstheme="majorBidi"/>
        </w:rPr>
        <w:endnoteReference w:id="1"/>
      </w:r>
      <w:r>
        <w:rPr>
          <w:rFonts w:asciiTheme="majorBidi" w:hAnsiTheme="majorBidi" w:cstheme="majorBidi"/>
          <w:sz w:val="24"/>
          <w:szCs w:val="24"/>
        </w:rPr>
        <w:t xml:space="preserve"> </w:t>
      </w:r>
      <w:r w:rsidRPr="00185783">
        <w:rPr>
          <w:rFonts w:asciiTheme="majorBidi" w:hAnsiTheme="majorBidi" w:cstheme="majorBidi"/>
          <w:sz w:val="24"/>
          <w:szCs w:val="24"/>
        </w:rPr>
        <w:t>during the very early stages of development.</w:t>
      </w:r>
      <w:r w:rsidRPr="00115480">
        <w:rPr>
          <w:rFonts w:asciiTheme="majorBidi" w:hAnsiTheme="majorBidi" w:cstheme="majorBidi"/>
          <w:sz w:val="24"/>
          <w:szCs w:val="24"/>
        </w:rPr>
        <w:t xml:space="preserve"> Embryonic genes are initially silenced before fertilization and become activated, initiating expression within the cell following fertilization.</w:t>
      </w:r>
      <w:r w:rsidRPr="00BF0BB5">
        <w:rPr>
          <w:rFonts w:asciiTheme="majorBidi" w:hAnsiTheme="majorBidi" w:cstheme="majorBidi"/>
          <w:sz w:val="24"/>
          <w:szCs w:val="24"/>
        </w:rPr>
        <w:t xml:space="preserve"> During the transition</w:t>
      </w:r>
      <w:r>
        <w:rPr>
          <w:rFonts w:asciiTheme="majorBidi" w:hAnsiTheme="majorBidi" w:cstheme="majorBidi"/>
          <w:sz w:val="24"/>
          <w:szCs w:val="24"/>
        </w:rPr>
        <w:t xml:space="preserve"> the </w:t>
      </w:r>
      <w:r w:rsidRPr="00294D6B">
        <w:rPr>
          <w:rFonts w:asciiTheme="majorBidi" w:hAnsiTheme="majorBidi" w:cstheme="majorBidi"/>
          <w:sz w:val="24"/>
          <w:szCs w:val="24"/>
        </w:rPr>
        <w:t>maternal mRNAs</w:t>
      </w:r>
      <w:r w:rsidRPr="00294D6B">
        <w:rPr>
          <w:rFonts w:asciiTheme="majorBidi" w:hAnsiTheme="majorBidi" w:cstheme="majorBidi"/>
          <w:sz w:val="28"/>
          <w:szCs w:val="28"/>
        </w:rPr>
        <w:t xml:space="preserve"> </w:t>
      </w:r>
      <w:r>
        <w:rPr>
          <w:rFonts w:asciiTheme="majorBidi" w:hAnsiTheme="majorBidi" w:cstheme="majorBidi"/>
          <w:sz w:val="24"/>
          <w:szCs w:val="24"/>
        </w:rPr>
        <w:t>are</w:t>
      </w:r>
      <w:r w:rsidRPr="00BF0BB5">
        <w:rPr>
          <w:rFonts w:asciiTheme="majorBidi" w:hAnsiTheme="majorBidi" w:cstheme="majorBidi"/>
          <w:sz w:val="24"/>
          <w:szCs w:val="24"/>
        </w:rPr>
        <w:t xml:space="preserve"> cleared by post-transcriptional mechanisms.</w:t>
      </w:r>
    </w:p>
    <w:p w14:paraId="27A17B55" w14:textId="77777777" w:rsidR="00031E5E" w:rsidRDefault="00480CFA" w:rsidP="002E6540">
      <w:pPr>
        <w:bidi w:val="0"/>
        <w:spacing w:line="360" w:lineRule="auto"/>
        <w:rPr>
          <w:rFonts w:asciiTheme="majorBidi" w:hAnsiTheme="majorBidi" w:cstheme="majorBidi"/>
          <w:sz w:val="24"/>
          <w:szCs w:val="24"/>
        </w:rPr>
      </w:pPr>
      <w:r>
        <w:rPr>
          <w:rFonts w:asciiTheme="majorBidi" w:hAnsiTheme="majorBidi" w:cstheme="majorBidi"/>
          <w:sz w:val="24"/>
          <w:szCs w:val="24"/>
        </w:rPr>
        <w:t>The post-transcriptional fate of the mRNA molecules is affected by both cis-acting elements and trans regulators such as RNA binding proteins</w:t>
      </w:r>
      <w:r>
        <w:rPr>
          <w:rStyle w:val="EndnoteReference"/>
          <w:rFonts w:asciiTheme="majorBidi" w:hAnsiTheme="majorBidi" w:cstheme="majorBidi"/>
          <w:sz w:val="24"/>
          <w:szCs w:val="24"/>
        </w:rPr>
        <w:endnoteReference w:id="2"/>
      </w:r>
      <w:r>
        <w:rPr>
          <w:rFonts w:asciiTheme="majorBidi" w:hAnsiTheme="majorBidi" w:cstheme="majorBidi"/>
          <w:sz w:val="24"/>
          <w:szCs w:val="24"/>
        </w:rPr>
        <w:t xml:space="preserve"> </w:t>
      </w:r>
      <w:r w:rsidRPr="00480CFA">
        <w:rPr>
          <w:rFonts w:asciiTheme="majorBidi" w:hAnsiTheme="majorBidi" w:cstheme="majorBidi"/>
          <w:sz w:val="24"/>
          <w:szCs w:val="24"/>
        </w:rPr>
        <w:t>and microRNAs</w:t>
      </w:r>
      <w:r>
        <w:rPr>
          <w:rStyle w:val="EndnoteReference"/>
          <w:rFonts w:asciiTheme="majorBidi" w:hAnsiTheme="majorBidi" w:cstheme="majorBidi"/>
          <w:sz w:val="24"/>
          <w:szCs w:val="24"/>
        </w:rPr>
        <w:endnoteReference w:id="3"/>
      </w:r>
      <w:r w:rsidR="001D5E4A">
        <w:rPr>
          <w:rFonts w:asciiTheme="majorBidi" w:hAnsiTheme="majorBidi" w:cstheme="majorBidi"/>
          <w:sz w:val="24"/>
          <w:szCs w:val="24"/>
        </w:rPr>
        <w:t xml:space="preserve">. For example, in zebra fish early development, 3' UTR sequences serve as degradation-inducing sites for the microRNA miR-430. </w:t>
      </w:r>
      <w:r w:rsidR="00483FB7" w:rsidRPr="00483FB7">
        <w:rPr>
          <w:rFonts w:asciiTheme="majorBidi" w:hAnsiTheme="majorBidi" w:cstheme="majorBidi"/>
          <w:sz w:val="24"/>
          <w:szCs w:val="24"/>
        </w:rPr>
        <w:t>The influence of the 3' UTR sequences on the degradation mechanism of mRNA molecules in embryos is well-studied and found to play a significant role in regulating the degradation rate.</w:t>
      </w:r>
    </w:p>
    <w:p w14:paraId="0EF68003" w14:textId="77777777" w:rsidR="00A24EB2" w:rsidRDefault="00172B42" w:rsidP="002E6540">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It is known that also the </w:t>
      </w:r>
      <w:r w:rsidRPr="00BF0BB5">
        <w:rPr>
          <w:rFonts w:asciiTheme="majorBidi" w:hAnsiTheme="majorBidi" w:cstheme="majorBidi"/>
          <w:sz w:val="24"/>
          <w:szCs w:val="24"/>
        </w:rPr>
        <w:t xml:space="preserve">5' </w:t>
      </w:r>
      <w:r>
        <w:rPr>
          <w:rFonts w:asciiTheme="majorBidi" w:hAnsiTheme="majorBidi" w:cstheme="majorBidi"/>
          <w:sz w:val="24"/>
          <w:szCs w:val="24"/>
        </w:rPr>
        <w:t xml:space="preserve">UTR </w:t>
      </w:r>
      <w:r w:rsidRPr="00BF0BB5">
        <w:rPr>
          <w:rFonts w:asciiTheme="majorBidi" w:hAnsiTheme="majorBidi" w:cstheme="majorBidi"/>
          <w:sz w:val="24"/>
          <w:szCs w:val="24"/>
        </w:rPr>
        <w:t>contains many regulatory elements such as upstream ORFs (</w:t>
      </w:r>
      <w:proofErr w:type="spellStart"/>
      <w:r w:rsidRPr="00BF0BB5">
        <w:rPr>
          <w:rFonts w:asciiTheme="majorBidi" w:hAnsiTheme="majorBidi" w:cstheme="majorBidi"/>
          <w:sz w:val="24"/>
          <w:szCs w:val="24"/>
        </w:rPr>
        <w:t>uORFs</w:t>
      </w:r>
      <w:proofErr w:type="spellEnd"/>
      <w:r w:rsidRPr="00BF0BB5">
        <w:rPr>
          <w:rFonts w:asciiTheme="majorBidi" w:hAnsiTheme="majorBidi" w:cstheme="majorBidi"/>
          <w:sz w:val="24"/>
          <w:szCs w:val="24"/>
        </w:rPr>
        <w:t>), internal ribosome entry sites (IRESs), microRNA binding sites</w:t>
      </w:r>
      <w:r>
        <w:rPr>
          <w:rFonts w:asciiTheme="majorBidi" w:hAnsiTheme="majorBidi" w:cstheme="majorBidi"/>
          <w:sz w:val="24"/>
          <w:szCs w:val="24"/>
        </w:rPr>
        <w:t>,</w:t>
      </w:r>
      <w:r w:rsidRPr="00BF0BB5">
        <w:rPr>
          <w:rFonts w:asciiTheme="majorBidi" w:hAnsiTheme="majorBidi" w:cstheme="majorBidi"/>
          <w:sz w:val="24"/>
          <w:szCs w:val="24"/>
        </w:rPr>
        <w:t xml:space="preserve"> and structural components involved in the regulation of mRNA translation initiation</w:t>
      </w:r>
      <w:r>
        <w:rPr>
          <w:rFonts w:asciiTheme="majorBidi" w:hAnsiTheme="majorBidi" w:cstheme="majorBidi"/>
          <w:sz w:val="24"/>
          <w:szCs w:val="24"/>
        </w:rPr>
        <w:t xml:space="preserve"> and</w:t>
      </w:r>
      <w:r w:rsidRPr="00BF0BB5">
        <w:rPr>
          <w:rFonts w:asciiTheme="majorBidi" w:hAnsiTheme="majorBidi" w:cstheme="majorBidi"/>
          <w:sz w:val="24"/>
          <w:szCs w:val="24"/>
        </w:rPr>
        <w:t xml:space="preserve"> pre-mRNA splicing</w:t>
      </w:r>
      <w:r>
        <w:rPr>
          <w:rStyle w:val="EndnoteReference"/>
          <w:rFonts w:asciiTheme="majorBidi" w:hAnsiTheme="majorBidi" w:cstheme="majorBidi"/>
          <w:sz w:val="24"/>
          <w:szCs w:val="24"/>
        </w:rPr>
        <w:endnoteReference w:id="4"/>
      </w:r>
      <w:r w:rsidRPr="00BF0BB5">
        <w:rPr>
          <w:rFonts w:asciiTheme="majorBidi" w:hAnsiTheme="majorBidi" w:cstheme="majorBidi"/>
          <w:sz w:val="24"/>
          <w:szCs w:val="24"/>
        </w:rPr>
        <w:t>.</w:t>
      </w:r>
      <w:r>
        <w:rPr>
          <w:rFonts w:asciiTheme="majorBidi" w:hAnsiTheme="majorBidi" w:cstheme="majorBidi"/>
          <w:sz w:val="24"/>
          <w:szCs w:val="24"/>
        </w:rPr>
        <w:t xml:space="preserve"> In our study, we wanted to examine whether</w:t>
      </w:r>
      <w:r w:rsidRPr="00BF0BB5">
        <w:rPr>
          <w:rFonts w:asciiTheme="majorBidi" w:hAnsiTheme="majorBidi" w:cstheme="majorBidi"/>
          <w:sz w:val="24"/>
          <w:szCs w:val="24"/>
        </w:rPr>
        <w:t xml:space="preserve"> </w:t>
      </w:r>
      <w:r w:rsidR="00CD3C16">
        <w:rPr>
          <w:rFonts w:asciiTheme="majorBidi" w:hAnsiTheme="majorBidi" w:cstheme="majorBidi"/>
          <w:sz w:val="24"/>
          <w:szCs w:val="24"/>
        </w:rPr>
        <w:t>s</w:t>
      </w:r>
      <w:r w:rsidRPr="00BF0BB5">
        <w:rPr>
          <w:rFonts w:asciiTheme="majorBidi" w:hAnsiTheme="majorBidi" w:cstheme="majorBidi"/>
          <w:sz w:val="24"/>
          <w:szCs w:val="24"/>
        </w:rPr>
        <w:t xml:space="preserve">equence elements in the 5' UTR </w:t>
      </w:r>
      <w:r>
        <w:rPr>
          <w:rFonts w:asciiTheme="majorBidi" w:hAnsiTheme="majorBidi" w:cstheme="majorBidi"/>
          <w:sz w:val="24"/>
          <w:szCs w:val="24"/>
        </w:rPr>
        <w:t xml:space="preserve">also </w:t>
      </w:r>
      <w:r w:rsidRPr="00BF0BB5">
        <w:rPr>
          <w:rFonts w:asciiTheme="majorBidi" w:hAnsiTheme="majorBidi" w:cstheme="majorBidi"/>
          <w:sz w:val="24"/>
          <w:szCs w:val="24"/>
        </w:rPr>
        <w:t>affects the stability of the molecule</w:t>
      </w:r>
      <w:r w:rsidR="00CD3C16">
        <w:rPr>
          <w:rFonts w:asciiTheme="majorBidi" w:hAnsiTheme="majorBidi" w:cstheme="majorBidi"/>
          <w:sz w:val="24"/>
          <w:szCs w:val="24"/>
        </w:rPr>
        <w:t xml:space="preserve">, </w:t>
      </w:r>
      <w:r w:rsidRPr="00BF0BB5">
        <w:rPr>
          <w:rFonts w:asciiTheme="majorBidi" w:hAnsiTheme="majorBidi" w:cstheme="majorBidi"/>
          <w:sz w:val="24"/>
          <w:szCs w:val="24"/>
        </w:rPr>
        <w:t xml:space="preserve">which, in turn, influence the mRNA degradation rate. </w:t>
      </w:r>
    </w:p>
    <w:p w14:paraId="1DD643AD" w14:textId="3A6D522E" w:rsidR="00A24EB2" w:rsidRDefault="00A24EB2" w:rsidP="002E6540">
      <w:pPr>
        <w:bidi w:val="0"/>
        <w:spacing w:line="360" w:lineRule="auto"/>
        <w:rPr>
          <w:rFonts w:asciiTheme="majorBidi" w:hAnsiTheme="majorBidi" w:cstheme="majorBidi"/>
          <w:sz w:val="24"/>
          <w:szCs w:val="24"/>
        </w:rPr>
      </w:pPr>
      <w:r w:rsidRPr="00A24EB2">
        <w:rPr>
          <w:rFonts w:asciiTheme="majorBidi" w:hAnsiTheme="majorBidi" w:cstheme="majorBidi"/>
          <w:sz w:val="24"/>
          <w:szCs w:val="24"/>
        </w:rPr>
        <w:t>These kinds of discoveries could improve the efficiency of mRNA vaccines, as it has been shown that increasing the stability of mRNA can enhance the production of the desired protein, thereby improving the human body’s ability to overcome the targeted pathogen</w:t>
      </w:r>
      <w:r>
        <w:rPr>
          <w:rFonts w:asciiTheme="majorBidi" w:hAnsiTheme="majorBidi" w:cstheme="majorBidi"/>
          <w:sz w:val="24"/>
          <w:szCs w:val="24"/>
        </w:rPr>
        <w:t xml:space="preserve"> </w:t>
      </w:r>
      <w:r>
        <w:rPr>
          <w:rStyle w:val="EndnoteReference"/>
          <w:rFonts w:asciiTheme="majorBidi" w:hAnsiTheme="majorBidi" w:cstheme="majorBidi"/>
          <w:sz w:val="24"/>
          <w:szCs w:val="24"/>
        </w:rPr>
        <w:endnoteReference w:id="5"/>
      </w:r>
      <w:r w:rsidRPr="00A24EB2">
        <w:rPr>
          <w:rFonts w:asciiTheme="majorBidi" w:hAnsiTheme="majorBidi" w:cstheme="majorBidi"/>
          <w:sz w:val="24"/>
          <w:szCs w:val="24"/>
        </w:rPr>
        <w:t>.</w:t>
      </w:r>
    </w:p>
    <w:p w14:paraId="1A300D94" w14:textId="22DD3B21" w:rsidR="00E163EF" w:rsidRDefault="00695227" w:rsidP="002E6540">
      <w:pPr>
        <w:bidi w:val="0"/>
        <w:spacing w:after="0" w:line="360" w:lineRule="auto"/>
        <w:rPr>
          <w:rFonts w:asciiTheme="majorBidi" w:hAnsiTheme="majorBidi" w:cstheme="majorBidi"/>
          <w:sz w:val="24"/>
          <w:szCs w:val="24"/>
        </w:rPr>
      </w:pPr>
      <w:r>
        <w:rPr>
          <w:rFonts w:asciiTheme="majorBidi" w:hAnsiTheme="majorBidi" w:cstheme="majorBidi"/>
          <w:sz w:val="24"/>
          <w:szCs w:val="24"/>
        </w:rPr>
        <w:t>Previous s</w:t>
      </w:r>
      <w:r w:rsidR="00A04FB9" w:rsidRPr="00BF0BB5">
        <w:rPr>
          <w:rFonts w:asciiTheme="majorBidi" w:hAnsiTheme="majorBidi" w:cstheme="majorBidi"/>
          <w:sz w:val="24"/>
          <w:szCs w:val="24"/>
        </w:rPr>
        <w:t>tudies measured the mRNA degradation dynamics</w:t>
      </w:r>
      <w:r>
        <w:rPr>
          <w:rFonts w:asciiTheme="majorBidi" w:hAnsiTheme="majorBidi" w:cstheme="majorBidi"/>
          <w:sz w:val="24"/>
          <w:szCs w:val="24"/>
        </w:rPr>
        <w:t>,</w:t>
      </w:r>
      <w:r w:rsidR="00A04FB9" w:rsidRPr="00BF0BB5">
        <w:rPr>
          <w:rFonts w:asciiTheme="majorBidi" w:hAnsiTheme="majorBidi" w:cstheme="majorBidi"/>
          <w:sz w:val="24"/>
          <w:szCs w:val="24"/>
        </w:rPr>
        <w:t xml:space="preserve"> of tens of thousands of 3'-UTR sequences</w:t>
      </w:r>
      <w:r>
        <w:rPr>
          <w:rFonts w:asciiTheme="majorBidi" w:hAnsiTheme="majorBidi" w:cstheme="majorBidi"/>
          <w:sz w:val="24"/>
          <w:szCs w:val="24"/>
        </w:rPr>
        <w:t>,</w:t>
      </w:r>
      <w:r w:rsidR="00A04FB9" w:rsidRPr="00BF0BB5">
        <w:rPr>
          <w:rFonts w:asciiTheme="majorBidi" w:hAnsiTheme="majorBidi" w:cstheme="majorBidi"/>
          <w:sz w:val="24"/>
          <w:szCs w:val="24"/>
        </w:rPr>
        <w:t xml:space="preserve"> using a massively parallel reporter assay</w:t>
      </w:r>
      <w:r w:rsidR="00A04FB9">
        <w:rPr>
          <w:rFonts w:asciiTheme="majorBidi" w:hAnsiTheme="majorBidi" w:cstheme="majorBidi"/>
          <w:sz w:val="24"/>
          <w:szCs w:val="24"/>
        </w:rPr>
        <w:t xml:space="preserve"> </w:t>
      </w:r>
      <w:r w:rsidR="00A04FB9" w:rsidRPr="00185783">
        <w:rPr>
          <w:rFonts w:asciiTheme="majorBidi" w:hAnsiTheme="majorBidi" w:cstheme="majorBidi"/>
          <w:sz w:val="24"/>
          <w:szCs w:val="24"/>
        </w:rPr>
        <w:t>during the maternal-to-zygotic</w:t>
      </w:r>
      <w:r w:rsidR="00A04FB9">
        <w:rPr>
          <w:rFonts w:asciiTheme="majorBidi" w:hAnsiTheme="majorBidi" w:cstheme="majorBidi"/>
          <w:sz w:val="24"/>
          <w:szCs w:val="24"/>
        </w:rPr>
        <w:t xml:space="preserve"> </w:t>
      </w:r>
      <w:r w:rsidR="00A04FB9" w:rsidRPr="00185783">
        <w:rPr>
          <w:rFonts w:asciiTheme="majorBidi" w:hAnsiTheme="majorBidi" w:cstheme="majorBidi"/>
          <w:sz w:val="24"/>
          <w:szCs w:val="24"/>
        </w:rPr>
        <w:t>transition in zebrafish embryos.</w:t>
      </w:r>
      <w:r w:rsidR="00A04FB9">
        <w:rPr>
          <w:rFonts w:asciiTheme="majorBidi" w:hAnsiTheme="majorBidi" w:cstheme="majorBidi"/>
        </w:rPr>
        <w:t xml:space="preserve"> This </w:t>
      </w:r>
      <w:r w:rsidR="00A04FB9">
        <w:rPr>
          <w:rFonts w:asciiTheme="majorBidi" w:hAnsiTheme="majorBidi" w:cstheme="majorBidi"/>
          <w:sz w:val="24"/>
          <w:szCs w:val="24"/>
        </w:rPr>
        <w:t xml:space="preserve">data was then </w:t>
      </w:r>
      <w:r w:rsidR="00A04FB9" w:rsidRPr="00BF0BB5">
        <w:rPr>
          <w:rFonts w:asciiTheme="majorBidi" w:hAnsiTheme="majorBidi" w:cstheme="majorBidi"/>
          <w:sz w:val="24"/>
          <w:szCs w:val="24"/>
        </w:rPr>
        <w:t xml:space="preserve">used </w:t>
      </w:r>
      <w:r w:rsidR="00A04FB9">
        <w:rPr>
          <w:rFonts w:asciiTheme="majorBidi" w:hAnsiTheme="majorBidi" w:cstheme="majorBidi"/>
          <w:sz w:val="24"/>
          <w:szCs w:val="24"/>
        </w:rPr>
        <w:t xml:space="preserve">to train artificial intelligent and deep learning models </w:t>
      </w:r>
      <w:r w:rsidR="00A04FB9" w:rsidRPr="00BF0BB5">
        <w:rPr>
          <w:rFonts w:asciiTheme="majorBidi" w:hAnsiTheme="majorBidi" w:cstheme="majorBidi"/>
          <w:sz w:val="24"/>
          <w:szCs w:val="24"/>
        </w:rPr>
        <w:t>to predict and learn how the 3' UTR's sequence affect the degradation rate</w:t>
      </w:r>
      <w:bookmarkStart w:id="0" w:name="_Hlk175654672"/>
      <w:r w:rsidR="00A04FB9">
        <w:rPr>
          <w:rStyle w:val="EndnoteReference"/>
          <w:rFonts w:asciiTheme="majorBidi" w:hAnsiTheme="majorBidi" w:cstheme="majorBidi"/>
          <w:sz w:val="24"/>
          <w:szCs w:val="24"/>
        </w:rPr>
        <w:endnoteReference w:id="6"/>
      </w:r>
      <w:bookmarkEnd w:id="0"/>
      <w:r w:rsidR="00031E5E">
        <w:rPr>
          <w:rFonts w:asciiTheme="majorBidi" w:hAnsiTheme="majorBidi" w:cstheme="majorBidi"/>
          <w:sz w:val="24"/>
          <w:szCs w:val="24"/>
        </w:rPr>
        <w:t xml:space="preserve"> </w:t>
      </w:r>
      <w:r w:rsidR="00031E5E">
        <w:rPr>
          <w:rStyle w:val="EndnoteReference"/>
          <w:rFonts w:asciiTheme="majorBidi" w:hAnsiTheme="majorBidi" w:cstheme="majorBidi"/>
          <w:sz w:val="24"/>
          <w:szCs w:val="24"/>
        </w:rPr>
        <w:endnoteReference w:id="7"/>
      </w:r>
      <w:r w:rsidR="00A04FB9">
        <w:rPr>
          <w:rFonts w:asciiTheme="majorBidi" w:hAnsiTheme="majorBidi" w:cstheme="majorBidi"/>
          <w:sz w:val="24"/>
          <w:szCs w:val="24"/>
        </w:rPr>
        <w:t>.</w:t>
      </w:r>
      <w:r w:rsidR="00172B42">
        <w:rPr>
          <w:rFonts w:asciiTheme="majorBidi" w:hAnsiTheme="majorBidi" w:cstheme="majorBidi"/>
          <w:sz w:val="24"/>
          <w:szCs w:val="24"/>
        </w:rPr>
        <w:t xml:space="preserve"> </w:t>
      </w:r>
      <w:r w:rsidR="00A04FB9">
        <w:rPr>
          <w:rFonts w:asciiTheme="majorBidi" w:hAnsiTheme="majorBidi" w:cstheme="majorBidi"/>
          <w:sz w:val="24"/>
          <w:szCs w:val="24"/>
        </w:rPr>
        <w:t xml:space="preserve">In this project, as mentioned above, we are interested in </w:t>
      </w:r>
      <w:r w:rsidR="00A04FB9">
        <w:rPr>
          <w:rFonts w:asciiTheme="majorBidi" w:hAnsiTheme="majorBidi" w:cstheme="majorBidi"/>
          <w:sz w:val="24"/>
          <w:szCs w:val="24"/>
        </w:rPr>
        <w:lastRenderedPageBreak/>
        <w:t>applying the same methodology to the 5' UTR</w:t>
      </w:r>
      <w:r w:rsidR="00CF6DC5">
        <w:rPr>
          <w:rFonts w:asciiTheme="majorBidi" w:hAnsiTheme="majorBidi" w:cstheme="majorBidi"/>
          <w:sz w:val="24"/>
          <w:szCs w:val="24"/>
        </w:rPr>
        <w:t xml:space="preserve">, to identify </w:t>
      </w:r>
      <w:r w:rsidR="00CF6DC5" w:rsidRPr="00BF0BB5">
        <w:rPr>
          <w:rFonts w:asciiTheme="majorBidi" w:hAnsiTheme="majorBidi" w:cstheme="majorBidi"/>
          <w:sz w:val="24"/>
          <w:szCs w:val="24"/>
        </w:rPr>
        <w:t xml:space="preserve">regulatory </w:t>
      </w:r>
      <w:r w:rsidR="00CF6DC5">
        <w:rPr>
          <w:rFonts w:asciiTheme="majorBidi" w:hAnsiTheme="majorBidi" w:cstheme="majorBidi"/>
          <w:sz w:val="24"/>
          <w:szCs w:val="24"/>
        </w:rPr>
        <w:t>sequence elements</w:t>
      </w:r>
      <w:r w:rsidR="00CF6DC5" w:rsidRPr="00BF0BB5">
        <w:rPr>
          <w:rFonts w:asciiTheme="majorBidi" w:hAnsiTheme="majorBidi" w:cstheme="majorBidi"/>
          <w:sz w:val="24"/>
          <w:szCs w:val="24"/>
        </w:rPr>
        <w:t xml:space="preserve"> in the 5' UTR of m</w:t>
      </w:r>
      <w:r w:rsidR="00CF6DC5">
        <w:rPr>
          <w:rFonts w:asciiTheme="majorBidi" w:hAnsiTheme="majorBidi" w:cstheme="majorBidi"/>
          <w:sz w:val="24"/>
          <w:szCs w:val="24"/>
        </w:rPr>
        <w:t>R</w:t>
      </w:r>
      <w:r w:rsidR="00CF6DC5" w:rsidRPr="00BF0BB5">
        <w:rPr>
          <w:rFonts w:asciiTheme="majorBidi" w:hAnsiTheme="majorBidi" w:cstheme="majorBidi"/>
          <w:sz w:val="24"/>
          <w:szCs w:val="24"/>
        </w:rPr>
        <w:t>NA</w:t>
      </w:r>
      <w:r w:rsidR="00CF6DC5">
        <w:rPr>
          <w:rFonts w:asciiTheme="majorBidi" w:hAnsiTheme="majorBidi" w:cstheme="majorBidi"/>
          <w:sz w:val="24"/>
          <w:szCs w:val="24"/>
        </w:rPr>
        <w:t xml:space="preserve">s that </w:t>
      </w:r>
      <w:r w:rsidR="00CF6DC5" w:rsidRPr="00BF0BB5">
        <w:rPr>
          <w:rFonts w:asciiTheme="majorBidi" w:hAnsiTheme="majorBidi" w:cstheme="majorBidi"/>
          <w:sz w:val="24"/>
          <w:szCs w:val="24"/>
        </w:rPr>
        <w:t>affect the degradation rate of the molecule in the cell</w:t>
      </w:r>
      <w:r w:rsidR="00CF6DC5">
        <w:rPr>
          <w:rFonts w:asciiTheme="majorBidi" w:hAnsiTheme="majorBidi" w:cstheme="majorBidi"/>
          <w:sz w:val="24"/>
          <w:szCs w:val="24"/>
        </w:rPr>
        <w:t>.</w:t>
      </w:r>
      <w:r w:rsidR="00E163EF">
        <w:rPr>
          <w:rFonts w:asciiTheme="majorBidi" w:hAnsiTheme="majorBidi" w:cstheme="majorBidi"/>
          <w:sz w:val="24"/>
          <w:szCs w:val="24"/>
        </w:rPr>
        <w:t xml:space="preserve"> </w:t>
      </w:r>
    </w:p>
    <w:p w14:paraId="5F7859D5" w14:textId="1C32227A" w:rsidR="00E163EF" w:rsidRDefault="00E163EF" w:rsidP="002E6540">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Our data was collected using </w:t>
      </w:r>
      <w:r w:rsidRPr="00EF4DBB">
        <w:rPr>
          <w:rFonts w:asciiTheme="majorBidi" w:hAnsiTheme="majorBidi" w:cstheme="majorBidi"/>
          <w:sz w:val="24"/>
          <w:szCs w:val="24"/>
        </w:rPr>
        <w:t xml:space="preserve">UTR-seq </w:t>
      </w:r>
      <w:r>
        <w:rPr>
          <w:rFonts w:asciiTheme="majorBidi" w:hAnsiTheme="majorBidi" w:cstheme="majorBidi"/>
          <w:sz w:val="24"/>
          <w:szCs w:val="24"/>
        </w:rPr>
        <w:t xml:space="preserve">which </w:t>
      </w:r>
      <w:r w:rsidRPr="00EF4DBB">
        <w:rPr>
          <w:rFonts w:asciiTheme="majorBidi" w:hAnsiTheme="majorBidi" w:cstheme="majorBidi"/>
          <w:sz w:val="24"/>
          <w:szCs w:val="24"/>
        </w:rPr>
        <w:t>is a massively parallel reporter assay to measure RNA degradation</w:t>
      </w:r>
      <w:r>
        <w:rPr>
          <w:rFonts w:asciiTheme="majorBidi" w:hAnsiTheme="majorBidi" w:cstheme="majorBidi"/>
          <w:sz w:val="24"/>
          <w:szCs w:val="24"/>
        </w:rPr>
        <w:t>.</w:t>
      </w:r>
      <w:r w:rsidRPr="00EF4DBB">
        <w:rPr>
          <w:rFonts w:asciiTheme="majorBidi" w:hAnsiTheme="majorBidi" w:cstheme="majorBidi"/>
          <w:sz w:val="24"/>
          <w:szCs w:val="24"/>
        </w:rPr>
        <w:t xml:space="preserve"> The report</w:t>
      </w:r>
      <w:r>
        <w:rPr>
          <w:rFonts w:asciiTheme="majorBidi" w:hAnsiTheme="majorBidi" w:cstheme="majorBidi"/>
          <w:sz w:val="24"/>
          <w:szCs w:val="24"/>
        </w:rPr>
        <w:t>er</w:t>
      </w:r>
      <w:r w:rsidRPr="00EF4DBB">
        <w:rPr>
          <w:rFonts w:asciiTheme="majorBidi" w:hAnsiTheme="majorBidi" w:cstheme="majorBidi"/>
          <w:sz w:val="24"/>
          <w:szCs w:val="24"/>
        </w:rPr>
        <w:t xml:space="preserve"> library contains </w:t>
      </w:r>
      <w:r>
        <w:rPr>
          <w:rFonts w:asciiTheme="majorBidi" w:hAnsiTheme="majorBidi" w:cstheme="majorBidi"/>
          <w:sz w:val="24"/>
          <w:szCs w:val="24"/>
        </w:rPr>
        <w:t>3</w:t>
      </w:r>
      <w:r w:rsidRPr="00EF4DBB">
        <w:rPr>
          <w:rFonts w:asciiTheme="majorBidi" w:hAnsiTheme="majorBidi" w:cstheme="majorBidi"/>
          <w:sz w:val="24"/>
          <w:szCs w:val="24"/>
        </w:rPr>
        <w:t>0</w:t>
      </w:r>
      <w:r>
        <w:rPr>
          <w:rFonts w:asciiTheme="majorBidi" w:hAnsiTheme="majorBidi" w:cstheme="majorBidi"/>
          <w:sz w:val="24"/>
          <w:szCs w:val="24"/>
        </w:rPr>
        <w:t>,</w:t>
      </w:r>
      <w:r w:rsidRPr="00EF4DBB">
        <w:rPr>
          <w:rFonts w:asciiTheme="majorBidi" w:hAnsiTheme="majorBidi" w:cstheme="majorBidi"/>
          <w:sz w:val="24"/>
          <w:szCs w:val="24"/>
        </w:rPr>
        <w:t>000 designed 110-nt long sequences. Two mRNA reporter libraries were generated with different poly(A) tail lengths: pre-adenylated reporters</w:t>
      </w:r>
      <w:r>
        <w:rPr>
          <w:rFonts w:asciiTheme="majorBidi" w:hAnsiTheme="majorBidi" w:cstheme="majorBidi"/>
          <w:sz w:val="24"/>
          <w:szCs w:val="24"/>
        </w:rPr>
        <w:t xml:space="preserve"> (</w:t>
      </w:r>
      <w:r w:rsidRPr="00EF4DBB">
        <w:rPr>
          <w:rFonts w:asciiTheme="majorBidi" w:hAnsiTheme="majorBidi" w:cstheme="majorBidi"/>
          <w:sz w:val="24"/>
          <w:szCs w:val="24"/>
        </w:rPr>
        <w:t>A+</w:t>
      </w:r>
      <w:r>
        <w:rPr>
          <w:rFonts w:asciiTheme="majorBidi" w:hAnsiTheme="majorBidi" w:cstheme="majorBidi"/>
          <w:sz w:val="24"/>
          <w:szCs w:val="24"/>
        </w:rPr>
        <w:t>)</w:t>
      </w:r>
      <w:r w:rsidRPr="00EF4DBB">
        <w:rPr>
          <w:rFonts w:asciiTheme="majorBidi" w:hAnsiTheme="majorBidi" w:cstheme="majorBidi"/>
          <w:sz w:val="24"/>
          <w:szCs w:val="24"/>
        </w:rPr>
        <w:t xml:space="preserve">, which were transcribed with a </w:t>
      </w:r>
      <w:r>
        <w:rPr>
          <w:rFonts w:asciiTheme="majorBidi" w:hAnsiTheme="majorBidi" w:cstheme="majorBidi"/>
          <w:sz w:val="24"/>
          <w:szCs w:val="24"/>
        </w:rPr>
        <w:t>40</w:t>
      </w:r>
      <w:r w:rsidRPr="00EF4DBB">
        <w:rPr>
          <w:rFonts w:asciiTheme="majorBidi" w:hAnsiTheme="majorBidi" w:cstheme="majorBidi"/>
          <w:sz w:val="24"/>
          <w:szCs w:val="24"/>
        </w:rPr>
        <w:t xml:space="preserve">-nt long poly(A), and </w:t>
      </w:r>
      <w:proofErr w:type="spellStart"/>
      <w:r w:rsidRPr="00EF4DBB">
        <w:rPr>
          <w:rFonts w:asciiTheme="majorBidi" w:hAnsiTheme="majorBidi" w:cstheme="majorBidi"/>
          <w:sz w:val="24"/>
          <w:szCs w:val="24"/>
        </w:rPr>
        <w:t>nonadenylated</w:t>
      </w:r>
      <w:proofErr w:type="spellEnd"/>
      <w:r>
        <w:rPr>
          <w:rFonts w:asciiTheme="majorBidi" w:hAnsiTheme="majorBidi" w:cstheme="majorBidi"/>
          <w:sz w:val="24"/>
          <w:szCs w:val="24"/>
        </w:rPr>
        <w:t xml:space="preserve"> </w:t>
      </w:r>
      <w:r w:rsidRPr="00EF4DBB">
        <w:rPr>
          <w:rFonts w:asciiTheme="majorBidi" w:hAnsiTheme="majorBidi" w:cstheme="majorBidi"/>
          <w:sz w:val="24"/>
          <w:szCs w:val="24"/>
        </w:rPr>
        <w:t xml:space="preserve">reporters </w:t>
      </w:r>
      <w:r>
        <w:rPr>
          <w:rFonts w:asciiTheme="majorBidi" w:hAnsiTheme="majorBidi" w:cstheme="majorBidi"/>
          <w:sz w:val="24"/>
          <w:szCs w:val="24"/>
        </w:rPr>
        <w:t>(A</w:t>
      </w:r>
      <w:r w:rsidRPr="00EF4DBB">
        <w:rPr>
          <w:rFonts w:asciiTheme="majorBidi" w:hAnsiTheme="majorBidi" w:cstheme="majorBidi"/>
          <w:sz w:val="24"/>
          <w:szCs w:val="24"/>
        </w:rPr>
        <w:t>–</w:t>
      </w:r>
      <w:r>
        <w:rPr>
          <w:rFonts w:asciiTheme="majorBidi" w:hAnsiTheme="majorBidi" w:cstheme="majorBidi"/>
          <w:sz w:val="24"/>
          <w:szCs w:val="24"/>
        </w:rPr>
        <w:t>)</w:t>
      </w:r>
      <w:r w:rsidRPr="00EF4DBB">
        <w:rPr>
          <w:rFonts w:asciiTheme="majorBidi" w:hAnsiTheme="majorBidi" w:cstheme="majorBidi"/>
          <w:sz w:val="24"/>
          <w:szCs w:val="24"/>
        </w:rPr>
        <w:t xml:space="preserve"> without a poly(A) at the end of their </w:t>
      </w:r>
      <w:r>
        <w:rPr>
          <w:rFonts w:asciiTheme="majorBidi" w:hAnsiTheme="majorBidi" w:cstheme="majorBidi"/>
          <w:sz w:val="24"/>
          <w:szCs w:val="24"/>
        </w:rPr>
        <w:t>3</w:t>
      </w:r>
      <w:r w:rsidRPr="00EF4DBB">
        <w:rPr>
          <w:rFonts w:asciiTheme="majorBidi" w:hAnsiTheme="majorBidi" w:cstheme="majorBidi"/>
          <w:sz w:val="24"/>
          <w:szCs w:val="24"/>
        </w:rPr>
        <w:t>′-UTR. The two mRNA reporter libraries were injected into one-cell zebrafish embryos, and the mRNA levels were measured in nine time points: 1-</w:t>
      </w:r>
      <w:r>
        <w:rPr>
          <w:rFonts w:asciiTheme="majorBidi" w:hAnsiTheme="majorBidi" w:cstheme="majorBidi"/>
          <w:sz w:val="24"/>
          <w:szCs w:val="24"/>
        </w:rPr>
        <w:t>h</w:t>
      </w:r>
      <w:r w:rsidRPr="00EF4DBB">
        <w:rPr>
          <w:rFonts w:asciiTheme="majorBidi" w:hAnsiTheme="majorBidi" w:cstheme="majorBidi"/>
          <w:sz w:val="24"/>
          <w:szCs w:val="24"/>
        </w:rPr>
        <w:t xml:space="preserve"> to 8-h post-fertilization (</w:t>
      </w:r>
      <w:proofErr w:type="spellStart"/>
      <w:r w:rsidRPr="00EF4DBB">
        <w:rPr>
          <w:rFonts w:asciiTheme="majorBidi" w:hAnsiTheme="majorBidi" w:cstheme="majorBidi"/>
          <w:sz w:val="24"/>
          <w:szCs w:val="24"/>
        </w:rPr>
        <w:t>hpf</w:t>
      </w:r>
      <w:proofErr w:type="spellEnd"/>
      <w:r w:rsidRPr="00EF4DBB">
        <w:rPr>
          <w:rFonts w:asciiTheme="majorBidi" w:hAnsiTheme="majorBidi" w:cstheme="majorBidi"/>
          <w:sz w:val="24"/>
          <w:szCs w:val="24"/>
        </w:rPr>
        <w:t xml:space="preserve">). Therefore, the dataset contains </w:t>
      </w:r>
      <w:r>
        <w:rPr>
          <w:rFonts w:asciiTheme="majorBidi" w:hAnsiTheme="majorBidi" w:cstheme="majorBidi"/>
          <w:sz w:val="24"/>
          <w:szCs w:val="24"/>
        </w:rPr>
        <w:t>3</w:t>
      </w:r>
      <w:r w:rsidRPr="00EF4DBB">
        <w:rPr>
          <w:rFonts w:asciiTheme="majorBidi" w:hAnsiTheme="majorBidi" w:cstheme="majorBidi"/>
          <w:sz w:val="24"/>
          <w:szCs w:val="24"/>
        </w:rPr>
        <w:t>0</w:t>
      </w:r>
      <w:r>
        <w:rPr>
          <w:rFonts w:asciiTheme="majorBidi" w:hAnsiTheme="majorBidi" w:cstheme="majorBidi"/>
          <w:sz w:val="24"/>
          <w:szCs w:val="24"/>
        </w:rPr>
        <w:t>,</w:t>
      </w:r>
      <w:r w:rsidRPr="00EF4DBB">
        <w:rPr>
          <w:rFonts w:asciiTheme="majorBidi" w:hAnsiTheme="majorBidi" w:cstheme="majorBidi"/>
          <w:sz w:val="24"/>
          <w:szCs w:val="24"/>
        </w:rPr>
        <w:t xml:space="preserve">000 sequences, and for each sequence, </w:t>
      </w:r>
      <w:r>
        <w:rPr>
          <w:rFonts w:asciiTheme="majorBidi" w:hAnsiTheme="majorBidi" w:cstheme="majorBidi"/>
          <w:sz w:val="24"/>
          <w:szCs w:val="24"/>
        </w:rPr>
        <w:t>eight</w:t>
      </w:r>
      <w:r w:rsidRPr="00EF4DBB">
        <w:rPr>
          <w:rFonts w:asciiTheme="majorBidi" w:hAnsiTheme="majorBidi" w:cstheme="majorBidi"/>
          <w:sz w:val="24"/>
          <w:szCs w:val="24"/>
        </w:rPr>
        <w:t xml:space="preserve"> measured mRNA levels, both for A– and A+. Each </w:t>
      </w:r>
      <w:r w:rsidRPr="009467F5">
        <w:rPr>
          <w:rFonts w:asciiTheme="majorBidi" w:hAnsiTheme="majorBidi" w:cstheme="majorBidi"/>
          <w:sz w:val="24"/>
          <w:szCs w:val="24"/>
        </w:rPr>
        <w:t>sequence</w:t>
      </w:r>
      <w:r>
        <w:rPr>
          <w:rFonts w:asciiTheme="majorBidi" w:hAnsiTheme="majorBidi" w:cstheme="majorBidi"/>
          <w:sz w:val="24"/>
          <w:szCs w:val="24"/>
        </w:rPr>
        <w:t xml:space="preserve"> </w:t>
      </w:r>
      <w:r w:rsidRPr="00EF4DBB">
        <w:rPr>
          <w:rFonts w:asciiTheme="majorBidi" w:hAnsiTheme="majorBidi" w:cstheme="majorBidi"/>
          <w:sz w:val="24"/>
          <w:szCs w:val="24"/>
        </w:rPr>
        <w:t>in the UTR-seq dataset has a read count (Unique Molecular Identifier count),</w:t>
      </w:r>
      <w:r>
        <w:rPr>
          <w:rFonts w:asciiTheme="majorBidi" w:hAnsiTheme="majorBidi" w:cstheme="majorBidi"/>
          <w:sz w:val="24"/>
          <w:szCs w:val="24"/>
        </w:rPr>
        <w:t xml:space="preserve"> </w:t>
      </w:r>
      <w:r w:rsidRPr="009467F5">
        <w:rPr>
          <w:rFonts w:asciiTheme="majorBidi" w:hAnsiTheme="majorBidi" w:cstheme="majorBidi"/>
          <w:sz w:val="24"/>
          <w:szCs w:val="24"/>
        </w:rPr>
        <w:t>by RNA-Seq of the library.</w:t>
      </w:r>
      <w:r>
        <w:rPr>
          <w:rFonts w:asciiTheme="majorBidi" w:hAnsiTheme="majorBidi" w:cstheme="majorBidi"/>
          <w:sz w:val="24"/>
          <w:szCs w:val="24"/>
        </w:rPr>
        <w:t xml:space="preserve"> Counts are </w:t>
      </w:r>
      <w:r w:rsidRPr="00EF4DBB">
        <w:rPr>
          <w:rFonts w:asciiTheme="majorBidi" w:hAnsiTheme="majorBidi" w:cstheme="majorBidi"/>
          <w:sz w:val="24"/>
          <w:szCs w:val="24"/>
        </w:rPr>
        <w:t xml:space="preserve">converted into an mRNA level in logarithmic scale </w:t>
      </w:r>
      <w:r>
        <w:rPr>
          <w:rFonts w:asciiTheme="majorBidi" w:hAnsiTheme="majorBidi" w:cstheme="majorBidi"/>
          <w:sz w:val="24"/>
          <w:szCs w:val="24"/>
        </w:rPr>
        <w:t>by</w:t>
      </w:r>
      <w:r w:rsidRPr="00EF4DBB">
        <w:rPr>
          <w:rFonts w:asciiTheme="majorBidi" w:hAnsiTheme="majorBidi" w:cstheme="majorBidi"/>
          <w:sz w:val="24"/>
          <w:szCs w:val="24"/>
        </w:rPr>
        <w:t xml:space="preserve"> normalization </w:t>
      </w:r>
      <w:r>
        <w:rPr>
          <w:rFonts w:asciiTheme="majorBidi" w:hAnsiTheme="majorBidi" w:cstheme="majorBidi"/>
          <w:sz w:val="24"/>
          <w:szCs w:val="24"/>
        </w:rPr>
        <w:t>with spike-ins</w:t>
      </w:r>
      <w:r w:rsidRPr="00EF4DBB">
        <w:rPr>
          <w:rFonts w:asciiTheme="majorBidi" w:hAnsiTheme="majorBidi" w:cstheme="majorBidi"/>
          <w:sz w:val="24"/>
          <w:szCs w:val="24"/>
        </w:rPr>
        <w:t>.</w:t>
      </w:r>
    </w:p>
    <w:p w14:paraId="5709759B" w14:textId="14AA639B" w:rsidR="00852899" w:rsidRDefault="00852899" w:rsidP="00852899">
      <w:pPr>
        <w:bidi w:val="0"/>
        <w:spacing w:line="360" w:lineRule="auto"/>
        <w:rPr>
          <w:rFonts w:asciiTheme="majorBidi" w:hAnsiTheme="majorBidi" w:cstheme="majorBidi"/>
          <w:sz w:val="24"/>
          <w:szCs w:val="24"/>
        </w:rPr>
      </w:pPr>
      <w:r w:rsidRPr="00852899">
        <w:rPr>
          <w:rFonts w:asciiTheme="majorBidi" w:hAnsiTheme="majorBidi" w:cstheme="majorBidi"/>
          <w:sz w:val="24"/>
          <w:szCs w:val="24"/>
        </w:rPr>
        <w:drawing>
          <wp:inline distT="0" distB="0" distL="0" distR="0" wp14:anchorId="67BBEB87" wp14:editId="5FE3E4AA">
            <wp:extent cx="5274310" cy="1068070"/>
            <wp:effectExtent l="0" t="0" r="2540" b="0"/>
            <wp:docPr id="1754405348" name="Picture 1" descr="A different types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5348" name="Picture 1" descr="A different types of symbols&#10;&#10;Description automatically generated with medium confidence"/>
                    <pic:cNvPicPr/>
                  </pic:nvPicPr>
                  <pic:blipFill>
                    <a:blip r:embed="rId7"/>
                    <a:stretch>
                      <a:fillRect/>
                    </a:stretch>
                  </pic:blipFill>
                  <pic:spPr>
                    <a:xfrm>
                      <a:off x="0" y="0"/>
                      <a:ext cx="5274310" cy="1068070"/>
                    </a:xfrm>
                    <a:prstGeom prst="rect">
                      <a:avLst/>
                    </a:prstGeom>
                  </pic:spPr>
                </pic:pic>
              </a:graphicData>
            </a:graphic>
          </wp:inline>
        </w:drawing>
      </w:r>
    </w:p>
    <w:p w14:paraId="6F24591A" w14:textId="155036DB" w:rsidR="009357DD" w:rsidRDefault="00031E5E" w:rsidP="002E6540">
      <w:pPr>
        <w:bidi w:val="0"/>
        <w:spacing w:after="0" w:line="360" w:lineRule="auto"/>
        <w:rPr>
          <w:rFonts w:asciiTheme="majorBidi" w:hAnsiTheme="majorBidi" w:cstheme="majorBidi"/>
          <w:sz w:val="24"/>
          <w:szCs w:val="24"/>
        </w:rPr>
      </w:pPr>
      <w:r>
        <w:rPr>
          <w:rFonts w:asciiTheme="majorBidi" w:hAnsiTheme="majorBidi" w:cstheme="majorBidi"/>
          <w:sz w:val="24"/>
          <w:szCs w:val="24"/>
        </w:rPr>
        <w:t xml:space="preserve"> After gathering the data, we applied computational methods such as linear regression models and deep learning networks to study sequence patterns in the 5' UTR that regulate the stability of the molecules during the Maternal-To-Zygotic transition in zebrafish. </w:t>
      </w:r>
      <w:r w:rsidR="00BD314C" w:rsidRPr="00BD314C">
        <w:rPr>
          <w:rFonts w:asciiTheme="majorBidi" w:hAnsiTheme="majorBidi" w:cstheme="majorBidi"/>
          <w:sz w:val="24"/>
          <w:szCs w:val="24"/>
        </w:rPr>
        <w:t>The</w:t>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massive degradation of</w:t>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maternal</w:t>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mRNAs is a key regulatory</w:t>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event in early embryos</w:t>
      </w:r>
      <w:r w:rsidR="00BD314C">
        <w:rPr>
          <w:rStyle w:val="EndnoteReference"/>
          <w:rFonts w:asciiTheme="majorBidi" w:hAnsiTheme="majorBidi" w:cstheme="majorBidi"/>
          <w:sz w:val="24"/>
          <w:szCs w:val="24"/>
        </w:rPr>
        <w:endnoteReference w:id="8"/>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and</w:t>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a powerful system</w:t>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to study</w:t>
      </w:r>
      <w:r w:rsidR="00BD314C">
        <w:rPr>
          <w:rFonts w:asciiTheme="majorBidi" w:hAnsiTheme="majorBidi" w:cstheme="majorBidi"/>
          <w:sz w:val="24"/>
          <w:szCs w:val="24"/>
        </w:rPr>
        <w:t xml:space="preserve"> </w:t>
      </w:r>
      <w:r w:rsidR="00BD314C" w:rsidRPr="00BD314C">
        <w:rPr>
          <w:rFonts w:asciiTheme="majorBidi" w:hAnsiTheme="majorBidi" w:cstheme="majorBidi"/>
          <w:sz w:val="24"/>
          <w:szCs w:val="24"/>
        </w:rPr>
        <w:t>mRNA dynamics in the absence of de</w:t>
      </w:r>
      <w:r w:rsidR="00695227">
        <w:rPr>
          <w:rFonts w:asciiTheme="majorBidi" w:hAnsiTheme="majorBidi" w:cstheme="majorBidi"/>
          <w:sz w:val="24"/>
          <w:szCs w:val="24"/>
        </w:rPr>
        <w:t>-</w:t>
      </w:r>
      <w:r w:rsidR="00BD314C" w:rsidRPr="00BD314C">
        <w:rPr>
          <w:rFonts w:asciiTheme="majorBidi" w:hAnsiTheme="majorBidi" w:cstheme="majorBidi"/>
          <w:sz w:val="24"/>
          <w:szCs w:val="24"/>
        </w:rPr>
        <w:t>novo transcription.</w:t>
      </w:r>
      <w:r w:rsidR="009357DD">
        <w:rPr>
          <w:rFonts w:asciiTheme="majorBidi" w:hAnsiTheme="majorBidi" w:cstheme="majorBidi"/>
          <w:sz w:val="24"/>
          <w:szCs w:val="24"/>
        </w:rPr>
        <w:t xml:space="preserve"> </w:t>
      </w:r>
    </w:p>
    <w:p w14:paraId="4AA10C2A" w14:textId="7DA8084A" w:rsidR="00480CFA" w:rsidRDefault="000E183E" w:rsidP="002E6540">
      <w:pPr>
        <w:bidi w:val="0"/>
        <w:spacing w:line="360" w:lineRule="auto"/>
        <w:rPr>
          <w:sz w:val="24"/>
          <w:szCs w:val="24"/>
        </w:rPr>
      </w:pPr>
      <w:r w:rsidRPr="000E183E">
        <w:rPr>
          <w:rFonts w:asciiTheme="majorBidi" w:hAnsiTheme="majorBidi" w:cstheme="majorBidi"/>
          <w:sz w:val="24"/>
          <w:szCs w:val="24"/>
        </w:rPr>
        <w:t>The linear model was used to identify 3 to 7 nucleotide-long subsequences in the 5' UTR that regulate mRNA stability. The subsequence length was limited to 3-7 nucleotides based on the assumption that most RNA-binding protein</w:t>
      </w:r>
      <w:r w:rsidR="00695227">
        <w:rPr>
          <w:rFonts w:asciiTheme="majorBidi" w:hAnsiTheme="majorBidi" w:cstheme="majorBidi"/>
          <w:sz w:val="24"/>
          <w:szCs w:val="24"/>
        </w:rPr>
        <w:t xml:space="preserve"> and micro RNAs binding </w:t>
      </w:r>
      <w:r w:rsidRPr="000E183E">
        <w:rPr>
          <w:rFonts w:asciiTheme="majorBidi" w:hAnsiTheme="majorBidi" w:cstheme="majorBidi"/>
          <w:sz w:val="24"/>
          <w:szCs w:val="24"/>
        </w:rPr>
        <w:t>sites are associated with sequences of th</w:t>
      </w:r>
      <w:r w:rsidR="00695227">
        <w:rPr>
          <w:rFonts w:asciiTheme="majorBidi" w:hAnsiTheme="majorBidi" w:cstheme="majorBidi"/>
          <w:sz w:val="24"/>
          <w:szCs w:val="24"/>
        </w:rPr>
        <w:t>e</w:t>
      </w:r>
      <w:r w:rsidRPr="000E183E">
        <w:rPr>
          <w:rFonts w:asciiTheme="majorBidi" w:hAnsiTheme="majorBidi" w:cstheme="majorBidi"/>
          <w:sz w:val="24"/>
          <w:szCs w:val="24"/>
        </w:rPr>
        <w:t>s</w:t>
      </w:r>
      <w:r w:rsidR="00695227">
        <w:rPr>
          <w:rFonts w:asciiTheme="majorBidi" w:hAnsiTheme="majorBidi" w:cstheme="majorBidi"/>
          <w:sz w:val="24"/>
          <w:szCs w:val="24"/>
        </w:rPr>
        <w:t>e</w:t>
      </w:r>
      <w:r w:rsidRPr="000E183E">
        <w:rPr>
          <w:rFonts w:asciiTheme="majorBidi" w:hAnsiTheme="majorBidi" w:cstheme="majorBidi"/>
          <w:sz w:val="24"/>
          <w:szCs w:val="24"/>
        </w:rPr>
        <w:t xml:space="preserve"> length</w:t>
      </w:r>
      <w:r w:rsidR="00695227">
        <w:rPr>
          <w:rFonts w:asciiTheme="majorBidi" w:hAnsiTheme="majorBidi" w:cstheme="majorBidi"/>
          <w:sz w:val="24"/>
          <w:szCs w:val="24"/>
        </w:rPr>
        <w:t>s</w:t>
      </w:r>
      <w:r w:rsidRPr="000E183E">
        <w:rPr>
          <w:rFonts w:asciiTheme="majorBidi" w:hAnsiTheme="majorBidi" w:cstheme="majorBidi"/>
          <w:sz w:val="24"/>
          <w:szCs w:val="24"/>
        </w:rPr>
        <w:t>.</w:t>
      </w:r>
      <w:r w:rsidR="00695227">
        <w:rPr>
          <w:rFonts w:asciiTheme="majorBidi" w:hAnsiTheme="majorBidi" w:cstheme="majorBidi"/>
          <w:sz w:val="24"/>
          <w:szCs w:val="24"/>
        </w:rPr>
        <w:t xml:space="preserve"> Using this type of module also assume that the presence </w:t>
      </w:r>
      <w:r w:rsidR="002E6540">
        <w:rPr>
          <w:rFonts w:asciiTheme="majorBidi" w:hAnsiTheme="majorBidi" w:cstheme="majorBidi"/>
          <w:sz w:val="24"/>
          <w:szCs w:val="24"/>
        </w:rPr>
        <w:t xml:space="preserve">of </w:t>
      </w:r>
      <w:r w:rsidR="002E6540" w:rsidRPr="000E183E">
        <w:rPr>
          <w:rFonts w:asciiTheme="majorBidi" w:hAnsiTheme="majorBidi" w:cstheme="majorBidi"/>
          <w:sz w:val="24"/>
          <w:szCs w:val="24"/>
        </w:rPr>
        <w:t>these</w:t>
      </w:r>
      <w:r w:rsidR="00695227">
        <w:rPr>
          <w:rFonts w:asciiTheme="majorBidi" w:hAnsiTheme="majorBidi" w:cstheme="majorBidi"/>
          <w:sz w:val="24"/>
          <w:szCs w:val="24"/>
        </w:rPr>
        <w:t xml:space="preserve"> binding sites </w:t>
      </w:r>
      <w:r w:rsidR="002E6540">
        <w:rPr>
          <w:rFonts w:asciiTheme="majorBidi" w:hAnsiTheme="majorBidi" w:cstheme="majorBidi"/>
          <w:sz w:val="24"/>
          <w:szCs w:val="24"/>
        </w:rPr>
        <w:t>has</w:t>
      </w:r>
      <w:r w:rsidR="00695227">
        <w:rPr>
          <w:rFonts w:asciiTheme="majorBidi" w:hAnsiTheme="majorBidi" w:cstheme="majorBidi"/>
          <w:sz w:val="24"/>
          <w:szCs w:val="24"/>
        </w:rPr>
        <w:t xml:space="preserve"> a linear </w:t>
      </w:r>
      <w:r w:rsidR="002E6540">
        <w:rPr>
          <w:rFonts w:asciiTheme="majorBidi" w:hAnsiTheme="majorBidi" w:cstheme="majorBidi"/>
          <w:sz w:val="24"/>
          <w:szCs w:val="24"/>
        </w:rPr>
        <w:t xml:space="preserve">nature, as the appearance of 2 identical sequences has a doubled effect on its decay mechanism. </w:t>
      </w:r>
      <w:r w:rsidRPr="000E183E">
        <w:rPr>
          <w:rFonts w:asciiTheme="majorBidi" w:hAnsiTheme="majorBidi" w:cstheme="majorBidi"/>
          <w:sz w:val="24"/>
          <w:szCs w:val="24"/>
        </w:rPr>
        <w:t>In previous studies, the use of linear regression models on 3' UTR sequences was successful, and we aimed to adapt a similar approach for the 5' UTR sequences</w:t>
      </w:r>
      <w:r>
        <w:rPr>
          <w:rFonts w:asciiTheme="majorBidi" w:hAnsiTheme="majorBidi" w:cstheme="majorBidi"/>
          <w:sz w:val="24"/>
          <w:szCs w:val="24"/>
        </w:rPr>
        <w:t xml:space="preserve"> </w:t>
      </w:r>
      <w:r>
        <w:rPr>
          <w:rStyle w:val="EndnoteReference"/>
          <w:rFonts w:asciiTheme="majorBidi" w:hAnsiTheme="majorBidi" w:cstheme="majorBidi"/>
          <w:sz w:val="24"/>
          <w:szCs w:val="24"/>
        </w:rPr>
        <w:endnoteReference w:id="9"/>
      </w:r>
      <w:r w:rsidRPr="000E183E">
        <w:rPr>
          <w:rFonts w:asciiTheme="majorBidi" w:hAnsiTheme="majorBidi" w:cstheme="majorBidi"/>
          <w:sz w:val="24"/>
          <w:szCs w:val="24"/>
        </w:rPr>
        <w:t xml:space="preserve">. </w:t>
      </w:r>
      <w:r w:rsidRPr="000E183E">
        <w:rPr>
          <w:rFonts w:asciiTheme="majorBidi" w:hAnsiTheme="majorBidi" w:cstheme="majorBidi"/>
          <w:sz w:val="24"/>
          <w:szCs w:val="24"/>
        </w:rPr>
        <w:lastRenderedPageBreak/>
        <w:t xml:space="preserve">Neural networks were also successfully used to investigate the influence of the 3' UTR on mRNA stability, offering the advantage of being non-linear and </w:t>
      </w:r>
      <w:r w:rsidR="00D901B4" w:rsidRPr="000E183E">
        <w:rPr>
          <w:rFonts w:asciiTheme="majorBidi" w:hAnsiTheme="majorBidi" w:cstheme="majorBidi"/>
          <w:sz w:val="24"/>
          <w:szCs w:val="24"/>
        </w:rPr>
        <w:t>position dependent</w:t>
      </w:r>
      <w:r w:rsidRPr="000E183E">
        <w:rPr>
          <w:rFonts w:asciiTheme="majorBidi" w:hAnsiTheme="majorBidi" w:cstheme="majorBidi"/>
          <w:sz w:val="24"/>
          <w:szCs w:val="24"/>
        </w:rPr>
        <w:t xml:space="preserve">. </w:t>
      </w:r>
      <w:r w:rsidR="00CD3C16">
        <w:rPr>
          <w:rFonts w:asciiTheme="majorBidi" w:hAnsiTheme="majorBidi" w:cstheme="majorBidi"/>
          <w:sz w:val="24"/>
          <w:szCs w:val="24"/>
        </w:rPr>
        <w:t>We trained n</w:t>
      </w:r>
      <w:r w:rsidR="00D901B4" w:rsidRPr="00B56C64">
        <w:rPr>
          <w:rFonts w:asciiTheme="majorBidi" w:hAnsiTheme="majorBidi" w:cstheme="majorBidi"/>
          <w:sz w:val="24"/>
          <w:szCs w:val="24"/>
        </w:rPr>
        <w:t>eural network models that were developed and published by Ofir Yaish and Yaron Orenstein. In their paper, two models were introduced: a convolution neural network (CNN), and a recurrent neural network (RNN). Although the RNN can achieve better predictions in some cases, the CNN is more interpretab</w:t>
      </w:r>
      <w:r w:rsidR="00D901B4">
        <w:rPr>
          <w:rFonts w:asciiTheme="majorBidi" w:hAnsiTheme="majorBidi" w:cstheme="majorBidi"/>
          <w:sz w:val="24"/>
          <w:szCs w:val="24"/>
        </w:rPr>
        <w:t>le</w:t>
      </w:r>
      <w:r w:rsidR="00D901B4" w:rsidRPr="00B56C64">
        <w:rPr>
          <w:rFonts w:asciiTheme="majorBidi" w:hAnsiTheme="majorBidi" w:cstheme="majorBidi"/>
          <w:sz w:val="24"/>
          <w:szCs w:val="24"/>
        </w:rPr>
        <w:t>. Therefore, it will be the main tool used</w:t>
      </w:r>
      <w:r w:rsidR="00CD3C16">
        <w:rPr>
          <w:rFonts w:asciiTheme="majorBidi" w:hAnsiTheme="majorBidi" w:cstheme="majorBidi"/>
          <w:sz w:val="24"/>
          <w:szCs w:val="24"/>
        </w:rPr>
        <w:t xml:space="preserve"> in our study.</w:t>
      </w:r>
    </w:p>
    <w:p w14:paraId="6E5E2B33" w14:textId="5FD8F20C" w:rsidR="00852899" w:rsidRPr="00480CFA" w:rsidRDefault="00852899" w:rsidP="00852899">
      <w:pPr>
        <w:bidi w:val="0"/>
        <w:spacing w:line="360" w:lineRule="auto"/>
        <w:rPr>
          <w:sz w:val="24"/>
          <w:szCs w:val="24"/>
        </w:rPr>
      </w:pPr>
      <w:r w:rsidRPr="00852899">
        <w:rPr>
          <w:sz w:val="24"/>
          <w:szCs w:val="24"/>
        </w:rPr>
        <w:drawing>
          <wp:inline distT="0" distB="0" distL="0" distR="0" wp14:anchorId="20CA9BE4" wp14:editId="77D8C421">
            <wp:extent cx="5938541" cy="2384425"/>
            <wp:effectExtent l="0" t="0" r="5080" b="0"/>
            <wp:docPr id="581492505" name="Picture 1" descr="A diagram of 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2505" name="Picture 1" descr="A diagram of a model"/>
                    <pic:cNvPicPr/>
                  </pic:nvPicPr>
                  <pic:blipFill>
                    <a:blip r:embed="rId8"/>
                    <a:stretch>
                      <a:fillRect/>
                    </a:stretch>
                  </pic:blipFill>
                  <pic:spPr>
                    <a:xfrm>
                      <a:off x="0" y="0"/>
                      <a:ext cx="5940008" cy="2385014"/>
                    </a:xfrm>
                    <a:prstGeom prst="rect">
                      <a:avLst/>
                    </a:prstGeom>
                  </pic:spPr>
                </pic:pic>
              </a:graphicData>
            </a:graphic>
          </wp:inline>
        </w:drawing>
      </w:r>
    </w:p>
    <w:sectPr w:rsidR="00852899" w:rsidRPr="00480CFA" w:rsidSect="00B74AC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DF6AE" w14:textId="77777777" w:rsidR="004400F8" w:rsidRDefault="004400F8" w:rsidP="00480CFA">
      <w:pPr>
        <w:spacing w:after="0" w:line="240" w:lineRule="auto"/>
      </w:pPr>
      <w:r>
        <w:separator/>
      </w:r>
    </w:p>
  </w:endnote>
  <w:endnote w:type="continuationSeparator" w:id="0">
    <w:p w14:paraId="3938C111" w14:textId="77777777" w:rsidR="004400F8" w:rsidRDefault="004400F8" w:rsidP="00480CFA">
      <w:pPr>
        <w:spacing w:after="0" w:line="240" w:lineRule="auto"/>
      </w:pPr>
      <w:r>
        <w:continuationSeparator/>
      </w:r>
    </w:p>
  </w:endnote>
  <w:endnote w:id="1">
    <w:p w14:paraId="2275A60E" w14:textId="5A4911F3" w:rsidR="00480CFA" w:rsidRPr="00185783" w:rsidRDefault="00480CFA" w:rsidP="00480CFA">
      <w:pPr>
        <w:pStyle w:val="EndnoteText"/>
        <w:bidi w:val="0"/>
        <w:spacing w:line="276" w:lineRule="auto"/>
        <w:rPr>
          <w:b/>
          <w:bCs/>
          <w:sz w:val="22"/>
          <w:szCs w:val="22"/>
          <w:u w:val="single"/>
        </w:rPr>
      </w:pPr>
      <w:r>
        <w:rPr>
          <w:rStyle w:val="EndnoteReference"/>
        </w:rPr>
        <w:endnoteRef/>
      </w:r>
      <w:r w:rsidRPr="00185783">
        <w:rPr>
          <w:b/>
          <w:bCs/>
          <w:sz w:val="22"/>
          <w:szCs w:val="22"/>
          <w:u w:val="single"/>
        </w:rPr>
        <w:t xml:space="preserve">References </w:t>
      </w:r>
    </w:p>
    <w:p w14:paraId="0CD6AE40" w14:textId="37EEAAAE" w:rsidR="00480CFA" w:rsidRDefault="00480CFA" w:rsidP="00480CFA">
      <w:pPr>
        <w:pStyle w:val="EndnoteText"/>
        <w:bidi w:val="0"/>
        <w:spacing w:line="276" w:lineRule="auto"/>
        <w:rPr>
          <w:rFonts w:cstheme="minorHAnsi"/>
          <w:color w:val="222222"/>
          <w:u w:val="single"/>
          <w:shd w:val="clear" w:color="auto" w:fill="FFFFFF"/>
        </w:rPr>
      </w:pPr>
      <w:r w:rsidRPr="00185783">
        <w:rPr>
          <w:rStyle w:val="EndnoteReference"/>
          <w:rFonts w:cstheme="minorHAnsi"/>
          <w:u w:val="single"/>
        </w:rPr>
        <w:endnoteRef/>
      </w:r>
      <w:r w:rsidRPr="00185783">
        <w:rPr>
          <w:rFonts w:cstheme="minorHAnsi"/>
          <w:u w:val="single"/>
          <w:rtl/>
        </w:rPr>
        <w:t xml:space="preserve"> </w:t>
      </w:r>
      <w:r w:rsidRPr="00185783">
        <w:rPr>
          <w:rFonts w:cstheme="minorHAnsi"/>
          <w:color w:val="222222"/>
          <w:u w:val="single"/>
          <w:shd w:val="clear" w:color="auto" w:fill="FFFFFF"/>
        </w:rPr>
        <w:t>Bazzini, Ariel A., et al. "Codon identity regulates mRNA stability and translation efficiency during the maternal‐to‐zygotic transition." </w:t>
      </w:r>
      <w:r w:rsidRPr="00185783">
        <w:rPr>
          <w:rFonts w:cstheme="minorHAnsi"/>
          <w:i/>
          <w:iCs/>
          <w:color w:val="222222"/>
          <w:u w:val="single"/>
          <w:shd w:val="clear" w:color="auto" w:fill="FFFFFF"/>
        </w:rPr>
        <w:t>The EMBO journal</w:t>
      </w:r>
      <w:r w:rsidRPr="00185783">
        <w:rPr>
          <w:rFonts w:cstheme="minorHAnsi"/>
          <w:color w:val="222222"/>
          <w:u w:val="single"/>
          <w:shd w:val="clear" w:color="auto" w:fill="FFFFFF"/>
        </w:rPr>
        <w:t> 35.19 (2016): 2087-2103.</w:t>
      </w:r>
    </w:p>
    <w:p w14:paraId="16703ADC" w14:textId="5A2F0678" w:rsidR="00480CFA" w:rsidRPr="00185783" w:rsidRDefault="00480CFA" w:rsidP="00480CFA">
      <w:pPr>
        <w:pStyle w:val="EndnoteText"/>
        <w:bidi w:val="0"/>
        <w:spacing w:line="276" w:lineRule="auto"/>
        <w:rPr>
          <w:rFonts w:cstheme="minorHAnsi"/>
          <w:u w:val="single"/>
        </w:rPr>
      </w:pPr>
      <w:r w:rsidRPr="00185783">
        <w:rPr>
          <w:rFonts w:cstheme="minorHAnsi"/>
          <w:color w:val="222222"/>
          <w:u w:val="single"/>
          <w:shd w:val="clear" w:color="auto" w:fill="FFFFFF"/>
          <w:rtl/>
        </w:rPr>
        <w:t>‏</w:t>
      </w:r>
    </w:p>
  </w:endnote>
  <w:endnote w:id="2">
    <w:p w14:paraId="7B4D1257" w14:textId="5A16ADDA" w:rsidR="00480CFA" w:rsidRPr="00480CFA" w:rsidRDefault="00480CFA" w:rsidP="00480CFA">
      <w:pPr>
        <w:pStyle w:val="EndnoteText"/>
        <w:bidi w:val="0"/>
        <w:rPr>
          <w:u w:val="single"/>
        </w:rPr>
      </w:pPr>
      <w:r>
        <w:rPr>
          <w:rStyle w:val="EndnoteReference"/>
        </w:rPr>
        <w:endnoteRef/>
      </w:r>
      <w:r>
        <w:rPr>
          <w:rtl/>
        </w:rPr>
        <w:t xml:space="preserve"> </w:t>
      </w:r>
      <w:r>
        <w:t xml:space="preserve"> </w:t>
      </w:r>
      <w:r w:rsidRPr="00480CFA">
        <w:rPr>
          <w:u w:val="single"/>
        </w:rPr>
        <w:t>Pique</w:t>
      </w:r>
      <w:proofErr w:type="gramStart"/>
      <w:r w:rsidRPr="00480CFA">
        <w:rPr>
          <w:u w:val="single"/>
        </w:rPr>
        <w:t>´ ,</w:t>
      </w:r>
      <w:proofErr w:type="gramEnd"/>
      <w:r w:rsidRPr="00480CFA">
        <w:rPr>
          <w:u w:val="single"/>
        </w:rPr>
        <w:t xml:space="preserve"> M., Lo´ </w:t>
      </w:r>
      <w:proofErr w:type="spellStart"/>
      <w:r w:rsidRPr="00480CFA">
        <w:rPr>
          <w:u w:val="single"/>
        </w:rPr>
        <w:t>pez</w:t>
      </w:r>
      <w:proofErr w:type="spellEnd"/>
      <w:r w:rsidRPr="00480CFA">
        <w:rPr>
          <w:u w:val="single"/>
        </w:rPr>
        <w:t xml:space="preserve">, J.M., </w:t>
      </w:r>
      <w:proofErr w:type="spellStart"/>
      <w:r w:rsidRPr="00480CFA">
        <w:rPr>
          <w:u w:val="single"/>
        </w:rPr>
        <w:t>Foissac</w:t>
      </w:r>
      <w:proofErr w:type="spellEnd"/>
      <w:r w:rsidRPr="00480CFA">
        <w:rPr>
          <w:u w:val="single"/>
        </w:rPr>
        <w:t xml:space="preserve">, S., Guigo´ , R., and Me´ </w:t>
      </w:r>
      <w:proofErr w:type="spellStart"/>
      <w:r w:rsidRPr="00480CFA">
        <w:rPr>
          <w:u w:val="single"/>
        </w:rPr>
        <w:t>ndez</w:t>
      </w:r>
      <w:proofErr w:type="spellEnd"/>
      <w:r w:rsidRPr="00480CFA">
        <w:rPr>
          <w:u w:val="single"/>
        </w:rPr>
        <w:t>, R. (2008). A</w:t>
      </w:r>
      <w:r>
        <w:rPr>
          <w:u w:val="single"/>
        </w:rPr>
        <w:t xml:space="preserve"> </w:t>
      </w:r>
      <w:r w:rsidRPr="00480CFA">
        <w:rPr>
          <w:u w:val="single"/>
        </w:rPr>
        <w:t>combinatorial code for CPE-mediated translational control. Cell 132, 434–448.</w:t>
      </w:r>
    </w:p>
  </w:endnote>
  <w:endnote w:id="3">
    <w:p w14:paraId="4E5F3D78" w14:textId="77777777" w:rsidR="00480CFA" w:rsidRPr="00480CFA" w:rsidRDefault="00480CFA" w:rsidP="00480CFA">
      <w:pPr>
        <w:pStyle w:val="EndnoteText"/>
        <w:bidi w:val="0"/>
        <w:rPr>
          <w:u w:val="single"/>
        </w:rPr>
      </w:pPr>
      <w:r w:rsidRPr="00480CFA">
        <w:rPr>
          <w:rStyle w:val="EndnoteReference"/>
          <w:u w:val="single"/>
        </w:rPr>
        <w:endnoteRef/>
      </w:r>
      <w:r w:rsidRPr="00480CFA">
        <w:rPr>
          <w:u w:val="single"/>
          <w:rtl/>
        </w:rPr>
        <w:t xml:space="preserve"> </w:t>
      </w:r>
      <w:r w:rsidRPr="00480CFA">
        <w:rPr>
          <w:u w:val="single"/>
        </w:rPr>
        <w:t xml:space="preserve"> </w:t>
      </w:r>
      <w:r w:rsidRPr="00480CFA">
        <w:rPr>
          <w:u w:val="single"/>
        </w:rPr>
        <w:t>Giraldez, A.J., Mishima, Y., Rihel, J., Grocock, R.J., Van Dongen, S., Inoue, K.,</w:t>
      </w:r>
    </w:p>
    <w:p w14:paraId="36C5F884" w14:textId="77777777" w:rsidR="00480CFA" w:rsidRPr="00480CFA" w:rsidRDefault="00480CFA" w:rsidP="00480CFA">
      <w:pPr>
        <w:pStyle w:val="EndnoteText"/>
        <w:bidi w:val="0"/>
        <w:rPr>
          <w:u w:val="single"/>
        </w:rPr>
      </w:pPr>
      <w:r w:rsidRPr="00480CFA">
        <w:rPr>
          <w:u w:val="single"/>
        </w:rPr>
        <w:t xml:space="preserve">Enright, A.J., and Schier, A.F. (2006). Zebrafish MiR-430 promotes </w:t>
      </w:r>
      <w:proofErr w:type="spellStart"/>
      <w:r w:rsidRPr="00480CFA">
        <w:rPr>
          <w:u w:val="single"/>
        </w:rPr>
        <w:t>deadenylation</w:t>
      </w:r>
      <w:proofErr w:type="spellEnd"/>
    </w:p>
    <w:p w14:paraId="3D5D90DC" w14:textId="63DBA436" w:rsidR="00480CFA" w:rsidRPr="00480CFA" w:rsidRDefault="00480CFA" w:rsidP="00480CFA">
      <w:pPr>
        <w:pStyle w:val="EndnoteText"/>
        <w:bidi w:val="0"/>
        <w:rPr>
          <w:u w:val="single"/>
        </w:rPr>
      </w:pPr>
      <w:r w:rsidRPr="00480CFA">
        <w:rPr>
          <w:u w:val="single"/>
        </w:rPr>
        <w:t>and clearance of maternal mRNAs. Science 312, 75–79.</w:t>
      </w:r>
    </w:p>
  </w:endnote>
  <w:endnote w:id="4">
    <w:p w14:paraId="22470F05" w14:textId="57F3322E" w:rsidR="00172B42" w:rsidRDefault="00172B42" w:rsidP="00172B42">
      <w:pPr>
        <w:pStyle w:val="EndnoteText"/>
        <w:bidi w:val="0"/>
      </w:pPr>
      <w:r>
        <w:rPr>
          <w:rStyle w:val="EndnoteReference"/>
        </w:rPr>
        <w:endnoteRef/>
      </w:r>
      <w:r>
        <w:rPr>
          <w:rtl/>
        </w:rPr>
        <w:t xml:space="preserve"> </w:t>
      </w:r>
      <w:r w:rsidRPr="00185783">
        <w:rPr>
          <w:rFonts w:cstheme="minorHAnsi"/>
          <w:color w:val="222222"/>
          <w:u w:val="single"/>
          <w:shd w:val="clear" w:color="auto" w:fill="FFFFFF"/>
        </w:rPr>
        <w:t>Jia, L., Mao, Y., Ji, Q. </w:t>
      </w:r>
      <w:r w:rsidRPr="00185783">
        <w:rPr>
          <w:rFonts w:cstheme="minorHAnsi"/>
          <w:i/>
          <w:iCs/>
          <w:color w:val="222222"/>
          <w:u w:val="single"/>
          <w:shd w:val="clear" w:color="auto" w:fill="FFFFFF"/>
        </w:rPr>
        <w:t>et al.</w:t>
      </w:r>
      <w:r w:rsidRPr="00185783">
        <w:rPr>
          <w:rFonts w:cstheme="minorHAnsi"/>
          <w:color w:val="222222"/>
          <w:u w:val="single"/>
          <w:shd w:val="clear" w:color="auto" w:fill="FFFFFF"/>
        </w:rPr>
        <w:t> Decoding mRNA translatability and stability from the 5′ UTR. </w:t>
      </w:r>
      <w:r w:rsidRPr="00185783">
        <w:rPr>
          <w:rFonts w:cstheme="minorHAnsi"/>
          <w:i/>
          <w:iCs/>
          <w:color w:val="222222"/>
          <w:u w:val="single"/>
          <w:shd w:val="clear" w:color="auto" w:fill="FFFFFF"/>
        </w:rPr>
        <w:t>Nat Struct Mol Biol</w:t>
      </w:r>
      <w:r w:rsidRPr="00185783">
        <w:rPr>
          <w:rFonts w:cstheme="minorHAnsi"/>
          <w:color w:val="222222"/>
          <w:u w:val="single"/>
          <w:shd w:val="clear" w:color="auto" w:fill="FFFFFF"/>
        </w:rPr>
        <w:t> </w:t>
      </w:r>
      <w:r w:rsidRPr="00185783">
        <w:rPr>
          <w:rFonts w:cstheme="minorHAnsi"/>
          <w:b/>
          <w:bCs/>
          <w:color w:val="222222"/>
          <w:u w:val="single"/>
          <w:shd w:val="clear" w:color="auto" w:fill="FFFFFF"/>
        </w:rPr>
        <w:t>27</w:t>
      </w:r>
      <w:r w:rsidRPr="00185783">
        <w:rPr>
          <w:rFonts w:cstheme="minorHAnsi"/>
          <w:color w:val="222222"/>
          <w:u w:val="single"/>
          <w:shd w:val="clear" w:color="auto" w:fill="FFFFFF"/>
        </w:rPr>
        <w:t>, 814–821 (2020). https://doi.org/10.1038/s41594-020-0465-x</w:t>
      </w:r>
    </w:p>
  </w:endnote>
  <w:endnote w:id="5">
    <w:p w14:paraId="39879F1A" w14:textId="4A18F380" w:rsidR="00A24EB2" w:rsidRPr="00A24EB2" w:rsidRDefault="00A24EB2" w:rsidP="00A24EB2">
      <w:pPr>
        <w:pStyle w:val="EndnoteText"/>
        <w:bidi w:val="0"/>
        <w:spacing w:line="276" w:lineRule="auto"/>
        <w:rPr>
          <w:rFonts w:cstheme="minorHAnsi"/>
          <w:u w:val="single"/>
        </w:rPr>
      </w:pPr>
      <w:r>
        <w:rPr>
          <w:rStyle w:val="EndnoteReference"/>
        </w:rPr>
        <w:endnoteRef/>
      </w:r>
      <w:r>
        <w:rPr>
          <w:rtl/>
        </w:rPr>
        <w:t xml:space="preserve"> </w:t>
      </w:r>
      <w:r w:rsidRPr="00185783">
        <w:rPr>
          <w:rFonts w:cstheme="minorHAnsi"/>
          <w:color w:val="222222"/>
          <w:u w:val="single"/>
          <w:shd w:val="clear" w:color="auto" w:fill="FFFFFF"/>
        </w:rPr>
        <w:t>Zhang, H., Zhang, L., Lin, A. et al. Algorithm for optimized mRNA design improves stability and immunogenicity. Nature 621, 396–403 (2023).</w:t>
      </w:r>
    </w:p>
  </w:endnote>
  <w:endnote w:id="6">
    <w:p w14:paraId="535CC7C7" w14:textId="77777777" w:rsidR="00A04FB9" w:rsidRPr="00185783" w:rsidRDefault="00A04FB9" w:rsidP="00A04FB9">
      <w:pPr>
        <w:pStyle w:val="EndnoteText"/>
        <w:bidi w:val="0"/>
        <w:rPr>
          <w:u w:val="single"/>
          <w:rtl/>
        </w:rPr>
      </w:pPr>
      <w:r w:rsidRPr="00185783">
        <w:rPr>
          <w:rStyle w:val="EndnoteReference"/>
          <w:u w:val="single"/>
        </w:rPr>
        <w:endnoteRef/>
      </w:r>
      <w:r w:rsidRPr="00185783">
        <w:rPr>
          <w:rFonts w:cstheme="minorHAnsi"/>
          <w:u w:val="single"/>
        </w:rPr>
        <w:t xml:space="preserve"> </w:t>
      </w:r>
      <w:r w:rsidRPr="00185783">
        <w:rPr>
          <w:rFonts w:cstheme="minorHAnsi"/>
          <w:color w:val="222222"/>
          <w:u w:val="single"/>
          <w:shd w:val="clear" w:color="auto" w:fill="FFFFFF"/>
        </w:rPr>
        <w:t>Rabani, Michal, et al. "A massively parallel reporter assay of 3′ UTR sequences identifies in vivo rules for mRNA degradation." </w:t>
      </w:r>
      <w:r w:rsidRPr="00185783">
        <w:rPr>
          <w:rFonts w:cstheme="minorHAnsi"/>
          <w:i/>
          <w:iCs/>
          <w:color w:val="222222"/>
          <w:u w:val="single"/>
          <w:shd w:val="clear" w:color="auto" w:fill="FFFFFF"/>
        </w:rPr>
        <w:t>Molecular cell</w:t>
      </w:r>
      <w:r w:rsidRPr="00185783">
        <w:rPr>
          <w:rFonts w:cstheme="minorHAnsi"/>
          <w:color w:val="222222"/>
          <w:u w:val="single"/>
          <w:shd w:val="clear" w:color="auto" w:fill="FFFFFF"/>
        </w:rPr>
        <w:t> 68.6 (2017): 1083-1094</w:t>
      </w:r>
    </w:p>
  </w:endnote>
  <w:endnote w:id="7">
    <w:p w14:paraId="571E4B9C" w14:textId="6B5FDAD0" w:rsidR="00031E5E" w:rsidRPr="00BD314C" w:rsidRDefault="00031E5E" w:rsidP="00BD314C">
      <w:pPr>
        <w:pStyle w:val="EndnoteText"/>
        <w:bidi w:val="0"/>
        <w:rPr>
          <w:u w:val="single"/>
        </w:rPr>
      </w:pPr>
      <w:r>
        <w:rPr>
          <w:rStyle w:val="EndnoteReference"/>
        </w:rPr>
        <w:endnoteRef/>
      </w:r>
      <w:r>
        <w:rPr>
          <w:rtl/>
        </w:rPr>
        <w:t xml:space="preserve"> </w:t>
      </w:r>
      <w:r w:rsidRPr="00185783">
        <w:rPr>
          <w:rFonts w:cstheme="minorHAnsi"/>
          <w:u w:val="single"/>
        </w:rPr>
        <w:t xml:space="preserve">Ofir Yaish, </w:t>
      </w:r>
      <w:bookmarkStart w:id="1" w:name="_Hlk156677027"/>
      <w:r w:rsidRPr="00185783">
        <w:rPr>
          <w:rFonts w:cstheme="minorHAnsi"/>
          <w:u w:val="single"/>
        </w:rPr>
        <w:t>Yaron Orenstein</w:t>
      </w:r>
      <w:bookmarkEnd w:id="1"/>
      <w:r w:rsidRPr="00185783">
        <w:rPr>
          <w:rFonts w:cstheme="minorHAnsi"/>
          <w:u w:val="single"/>
        </w:rPr>
        <w:t>, Computational modeling of mRNA degradation dynamics using deep neural networks, Bioinformatics, Volume 38, Issue 4, February 2022, Pages 1087–1101</w:t>
      </w:r>
    </w:p>
  </w:endnote>
  <w:endnote w:id="8">
    <w:p w14:paraId="6E9BA99A" w14:textId="77777777" w:rsidR="00BD314C" w:rsidRPr="00BD314C" w:rsidRDefault="00BD314C" w:rsidP="00BD314C">
      <w:pPr>
        <w:pStyle w:val="EndnoteText"/>
        <w:bidi w:val="0"/>
        <w:rPr>
          <w:u w:val="single"/>
        </w:rPr>
      </w:pPr>
      <w:r w:rsidRPr="00BD314C">
        <w:rPr>
          <w:rStyle w:val="EndnoteReference"/>
          <w:u w:val="single"/>
        </w:rPr>
        <w:endnoteRef/>
      </w:r>
      <w:r w:rsidRPr="00BD314C">
        <w:rPr>
          <w:u w:val="single"/>
          <w:rtl/>
        </w:rPr>
        <w:t xml:space="preserve"> </w:t>
      </w:r>
      <w:r w:rsidRPr="00BD314C">
        <w:rPr>
          <w:u w:val="single"/>
        </w:rPr>
        <w:t xml:space="preserve">Jukam, D., Shariati, S.A.M., and </w:t>
      </w:r>
      <w:proofErr w:type="spellStart"/>
      <w:r w:rsidRPr="00BD314C">
        <w:rPr>
          <w:u w:val="single"/>
        </w:rPr>
        <w:t>Skotheim</w:t>
      </w:r>
      <w:proofErr w:type="spellEnd"/>
      <w:r w:rsidRPr="00BD314C">
        <w:rPr>
          <w:u w:val="single"/>
        </w:rPr>
        <w:t>, J.M. (2017). Zygotic genome activation</w:t>
      </w:r>
    </w:p>
    <w:p w14:paraId="0F6DD0C0" w14:textId="64C65ACD" w:rsidR="00BD314C" w:rsidRDefault="00BD314C" w:rsidP="00BD314C">
      <w:pPr>
        <w:pStyle w:val="EndnoteText"/>
        <w:bidi w:val="0"/>
      </w:pPr>
      <w:r w:rsidRPr="00BD314C">
        <w:rPr>
          <w:u w:val="single"/>
        </w:rPr>
        <w:t>in vertebrates. Dev. Cell 42, 316–332.</w:t>
      </w:r>
    </w:p>
  </w:endnote>
  <w:endnote w:id="9">
    <w:p w14:paraId="4A22CFA0" w14:textId="77777777" w:rsidR="000E183E" w:rsidRPr="00185783" w:rsidRDefault="000E183E" w:rsidP="000E183E">
      <w:pPr>
        <w:pStyle w:val="EndnoteText"/>
        <w:bidi w:val="0"/>
        <w:rPr>
          <w:u w:val="single"/>
          <w:rtl/>
        </w:rPr>
      </w:pPr>
      <w:r w:rsidRPr="00185783">
        <w:rPr>
          <w:rStyle w:val="EndnoteReference"/>
          <w:u w:val="single"/>
        </w:rPr>
        <w:endnoteRef/>
      </w:r>
      <w:r w:rsidRPr="00185783">
        <w:rPr>
          <w:rFonts w:cstheme="minorHAnsi"/>
          <w:u w:val="single"/>
        </w:rPr>
        <w:t xml:space="preserve"> </w:t>
      </w:r>
      <w:r w:rsidRPr="00185783">
        <w:rPr>
          <w:rFonts w:cstheme="minorHAnsi"/>
          <w:color w:val="222222"/>
          <w:u w:val="single"/>
          <w:shd w:val="clear" w:color="auto" w:fill="FFFFFF"/>
        </w:rPr>
        <w:t>Rabani, Michal, et al. "A massively parallel reporter assay of 3′ UTR sequences identifies in vivo rules for mRNA degradation." </w:t>
      </w:r>
      <w:r w:rsidRPr="00185783">
        <w:rPr>
          <w:rFonts w:cstheme="minorHAnsi"/>
          <w:i/>
          <w:iCs/>
          <w:color w:val="222222"/>
          <w:u w:val="single"/>
          <w:shd w:val="clear" w:color="auto" w:fill="FFFFFF"/>
        </w:rPr>
        <w:t>Molecular cell</w:t>
      </w:r>
      <w:r w:rsidRPr="00185783">
        <w:rPr>
          <w:rFonts w:cstheme="minorHAnsi"/>
          <w:color w:val="222222"/>
          <w:u w:val="single"/>
          <w:shd w:val="clear" w:color="auto" w:fill="FFFFFF"/>
        </w:rPr>
        <w:t> 68.6 (2017): 1083-1094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663E8" w14:textId="77777777" w:rsidR="004400F8" w:rsidRDefault="004400F8" w:rsidP="00480CFA">
      <w:pPr>
        <w:spacing w:after="0" w:line="240" w:lineRule="auto"/>
      </w:pPr>
      <w:r>
        <w:separator/>
      </w:r>
    </w:p>
  </w:footnote>
  <w:footnote w:type="continuationSeparator" w:id="0">
    <w:p w14:paraId="07EF8346" w14:textId="77777777" w:rsidR="004400F8" w:rsidRDefault="004400F8" w:rsidP="00480C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FA"/>
    <w:rsid w:val="00031E5E"/>
    <w:rsid w:val="000E183E"/>
    <w:rsid w:val="00172B42"/>
    <w:rsid w:val="001D5E4A"/>
    <w:rsid w:val="002E6540"/>
    <w:rsid w:val="004400F8"/>
    <w:rsid w:val="00480CFA"/>
    <w:rsid w:val="00483FB7"/>
    <w:rsid w:val="004842FA"/>
    <w:rsid w:val="00695227"/>
    <w:rsid w:val="007711C3"/>
    <w:rsid w:val="00852899"/>
    <w:rsid w:val="008B225E"/>
    <w:rsid w:val="009357DD"/>
    <w:rsid w:val="00A04FB9"/>
    <w:rsid w:val="00A24EB2"/>
    <w:rsid w:val="00A32FB3"/>
    <w:rsid w:val="00B74AC8"/>
    <w:rsid w:val="00BD314C"/>
    <w:rsid w:val="00CD3C16"/>
    <w:rsid w:val="00CF6DC5"/>
    <w:rsid w:val="00D901B4"/>
    <w:rsid w:val="00E163EF"/>
    <w:rsid w:val="00EF0B0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2B3C"/>
  <w15:chartTrackingRefBased/>
  <w15:docId w15:val="{237E142B-5818-482D-9F72-55DB95FA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FA"/>
    <w:pPr>
      <w:bidi/>
    </w:pPr>
  </w:style>
  <w:style w:type="paragraph" w:styleId="Heading1">
    <w:name w:val="heading 1"/>
    <w:basedOn w:val="Normal"/>
    <w:next w:val="Normal"/>
    <w:link w:val="Heading1Char"/>
    <w:uiPriority w:val="9"/>
    <w:qFormat/>
    <w:rsid w:val="00480CF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480CF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480CF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480CF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80CF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80CF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80CF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80CF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80CFA"/>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CF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480CF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480CF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480CF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80CF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80CF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80CFA"/>
    <w:rPr>
      <w:i/>
      <w:iCs/>
    </w:rPr>
  </w:style>
  <w:style w:type="character" w:customStyle="1" w:styleId="Heading8Char">
    <w:name w:val="Heading 8 Char"/>
    <w:basedOn w:val="DefaultParagraphFont"/>
    <w:link w:val="Heading8"/>
    <w:uiPriority w:val="9"/>
    <w:semiHidden/>
    <w:rsid w:val="00480CFA"/>
    <w:rPr>
      <w:b/>
      <w:bCs/>
    </w:rPr>
  </w:style>
  <w:style w:type="character" w:customStyle="1" w:styleId="Heading9Char">
    <w:name w:val="Heading 9 Char"/>
    <w:basedOn w:val="DefaultParagraphFont"/>
    <w:link w:val="Heading9"/>
    <w:uiPriority w:val="9"/>
    <w:semiHidden/>
    <w:rsid w:val="00480CFA"/>
    <w:rPr>
      <w:i/>
      <w:iCs/>
    </w:rPr>
  </w:style>
  <w:style w:type="paragraph" w:styleId="Title">
    <w:name w:val="Title"/>
    <w:basedOn w:val="Normal"/>
    <w:next w:val="Normal"/>
    <w:link w:val="TitleChar"/>
    <w:uiPriority w:val="10"/>
    <w:qFormat/>
    <w:rsid w:val="00480CF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80CF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80CF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80CFA"/>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480CF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80CFA"/>
    <w:rPr>
      <w:rFonts w:asciiTheme="majorHAnsi" w:eastAsiaTheme="majorEastAsia" w:hAnsiTheme="majorHAnsi" w:cstheme="majorBidi"/>
      <w:i/>
      <w:iCs/>
      <w:sz w:val="24"/>
      <w:szCs w:val="24"/>
    </w:rPr>
  </w:style>
  <w:style w:type="paragraph" w:styleId="ListParagraph">
    <w:name w:val="List Paragraph"/>
    <w:basedOn w:val="Normal"/>
    <w:uiPriority w:val="34"/>
    <w:qFormat/>
    <w:rsid w:val="00480CFA"/>
    <w:pPr>
      <w:ind w:left="720"/>
      <w:contextualSpacing/>
    </w:pPr>
  </w:style>
  <w:style w:type="character" w:styleId="IntenseEmphasis">
    <w:name w:val="Intense Emphasis"/>
    <w:basedOn w:val="DefaultParagraphFont"/>
    <w:uiPriority w:val="21"/>
    <w:qFormat/>
    <w:rsid w:val="00480CFA"/>
    <w:rPr>
      <w:b/>
      <w:bCs/>
      <w:i/>
      <w:iCs/>
      <w:color w:val="auto"/>
    </w:rPr>
  </w:style>
  <w:style w:type="paragraph" w:styleId="IntenseQuote">
    <w:name w:val="Intense Quote"/>
    <w:basedOn w:val="Normal"/>
    <w:next w:val="Normal"/>
    <w:link w:val="IntenseQuoteChar"/>
    <w:uiPriority w:val="30"/>
    <w:qFormat/>
    <w:rsid w:val="00480CF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80CFA"/>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480CFA"/>
    <w:rPr>
      <w:b/>
      <w:bCs/>
      <w:smallCaps/>
      <w:color w:val="auto"/>
      <w:u w:val="single"/>
    </w:rPr>
  </w:style>
  <w:style w:type="paragraph" w:styleId="Caption">
    <w:name w:val="caption"/>
    <w:basedOn w:val="Normal"/>
    <w:next w:val="Normal"/>
    <w:uiPriority w:val="35"/>
    <w:semiHidden/>
    <w:unhideWhenUsed/>
    <w:qFormat/>
    <w:rsid w:val="00480CFA"/>
    <w:pPr>
      <w:bidi w:val="0"/>
    </w:pPr>
    <w:rPr>
      <w:b/>
      <w:bCs/>
      <w:sz w:val="18"/>
      <w:szCs w:val="18"/>
    </w:rPr>
  </w:style>
  <w:style w:type="character" w:styleId="Strong">
    <w:name w:val="Strong"/>
    <w:basedOn w:val="DefaultParagraphFont"/>
    <w:uiPriority w:val="22"/>
    <w:qFormat/>
    <w:rsid w:val="00480CFA"/>
    <w:rPr>
      <w:b/>
      <w:bCs/>
      <w:color w:val="auto"/>
    </w:rPr>
  </w:style>
  <w:style w:type="character" w:styleId="Emphasis">
    <w:name w:val="Emphasis"/>
    <w:basedOn w:val="DefaultParagraphFont"/>
    <w:uiPriority w:val="20"/>
    <w:qFormat/>
    <w:rsid w:val="00480CFA"/>
    <w:rPr>
      <w:i/>
      <w:iCs/>
      <w:color w:val="auto"/>
    </w:rPr>
  </w:style>
  <w:style w:type="paragraph" w:styleId="NoSpacing">
    <w:name w:val="No Spacing"/>
    <w:uiPriority w:val="1"/>
    <w:qFormat/>
    <w:rsid w:val="00480CFA"/>
    <w:pPr>
      <w:spacing w:after="0" w:line="240" w:lineRule="auto"/>
    </w:pPr>
  </w:style>
  <w:style w:type="character" w:styleId="SubtleEmphasis">
    <w:name w:val="Subtle Emphasis"/>
    <w:basedOn w:val="DefaultParagraphFont"/>
    <w:uiPriority w:val="19"/>
    <w:qFormat/>
    <w:rsid w:val="00480CFA"/>
    <w:rPr>
      <w:i/>
      <w:iCs/>
      <w:color w:val="auto"/>
    </w:rPr>
  </w:style>
  <w:style w:type="character" w:styleId="SubtleReference">
    <w:name w:val="Subtle Reference"/>
    <w:basedOn w:val="DefaultParagraphFont"/>
    <w:uiPriority w:val="31"/>
    <w:qFormat/>
    <w:rsid w:val="00480CFA"/>
    <w:rPr>
      <w:smallCaps/>
      <w:color w:val="auto"/>
      <w:u w:val="single" w:color="7F7F7F" w:themeColor="text1" w:themeTint="80"/>
    </w:rPr>
  </w:style>
  <w:style w:type="character" w:styleId="BookTitle">
    <w:name w:val="Book Title"/>
    <w:basedOn w:val="DefaultParagraphFont"/>
    <w:uiPriority w:val="33"/>
    <w:qFormat/>
    <w:rsid w:val="00480CFA"/>
    <w:rPr>
      <w:b/>
      <w:bCs/>
      <w:smallCaps/>
      <w:color w:val="auto"/>
    </w:rPr>
  </w:style>
  <w:style w:type="paragraph" w:styleId="TOCHeading">
    <w:name w:val="TOC Heading"/>
    <w:basedOn w:val="Heading1"/>
    <w:next w:val="Normal"/>
    <w:uiPriority w:val="39"/>
    <w:semiHidden/>
    <w:unhideWhenUsed/>
    <w:qFormat/>
    <w:rsid w:val="00480CFA"/>
    <w:pPr>
      <w:bidi w:val="0"/>
      <w:outlineLvl w:val="9"/>
    </w:pPr>
  </w:style>
  <w:style w:type="paragraph" w:styleId="EndnoteText">
    <w:name w:val="endnote text"/>
    <w:basedOn w:val="Normal"/>
    <w:link w:val="EndnoteTextChar"/>
    <w:uiPriority w:val="99"/>
    <w:semiHidden/>
    <w:unhideWhenUsed/>
    <w:rsid w:val="00480CFA"/>
    <w:pPr>
      <w:spacing w:after="0" w:line="240" w:lineRule="auto"/>
      <w:jc w:val="left"/>
    </w:pPr>
    <w:rPr>
      <w:rFonts w:eastAsiaTheme="minorHAnsi"/>
      <w:kern w:val="2"/>
      <w:sz w:val="20"/>
      <w:szCs w:val="20"/>
      <w14:ligatures w14:val="standardContextual"/>
    </w:rPr>
  </w:style>
  <w:style w:type="character" w:customStyle="1" w:styleId="EndnoteTextChar">
    <w:name w:val="Endnote Text Char"/>
    <w:basedOn w:val="DefaultParagraphFont"/>
    <w:link w:val="EndnoteText"/>
    <w:uiPriority w:val="99"/>
    <w:semiHidden/>
    <w:rsid w:val="00480CFA"/>
    <w:rPr>
      <w:rFonts w:eastAsiaTheme="minorHAnsi"/>
      <w:kern w:val="2"/>
      <w:sz w:val="20"/>
      <w:szCs w:val="20"/>
      <w14:ligatures w14:val="standardContextual"/>
    </w:rPr>
  </w:style>
  <w:style w:type="character" w:styleId="EndnoteReference">
    <w:name w:val="endnote reference"/>
    <w:basedOn w:val="DefaultParagraphFont"/>
    <w:uiPriority w:val="99"/>
    <w:semiHidden/>
    <w:unhideWhenUsed/>
    <w:rsid w:val="00480CFA"/>
    <w:rPr>
      <w:vertAlign w:val="superscript"/>
    </w:rPr>
  </w:style>
  <w:style w:type="paragraph" w:styleId="FootnoteText">
    <w:name w:val="footnote text"/>
    <w:basedOn w:val="Normal"/>
    <w:link w:val="FootnoteTextChar"/>
    <w:uiPriority w:val="99"/>
    <w:semiHidden/>
    <w:unhideWhenUsed/>
    <w:rsid w:val="000E18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183E"/>
    <w:rPr>
      <w:sz w:val="20"/>
      <w:szCs w:val="20"/>
    </w:rPr>
  </w:style>
  <w:style w:type="character" w:styleId="FootnoteReference">
    <w:name w:val="footnote reference"/>
    <w:basedOn w:val="DefaultParagraphFont"/>
    <w:uiPriority w:val="99"/>
    <w:semiHidden/>
    <w:unhideWhenUsed/>
    <w:rsid w:val="000E18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556203">
      <w:bodyDiv w:val="1"/>
      <w:marLeft w:val="0"/>
      <w:marRight w:val="0"/>
      <w:marTop w:val="0"/>
      <w:marBottom w:val="0"/>
      <w:divBdr>
        <w:top w:val="none" w:sz="0" w:space="0" w:color="auto"/>
        <w:left w:val="none" w:sz="0" w:space="0" w:color="auto"/>
        <w:bottom w:val="none" w:sz="0" w:space="0" w:color="auto"/>
        <w:right w:val="none" w:sz="0" w:space="0" w:color="auto"/>
      </w:divBdr>
      <w:divsChild>
        <w:div w:id="963340894">
          <w:marLeft w:val="0"/>
          <w:marRight w:val="0"/>
          <w:marTop w:val="0"/>
          <w:marBottom w:val="0"/>
          <w:divBdr>
            <w:top w:val="none" w:sz="0" w:space="0" w:color="auto"/>
            <w:left w:val="none" w:sz="0" w:space="0" w:color="auto"/>
            <w:bottom w:val="none" w:sz="0" w:space="0" w:color="auto"/>
            <w:right w:val="none" w:sz="0" w:space="0" w:color="auto"/>
          </w:divBdr>
          <w:divsChild>
            <w:div w:id="1343244067">
              <w:marLeft w:val="0"/>
              <w:marRight w:val="0"/>
              <w:marTop w:val="0"/>
              <w:marBottom w:val="0"/>
              <w:divBdr>
                <w:top w:val="none" w:sz="0" w:space="0" w:color="auto"/>
                <w:left w:val="none" w:sz="0" w:space="0" w:color="auto"/>
                <w:bottom w:val="none" w:sz="0" w:space="0" w:color="auto"/>
                <w:right w:val="none" w:sz="0" w:space="0" w:color="auto"/>
              </w:divBdr>
              <w:divsChild>
                <w:div w:id="1458137948">
                  <w:marLeft w:val="0"/>
                  <w:marRight w:val="0"/>
                  <w:marTop w:val="0"/>
                  <w:marBottom w:val="0"/>
                  <w:divBdr>
                    <w:top w:val="none" w:sz="0" w:space="0" w:color="auto"/>
                    <w:left w:val="none" w:sz="0" w:space="0" w:color="auto"/>
                    <w:bottom w:val="none" w:sz="0" w:space="0" w:color="auto"/>
                    <w:right w:val="none" w:sz="0" w:space="0" w:color="auto"/>
                  </w:divBdr>
                  <w:divsChild>
                    <w:div w:id="1168205730">
                      <w:marLeft w:val="0"/>
                      <w:marRight w:val="0"/>
                      <w:marTop w:val="0"/>
                      <w:marBottom w:val="0"/>
                      <w:divBdr>
                        <w:top w:val="none" w:sz="0" w:space="0" w:color="auto"/>
                        <w:left w:val="none" w:sz="0" w:space="0" w:color="auto"/>
                        <w:bottom w:val="none" w:sz="0" w:space="0" w:color="auto"/>
                        <w:right w:val="none" w:sz="0" w:space="0" w:color="auto"/>
                      </w:divBdr>
                      <w:divsChild>
                        <w:div w:id="1260989652">
                          <w:marLeft w:val="0"/>
                          <w:marRight w:val="0"/>
                          <w:marTop w:val="0"/>
                          <w:marBottom w:val="0"/>
                          <w:divBdr>
                            <w:top w:val="none" w:sz="0" w:space="0" w:color="auto"/>
                            <w:left w:val="none" w:sz="0" w:space="0" w:color="auto"/>
                            <w:bottom w:val="none" w:sz="0" w:space="0" w:color="auto"/>
                            <w:right w:val="none" w:sz="0" w:space="0" w:color="auto"/>
                          </w:divBdr>
                          <w:divsChild>
                            <w:div w:id="18730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3834">
      <w:bodyDiv w:val="1"/>
      <w:marLeft w:val="0"/>
      <w:marRight w:val="0"/>
      <w:marTop w:val="0"/>
      <w:marBottom w:val="0"/>
      <w:divBdr>
        <w:top w:val="none" w:sz="0" w:space="0" w:color="auto"/>
        <w:left w:val="none" w:sz="0" w:space="0" w:color="auto"/>
        <w:bottom w:val="none" w:sz="0" w:space="0" w:color="auto"/>
        <w:right w:val="none" w:sz="0" w:space="0" w:color="auto"/>
      </w:divBdr>
      <w:divsChild>
        <w:div w:id="2023622024">
          <w:marLeft w:val="0"/>
          <w:marRight w:val="0"/>
          <w:marTop w:val="0"/>
          <w:marBottom w:val="0"/>
          <w:divBdr>
            <w:top w:val="none" w:sz="0" w:space="0" w:color="auto"/>
            <w:left w:val="none" w:sz="0" w:space="0" w:color="auto"/>
            <w:bottom w:val="none" w:sz="0" w:space="0" w:color="auto"/>
            <w:right w:val="none" w:sz="0" w:space="0" w:color="auto"/>
          </w:divBdr>
          <w:divsChild>
            <w:div w:id="2138789400">
              <w:marLeft w:val="0"/>
              <w:marRight w:val="0"/>
              <w:marTop w:val="0"/>
              <w:marBottom w:val="0"/>
              <w:divBdr>
                <w:top w:val="none" w:sz="0" w:space="0" w:color="auto"/>
                <w:left w:val="none" w:sz="0" w:space="0" w:color="auto"/>
                <w:bottom w:val="none" w:sz="0" w:space="0" w:color="auto"/>
                <w:right w:val="none" w:sz="0" w:space="0" w:color="auto"/>
              </w:divBdr>
              <w:divsChild>
                <w:div w:id="817308744">
                  <w:marLeft w:val="0"/>
                  <w:marRight w:val="0"/>
                  <w:marTop w:val="0"/>
                  <w:marBottom w:val="0"/>
                  <w:divBdr>
                    <w:top w:val="none" w:sz="0" w:space="0" w:color="auto"/>
                    <w:left w:val="none" w:sz="0" w:space="0" w:color="auto"/>
                    <w:bottom w:val="none" w:sz="0" w:space="0" w:color="auto"/>
                    <w:right w:val="none" w:sz="0" w:space="0" w:color="auto"/>
                  </w:divBdr>
                  <w:divsChild>
                    <w:div w:id="741953483">
                      <w:marLeft w:val="0"/>
                      <w:marRight w:val="0"/>
                      <w:marTop w:val="0"/>
                      <w:marBottom w:val="0"/>
                      <w:divBdr>
                        <w:top w:val="none" w:sz="0" w:space="0" w:color="auto"/>
                        <w:left w:val="none" w:sz="0" w:space="0" w:color="auto"/>
                        <w:bottom w:val="none" w:sz="0" w:space="0" w:color="auto"/>
                        <w:right w:val="none" w:sz="0" w:space="0" w:color="auto"/>
                      </w:divBdr>
                      <w:divsChild>
                        <w:div w:id="1658653975">
                          <w:marLeft w:val="0"/>
                          <w:marRight w:val="0"/>
                          <w:marTop w:val="0"/>
                          <w:marBottom w:val="0"/>
                          <w:divBdr>
                            <w:top w:val="none" w:sz="0" w:space="0" w:color="auto"/>
                            <w:left w:val="none" w:sz="0" w:space="0" w:color="auto"/>
                            <w:bottom w:val="none" w:sz="0" w:space="0" w:color="auto"/>
                            <w:right w:val="none" w:sz="0" w:space="0" w:color="auto"/>
                          </w:divBdr>
                          <w:divsChild>
                            <w:div w:id="5523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140900">
      <w:bodyDiv w:val="1"/>
      <w:marLeft w:val="0"/>
      <w:marRight w:val="0"/>
      <w:marTop w:val="0"/>
      <w:marBottom w:val="0"/>
      <w:divBdr>
        <w:top w:val="none" w:sz="0" w:space="0" w:color="auto"/>
        <w:left w:val="none" w:sz="0" w:space="0" w:color="auto"/>
        <w:bottom w:val="none" w:sz="0" w:space="0" w:color="auto"/>
        <w:right w:val="none" w:sz="0" w:space="0" w:color="auto"/>
      </w:divBdr>
      <w:divsChild>
        <w:div w:id="819155471">
          <w:marLeft w:val="0"/>
          <w:marRight w:val="0"/>
          <w:marTop w:val="0"/>
          <w:marBottom w:val="0"/>
          <w:divBdr>
            <w:top w:val="none" w:sz="0" w:space="0" w:color="auto"/>
            <w:left w:val="none" w:sz="0" w:space="0" w:color="auto"/>
            <w:bottom w:val="none" w:sz="0" w:space="0" w:color="auto"/>
            <w:right w:val="none" w:sz="0" w:space="0" w:color="auto"/>
          </w:divBdr>
          <w:divsChild>
            <w:div w:id="200097124">
              <w:marLeft w:val="0"/>
              <w:marRight w:val="0"/>
              <w:marTop w:val="0"/>
              <w:marBottom w:val="0"/>
              <w:divBdr>
                <w:top w:val="none" w:sz="0" w:space="0" w:color="auto"/>
                <w:left w:val="none" w:sz="0" w:space="0" w:color="auto"/>
                <w:bottom w:val="none" w:sz="0" w:space="0" w:color="auto"/>
                <w:right w:val="none" w:sz="0" w:space="0" w:color="auto"/>
              </w:divBdr>
              <w:divsChild>
                <w:div w:id="1033850022">
                  <w:marLeft w:val="0"/>
                  <w:marRight w:val="0"/>
                  <w:marTop w:val="0"/>
                  <w:marBottom w:val="0"/>
                  <w:divBdr>
                    <w:top w:val="none" w:sz="0" w:space="0" w:color="auto"/>
                    <w:left w:val="none" w:sz="0" w:space="0" w:color="auto"/>
                    <w:bottom w:val="none" w:sz="0" w:space="0" w:color="auto"/>
                    <w:right w:val="none" w:sz="0" w:space="0" w:color="auto"/>
                  </w:divBdr>
                  <w:divsChild>
                    <w:div w:id="2120642032">
                      <w:marLeft w:val="0"/>
                      <w:marRight w:val="0"/>
                      <w:marTop w:val="0"/>
                      <w:marBottom w:val="0"/>
                      <w:divBdr>
                        <w:top w:val="none" w:sz="0" w:space="0" w:color="auto"/>
                        <w:left w:val="none" w:sz="0" w:space="0" w:color="auto"/>
                        <w:bottom w:val="none" w:sz="0" w:space="0" w:color="auto"/>
                        <w:right w:val="none" w:sz="0" w:space="0" w:color="auto"/>
                      </w:divBdr>
                      <w:divsChild>
                        <w:div w:id="1176727943">
                          <w:marLeft w:val="0"/>
                          <w:marRight w:val="0"/>
                          <w:marTop w:val="0"/>
                          <w:marBottom w:val="0"/>
                          <w:divBdr>
                            <w:top w:val="none" w:sz="0" w:space="0" w:color="auto"/>
                            <w:left w:val="none" w:sz="0" w:space="0" w:color="auto"/>
                            <w:bottom w:val="none" w:sz="0" w:space="0" w:color="auto"/>
                            <w:right w:val="none" w:sz="0" w:space="0" w:color="auto"/>
                          </w:divBdr>
                          <w:divsChild>
                            <w:div w:id="7459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90993">
      <w:bodyDiv w:val="1"/>
      <w:marLeft w:val="0"/>
      <w:marRight w:val="0"/>
      <w:marTop w:val="0"/>
      <w:marBottom w:val="0"/>
      <w:divBdr>
        <w:top w:val="none" w:sz="0" w:space="0" w:color="auto"/>
        <w:left w:val="none" w:sz="0" w:space="0" w:color="auto"/>
        <w:bottom w:val="none" w:sz="0" w:space="0" w:color="auto"/>
        <w:right w:val="none" w:sz="0" w:space="0" w:color="auto"/>
      </w:divBdr>
      <w:divsChild>
        <w:div w:id="1920479921">
          <w:marLeft w:val="0"/>
          <w:marRight w:val="0"/>
          <w:marTop w:val="0"/>
          <w:marBottom w:val="0"/>
          <w:divBdr>
            <w:top w:val="none" w:sz="0" w:space="0" w:color="auto"/>
            <w:left w:val="none" w:sz="0" w:space="0" w:color="auto"/>
            <w:bottom w:val="none" w:sz="0" w:space="0" w:color="auto"/>
            <w:right w:val="none" w:sz="0" w:space="0" w:color="auto"/>
          </w:divBdr>
          <w:divsChild>
            <w:div w:id="1572035253">
              <w:marLeft w:val="0"/>
              <w:marRight w:val="0"/>
              <w:marTop w:val="0"/>
              <w:marBottom w:val="0"/>
              <w:divBdr>
                <w:top w:val="none" w:sz="0" w:space="0" w:color="auto"/>
                <w:left w:val="none" w:sz="0" w:space="0" w:color="auto"/>
                <w:bottom w:val="none" w:sz="0" w:space="0" w:color="auto"/>
                <w:right w:val="none" w:sz="0" w:space="0" w:color="auto"/>
              </w:divBdr>
              <w:divsChild>
                <w:div w:id="1206210201">
                  <w:marLeft w:val="0"/>
                  <w:marRight w:val="0"/>
                  <w:marTop w:val="0"/>
                  <w:marBottom w:val="0"/>
                  <w:divBdr>
                    <w:top w:val="none" w:sz="0" w:space="0" w:color="auto"/>
                    <w:left w:val="none" w:sz="0" w:space="0" w:color="auto"/>
                    <w:bottom w:val="none" w:sz="0" w:space="0" w:color="auto"/>
                    <w:right w:val="none" w:sz="0" w:space="0" w:color="auto"/>
                  </w:divBdr>
                  <w:divsChild>
                    <w:div w:id="381711787">
                      <w:marLeft w:val="0"/>
                      <w:marRight w:val="0"/>
                      <w:marTop w:val="0"/>
                      <w:marBottom w:val="0"/>
                      <w:divBdr>
                        <w:top w:val="none" w:sz="0" w:space="0" w:color="auto"/>
                        <w:left w:val="none" w:sz="0" w:space="0" w:color="auto"/>
                        <w:bottom w:val="none" w:sz="0" w:space="0" w:color="auto"/>
                        <w:right w:val="none" w:sz="0" w:space="0" w:color="auto"/>
                      </w:divBdr>
                      <w:divsChild>
                        <w:div w:id="791049024">
                          <w:marLeft w:val="0"/>
                          <w:marRight w:val="0"/>
                          <w:marTop w:val="0"/>
                          <w:marBottom w:val="0"/>
                          <w:divBdr>
                            <w:top w:val="none" w:sz="0" w:space="0" w:color="auto"/>
                            <w:left w:val="none" w:sz="0" w:space="0" w:color="auto"/>
                            <w:bottom w:val="none" w:sz="0" w:space="0" w:color="auto"/>
                            <w:right w:val="none" w:sz="0" w:space="0" w:color="auto"/>
                          </w:divBdr>
                          <w:divsChild>
                            <w:div w:id="23902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E5B49-8251-4F75-B03F-60BF8123D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Pages>
  <Words>828</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itamar-nainai niny</dc:creator>
  <cp:keywords/>
  <dc:description/>
  <cp:lastModifiedBy>itamar-nainai niny</cp:lastModifiedBy>
  <cp:revision>6</cp:revision>
  <dcterms:created xsi:type="dcterms:W3CDTF">2024-08-27T07:55:00Z</dcterms:created>
  <dcterms:modified xsi:type="dcterms:W3CDTF">2024-08-27T11:42:00Z</dcterms:modified>
</cp:coreProperties>
</file>