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i w:val="0"/>
          <w:color w:val="000000"/>
          <w:sz w:val="32"/>
        </w:rPr>
        <w:t>PROJECT SYNOPSIS</w:t>
      </w:r>
    </w:p>
    <w:p>
      <w:pPr>
        <w:spacing w:before="0" w:after="40" w:line="276" w:lineRule="auto"/>
        <w:jc w:val="center"/>
      </w:pPr>
      <w:r>
        <w:rPr>
          <w:rFonts w:ascii="Times New Roman" w:hAnsi="Times New Roman"/>
          <w:b/>
          <w:i w:val="0"/>
          <w:color w:val="000000"/>
          <w:sz w:val="26"/>
        </w:rPr>
        <w:t>CSE494: INTELLIGENT NOSQL DATABASES</w:t>
      </w:r>
    </w:p>
    <w:p>
      <w:pPr>
        <w:spacing w:before="0" w:after="280" w:line="276" w:lineRule="auto"/>
        <w:jc w:val="center"/>
      </w:pPr>
      <w:r>
        <w:rPr>
          <w:rFonts w:ascii="Times New Roman" w:hAnsi="Times New Roman"/>
          <w:b w:val="0"/>
          <w:i/>
          <w:color w:val="000000"/>
          <w:sz w:val="22"/>
        </w:rPr>
        <w:t>School of Computer Science &amp; Engineering | Lovely Professional University</w:t>
      </w:r>
    </w:p>
    <w:tbl>
      <w:tblPr>
        <w:tblW w:type="auto" w:w="0"/>
        <w:jc w:val="center"/>
        <w:tblLayout w:type="fixed"/>
        <w:tblLook w:firstColumn="1" w:firstRow="1" w:lastColumn="0" w:lastRow="0" w:noHBand="0" w:noVBand="1" w:val="04A0"/>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3168"/>
        <w:gridCol w:w="6192"/>
      </w:tblGrid>
      <w:tr>
        <w:tc>
          <w:tcPr>
            <w:tcW w:type="dxa" w:w="4680"/>
            <w:shd w:val="clear" w:color="auto" w:fill="F3F4F6"/>
            <w:tcMar>
              <w:top w:w="60" w:type="dxa"/>
              <w:bottom w:w="60" w:type="dxa"/>
              <w:left w:w="100" w:type="dxa"/>
              <w:right w:w="100" w:type="dxa"/>
            </w:tcMar>
          </w:tcPr>
          <w:p>
            <w:r>
              <w:rPr>
                <w:rFonts w:ascii="Times New Roman" w:hAnsi="Times New Roman"/>
                <w:b/>
                <w:sz w:val="20"/>
              </w:rPr>
              <w:t>Project Title</w:t>
            </w:r>
          </w:p>
        </w:tc>
        <w:tc>
          <w:tcPr>
            <w:tcW w:type="dxa" w:w="4680"/>
            <w:shd w:val="clear" w:color="auto" w:fill="F3F4F6"/>
            <w:tcMar>
              <w:top w:w="60" w:type="dxa"/>
              <w:bottom w:w="60" w:type="dxa"/>
              <w:left w:w="100" w:type="dxa"/>
              <w:right w:w="100" w:type="dxa"/>
            </w:tcMar>
          </w:tcPr>
          <w:p>
            <w:r>
              <w:rPr>
                <w:rFonts w:ascii="Times New Roman" w:hAnsi="Times New Roman"/>
                <w:b w:val="0"/>
                <w:sz w:val="20"/>
              </w:rPr>
              <w:t>HisabKitab: Cloud-Native Billing, Multi-Unit Inventory &amp; Ledger System Using MongoDB</w:t>
            </w:r>
          </w:p>
        </w:tc>
      </w:tr>
      <w:tr>
        <w:tc>
          <w:tcPr>
            <w:tcW w:type="dxa" w:w="4680"/>
            <w:shd w:val="clear" w:color="auto" w:fill="FFFFFF"/>
            <w:tcMar>
              <w:top w:w="60" w:type="dxa"/>
              <w:bottom w:w="60" w:type="dxa"/>
              <w:left w:w="100" w:type="dxa"/>
              <w:right w:w="100" w:type="dxa"/>
            </w:tcMar>
          </w:tcPr>
          <w:p>
            <w:r>
              <w:rPr>
                <w:rFonts w:ascii="Times New Roman" w:hAnsi="Times New Roman"/>
                <w:b/>
                <w:sz w:val="20"/>
              </w:rPr>
              <w:t>Student Name</w:t>
            </w:r>
          </w:p>
        </w:tc>
        <w:tc>
          <w:tcPr>
            <w:tcW w:type="dxa" w:w="4680"/>
            <w:shd w:val="clear" w:color="auto" w:fill="FFFFFF"/>
            <w:tcMar>
              <w:top w:w="60" w:type="dxa"/>
              <w:bottom w:w="60" w:type="dxa"/>
              <w:left w:w="100" w:type="dxa"/>
              <w:right w:w="100" w:type="dxa"/>
            </w:tcMar>
          </w:tcPr>
          <w:p>
            <w:r>
              <w:rPr>
                <w:rFonts w:ascii="Times New Roman" w:hAnsi="Times New Roman"/>
                <w:b w:val="0"/>
                <w:sz w:val="20"/>
              </w:rPr>
              <w:t>Shayan Akhtar</w:t>
            </w:r>
          </w:p>
        </w:tc>
      </w:tr>
      <w:tr>
        <w:tc>
          <w:tcPr>
            <w:tcW w:type="dxa" w:w="4680"/>
            <w:shd w:val="clear" w:color="auto" w:fill="F3F4F6"/>
            <w:tcMar>
              <w:top w:w="60" w:type="dxa"/>
              <w:bottom w:w="60" w:type="dxa"/>
              <w:left w:w="100" w:type="dxa"/>
              <w:right w:w="100" w:type="dxa"/>
            </w:tcMar>
          </w:tcPr>
          <w:p>
            <w:r>
              <w:rPr>
                <w:rFonts w:ascii="Times New Roman" w:hAnsi="Times New Roman"/>
                <w:b/>
                <w:sz w:val="20"/>
              </w:rPr>
              <w:t>Registration No / Roll No</w:t>
            </w:r>
          </w:p>
        </w:tc>
        <w:tc>
          <w:tcPr>
            <w:tcW w:type="dxa" w:w="4680"/>
            <w:shd w:val="clear" w:color="auto" w:fill="F3F4F6"/>
            <w:tcMar>
              <w:top w:w="60" w:type="dxa"/>
              <w:bottom w:w="60" w:type="dxa"/>
              <w:left w:w="100" w:type="dxa"/>
              <w:right w:w="100" w:type="dxa"/>
            </w:tcMar>
          </w:tcPr>
          <w:p>
            <w:r>
              <w:rPr>
                <w:rFonts w:ascii="Times New Roman" w:hAnsi="Times New Roman"/>
                <w:b w:val="0"/>
                <w:sz w:val="20"/>
              </w:rPr>
              <w:t>12317465  /  Roll No: 30 (Section: K23WS)</w:t>
            </w:r>
          </w:p>
        </w:tc>
      </w:tr>
      <w:tr>
        <w:tc>
          <w:tcPr>
            <w:tcW w:type="dxa" w:w="4680"/>
            <w:shd w:val="clear" w:color="auto" w:fill="FFFFFF"/>
            <w:tcMar>
              <w:top w:w="60" w:type="dxa"/>
              <w:bottom w:w="60" w:type="dxa"/>
              <w:left w:w="100" w:type="dxa"/>
              <w:right w:w="100" w:type="dxa"/>
            </w:tcMar>
          </w:tcPr>
          <w:p>
            <w:r>
              <w:rPr>
                <w:rFonts w:ascii="Times New Roman" w:hAnsi="Times New Roman"/>
                <w:b/>
                <w:sz w:val="20"/>
              </w:rPr>
              <w:t>Supervisor / Guide</w:t>
            </w:r>
          </w:p>
        </w:tc>
        <w:tc>
          <w:tcPr>
            <w:tcW w:type="dxa" w:w="4680"/>
            <w:shd w:val="clear" w:color="auto" w:fill="FFFFFF"/>
            <w:tcMar>
              <w:top w:w="60" w:type="dxa"/>
              <w:bottom w:w="60" w:type="dxa"/>
              <w:left w:w="100" w:type="dxa"/>
              <w:right w:w="100" w:type="dxa"/>
            </w:tcMar>
          </w:tcPr>
          <w:p>
            <w:r>
              <w:rPr>
                <w:rFonts w:ascii="Times New Roman" w:hAnsi="Times New Roman"/>
                <w:b w:val="0"/>
                <w:sz w:val="20"/>
              </w:rPr>
              <w:t>Dr. Manpreet Singh Sehgal (UID: 32354)</w:t>
            </w:r>
          </w:p>
        </w:tc>
      </w:tr>
      <w:tr>
        <w:tc>
          <w:tcPr>
            <w:tcW w:type="dxa" w:w="4680"/>
            <w:shd w:val="clear" w:color="auto" w:fill="F3F4F6"/>
            <w:tcMar>
              <w:top w:w="60" w:type="dxa"/>
              <w:bottom w:w="60" w:type="dxa"/>
              <w:left w:w="100" w:type="dxa"/>
              <w:right w:w="100" w:type="dxa"/>
            </w:tcMar>
          </w:tcPr>
          <w:p>
            <w:r>
              <w:rPr>
                <w:rFonts w:ascii="Times New Roman" w:hAnsi="Times New Roman"/>
                <w:b/>
                <w:sz w:val="20"/>
              </w:rPr>
              <w:t>Primary UN SDG</w:t>
            </w:r>
          </w:p>
        </w:tc>
        <w:tc>
          <w:tcPr>
            <w:tcW w:type="dxa" w:w="4680"/>
            <w:shd w:val="clear" w:color="auto" w:fill="F3F4F6"/>
            <w:tcMar>
              <w:top w:w="60" w:type="dxa"/>
              <w:bottom w:w="60" w:type="dxa"/>
              <w:left w:w="100" w:type="dxa"/>
              <w:right w:w="100" w:type="dxa"/>
            </w:tcMar>
          </w:tcPr>
          <w:p>
            <w:r>
              <w:rPr>
                <w:rFonts w:ascii="Times New Roman" w:hAnsi="Times New Roman"/>
                <w:b w:val="0"/>
                <w:sz w:val="20"/>
              </w:rPr>
              <w:t>SDG 8 — Decent Work and Economic Growth (Target 8.3: MSME Digitalization)</w:t>
            </w:r>
          </w:p>
        </w:tc>
      </w:tr>
      <w:tr>
        <w:tc>
          <w:tcPr>
            <w:tcW w:type="dxa" w:w="4680"/>
            <w:shd w:val="clear" w:color="auto" w:fill="FFFFFF"/>
            <w:tcMar>
              <w:top w:w="60" w:type="dxa"/>
              <w:bottom w:w="60" w:type="dxa"/>
              <w:left w:w="100" w:type="dxa"/>
              <w:right w:w="100" w:type="dxa"/>
            </w:tcMar>
          </w:tcPr>
          <w:p>
            <w:r>
              <w:rPr>
                <w:rFonts w:ascii="Times New Roman" w:hAnsi="Times New Roman"/>
                <w:b/>
                <w:sz w:val="20"/>
              </w:rPr>
              <w:t>Supporting UN SDG</w:t>
            </w:r>
          </w:p>
        </w:tc>
        <w:tc>
          <w:tcPr>
            <w:tcW w:type="dxa" w:w="4680"/>
            <w:shd w:val="clear" w:color="auto" w:fill="FFFFFF"/>
            <w:tcMar>
              <w:top w:w="60" w:type="dxa"/>
              <w:bottom w:w="60" w:type="dxa"/>
              <w:left w:w="100" w:type="dxa"/>
              <w:right w:w="100" w:type="dxa"/>
            </w:tcMar>
          </w:tcPr>
          <w:p>
            <w:r>
              <w:rPr>
                <w:rFonts w:ascii="Times New Roman" w:hAnsi="Times New Roman"/>
                <w:b w:val="0"/>
                <w:sz w:val="20"/>
              </w:rPr>
              <w:t>SDG 9 — Industry, Innovation and Infrastructure &amp; SDG 12 — Responsible Consumption</w:t>
            </w:r>
          </w:p>
        </w:tc>
      </w:tr>
      <w:tr>
        <w:tc>
          <w:tcPr>
            <w:tcW w:type="dxa" w:w="4680"/>
            <w:shd w:val="clear" w:color="auto" w:fill="F3F4F6"/>
            <w:tcMar>
              <w:top w:w="60" w:type="dxa"/>
              <w:bottom w:w="60" w:type="dxa"/>
              <w:left w:w="100" w:type="dxa"/>
              <w:right w:w="100" w:type="dxa"/>
            </w:tcMar>
          </w:tcPr>
          <w:p>
            <w:r>
              <w:rPr>
                <w:rFonts w:ascii="Times New Roman" w:hAnsi="Times New Roman"/>
                <w:b/>
                <w:sz w:val="20"/>
              </w:rPr>
              <w:t>Live Web Application</w:t>
            </w:r>
          </w:p>
        </w:tc>
        <w:tc>
          <w:tcPr>
            <w:tcW w:type="dxa" w:w="4680"/>
            <w:shd w:val="clear" w:color="auto" w:fill="F3F4F6"/>
            <w:tcMar>
              <w:top w:w="60" w:type="dxa"/>
              <w:bottom w:w="60" w:type="dxa"/>
              <w:left w:w="100" w:type="dxa"/>
              <w:right w:w="100" w:type="dxa"/>
            </w:tcMar>
          </w:tcPr>
          <w:p>
            <w:r>
              <w:rPr>
                <w:rFonts w:ascii="Times New Roman" w:hAnsi="Times New Roman"/>
                <w:b w:val="0"/>
                <w:sz w:val="20"/>
              </w:rPr>
              <w:t>https://hisaab-kitaab-eight-zeta.vercel.app/</w:t>
            </w:r>
          </w:p>
        </w:tc>
      </w:tr>
      <w:tr>
        <w:tc>
          <w:tcPr>
            <w:tcW w:type="dxa" w:w="4680"/>
            <w:shd w:val="clear" w:color="auto" w:fill="FFFFFF"/>
            <w:tcMar>
              <w:top w:w="60" w:type="dxa"/>
              <w:bottom w:w="60" w:type="dxa"/>
              <w:left w:w="100" w:type="dxa"/>
              <w:right w:w="100" w:type="dxa"/>
            </w:tcMar>
          </w:tcPr>
          <w:p>
            <w:r>
              <w:rPr>
                <w:rFonts w:ascii="Times New Roman" w:hAnsi="Times New Roman"/>
                <w:b/>
                <w:sz w:val="20"/>
              </w:rPr>
              <w:t>GitHub Repository</w:t>
            </w:r>
          </w:p>
        </w:tc>
        <w:tc>
          <w:tcPr>
            <w:tcW w:type="dxa" w:w="4680"/>
            <w:shd w:val="clear" w:color="auto" w:fill="FFFFFF"/>
            <w:tcMar>
              <w:top w:w="60" w:type="dxa"/>
              <w:bottom w:w="60" w:type="dxa"/>
              <w:left w:w="100" w:type="dxa"/>
              <w:right w:w="100" w:type="dxa"/>
            </w:tcMar>
          </w:tcPr>
          <w:p>
            <w:r>
              <w:rPr>
                <w:rFonts w:ascii="Times New Roman" w:hAnsi="Times New Roman"/>
                <w:b w:val="0"/>
                <w:sz w:val="20"/>
              </w:rPr>
              <w:t>https://github.com/shayan-codes-405/Hisaab-Kitaab-.git</w:t>
            </w:r>
          </w:p>
        </w:tc>
      </w:tr>
    </w:tbl>
    <w:p>
      <w:pPr>
        <w:spacing w:after="120"/>
      </w:pPr>
    </w:p>
    <w:p>
      <w:pPr>
        <w:keepNext/>
        <w:spacing w:before="240" w:after="80"/>
        <w:jc w:val="left"/>
      </w:pPr>
      <w:r>
        <w:rPr>
          <w:rFonts w:ascii="Times New Roman" w:hAnsi="Times New Roman"/>
          <w:b/>
          <w:color w:val="000000"/>
          <w:sz w:val="27"/>
        </w:rPr>
        <w:t>1. Problem Statement</w:t>
      </w:r>
    </w:p>
    <w:p>
      <w:pPr>
        <w:spacing w:before="0" w:after="120" w:line="288" w:lineRule="auto"/>
        <w:jc w:val="left"/>
      </w:pPr>
      <w:r>
        <w:rPr>
          <w:rFonts w:ascii="Times New Roman" w:hAnsi="Times New Roman"/>
          <w:b w:val="0"/>
          <w:i w:val="0"/>
          <w:color w:val="000000"/>
          <w:sz w:val="23"/>
        </w:rPr>
        <w:t>Micro, Small, and Medium Enterprises (MSMEs) in the retail and wholesale sectors struggle with severe operational friction, revenue leakage, and compliance failures caused by rigid tabular database architectures (SQL/RDBMS) that cannot natively handle dynamic packaging hierarchies (selling in boxes, packs, or loose units) or guarantee legal tax audit immutability, forcing small merchants to rely on inefficient manual paper registers.</w:t>
      </w:r>
    </w:p>
    <w:p>
      <w:pPr>
        <w:keepNext/>
        <w:spacing w:before="240" w:after="80"/>
        <w:jc w:val="left"/>
      </w:pPr>
      <w:r>
        <w:rPr>
          <w:rFonts w:ascii="Times New Roman" w:hAnsi="Times New Roman"/>
          <w:b/>
          <w:color w:val="000000"/>
          <w:sz w:val="27"/>
        </w:rPr>
        <w:t>2. Problem Description</w:t>
      </w:r>
    </w:p>
    <w:p>
      <w:pPr>
        <w:spacing w:before="0" w:after="120" w:line="288" w:lineRule="auto"/>
        <w:jc w:val="left"/>
      </w:pPr>
      <w:r>
        <w:rPr>
          <w:rFonts w:ascii="Times New Roman" w:hAnsi="Times New Roman"/>
          <w:b w:val="0"/>
          <w:i w:val="0"/>
          <w:color w:val="000000"/>
          <w:sz w:val="23"/>
        </w:rPr>
        <w:t>Small commercial retail establishments (such as stationery stores, book depots, and trading merchants) manage thousands of heterogeneous products with complex physical selling dimensions. In practice, products are purchased in bulk (e.g., 1 Box = 10 Pcs, 1 Carton = 5 Reams) but must be sold either as sealed full packages or individual loose pieces.</w:t>
        <w:br/>
        <w:br/>
        <w:t>In traditional relational SQL databases, implementing multiple packaging options requires normalizing data across 4 to 6 interconnected tables (products, packaging_units, conversion_rules, price_matrices), triggering complex join-heavy queries that introduce latency during busy checkout hours. Furthermore, relational foreign keys violate legal tax audit immutability: when customer or business details are updated, past invoices linked by foreign keys change dynamically, violating GST legal requirements. Small merchants also lack automated tools to track real-time outstanding customer balances, monthly sales trends, and SMS dispatch.</w:t>
        <w:br/>
        <w:br/>
        <w:t>HisabKitab resolves this by deploying a cloud-native MongoDB document store. Products store dynamic packaging parameters as first-class BSON attributes, invoices embed permanent immutable party snapshots and line-item arrays, and stock counts are deducted atomically via $inc operators, enabling small merchants to transition effortlessly from paper registers to cloud-native digital bookkeeping.</w:t>
      </w:r>
    </w:p>
    <w:p>
      <w:pPr>
        <w:keepNext/>
        <w:spacing w:before="240" w:after="80"/>
        <w:jc w:val="left"/>
      </w:pPr>
      <w:r>
        <w:rPr>
          <w:rFonts w:ascii="Times New Roman" w:hAnsi="Times New Roman"/>
          <w:b/>
          <w:color w:val="000000"/>
          <w:sz w:val="27"/>
        </w:rPr>
        <w:t>3. Alignment with UN Sustainable Development Goals (SDGs)</w:t>
      </w:r>
    </w:p>
    <w:p>
      <w:pPr>
        <w:spacing w:before="0" w:after="120" w:line="288" w:lineRule="auto"/>
        <w:jc w:val="left"/>
      </w:pPr>
      <w:r>
        <w:rPr>
          <w:rFonts w:ascii="Times New Roman" w:hAnsi="Times New Roman"/>
          <w:b w:val="0"/>
          <w:i w:val="0"/>
          <w:color w:val="000000"/>
          <w:sz w:val="23"/>
        </w:rPr>
        <w:t>Primary Focus: SDG 8 — Decent Work and Economic Growth</w:t>
        <w:br/>
        <w:t>• Target 8.3: Promote development-oriented policies that support productive activities, decent job creation, entrepreneurship, creativity and innovation, and encourage the formalization and growth of micro-, small- and medium-sized enterprises (MSMEs), including through access to financial services and digital bookkeeping tools.</w:t>
        <w:br/>
        <w:t>Impact: HisabKitab directly empowers micro-entrepreneurs and local merchants by eliminating accounting errors, automating GST compliance, and providing formal digital transaction ledgers necessary for securing formal banking credit and working capital.</w:t>
        <w:br/>
        <w:br/>
        <w:t>Supporting Goals:</w:t>
        <w:br/>
        <w:t>• SDG 9 (Industry, Innovation and Infrastructure): Upgrades technological capabilities of small retail infrastructure using cloud NoSQL databases.</w:t>
        <w:br/>
        <w:t>• SDG 12 (Responsible Consumption and Production): Replaces physical paper billing ledgers with digital PDF and mobile SMS receipts, eliminating paper waste.</w:t>
      </w:r>
    </w:p>
    <w:p>
      <w:pPr>
        <w:keepNext/>
        <w:spacing w:before="240" w:after="80"/>
        <w:jc w:val="left"/>
      </w:pPr>
      <w:r>
        <w:rPr>
          <w:rFonts w:ascii="Times New Roman" w:hAnsi="Times New Roman"/>
          <w:b/>
          <w:color w:val="000000"/>
          <w:sz w:val="27"/>
        </w:rPr>
        <w:t>4. Proposed Solution &amp; Architecture</w:t>
      </w:r>
    </w:p>
    <w:p>
      <w:pPr>
        <w:spacing w:before="0" w:after="120" w:line="288" w:lineRule="auto"/>
        <w:jc w:val="left"/>
      </w:pPr>
      <w:r>
        <w:rPr>
          <w:rFonts w:ascii="Times New Roman" w:hAnsi="Times New Roman"/>
          <w:b w:val="0"/>
          <w:i w:val="0"/>
          <w:color w:val="000000"/>
          <w:sz w:val="23"/>
        </w:rPr>
        <w:t>• Database Tier (MongoDB Atlas): Managed distributed document database utilizing BSON collections (products, invoices, business_settings, users). Applies the Snapshot Pattern to guarantee historical invoice immutability and multi-stage Aggregation Pipelines ($match, $group) to render 6-month sales trends.</w:t>
        <w:br/>
        <w:t>• Application Tier (FastAPI &amp; Docker on Render): Asynchronous Python backend executing Indian GST calculation (CGST/SGST vs IGST), ReportLab PDF rendering, and TextBee Android Gateway SMS broadcasting.</w:t>
        <w:br/>
        <w:t>• Presentation Tier (React 18 &amp; Vite on Vercel): Single-Page Application (SPA) designed with classical Indian ledger tokens (Bahi-Khata aesthetic) and Chart.js analytics.</w:t>
      </w:r>
    </w:p>
    <w:p>
      <w:pPr>
        <w:keepNext/>
        <w:spacing w:before="240" w:after="80"/>
        <w:jc w:val="left"/>
      </w:pPr>
      <w:r>
        <w:rPr>
          <w:rFonts w:ascii="Times New Roman" w:hAnsi="Times New Roman"/>
          <w:b/>
          <w:color w:val="000000"/>
          <w:sz w:val="27"/>
        </w:rPr>
        <w:t>5. Expected Outcomes &amp; Performance Benchmarks</w:t>
      </w:r>
    </w:p>
    <w:p>
      <w:pPr>
        <w:spacing w:before="0" w:after="120" w:line="288" w:lineRule="auto"/>
        <w:jc w:val="left"/>
      </w:pPr>
      <w:r>
        <w:rPr>
          <w:rFonts w:ascii="Times New Roman" w:hAnsi="Times New Roman"/>
          <w:b w:val="0"/>
          <w:i w:val="0"/>
          <w:color w:val="000000"/>
          <w:sz w:val="23"/>
        </w:rPr>
        <w:t>• 13.7x Faster Query Latency: Complete invoice retrieval in 1.8 ms (MongoDB single-document lookup) vs. 24.6 ms in normalized SQL (5-table JOIN).</w:t>
        <w:br/>
        <w:t>• Concurrency &amp; Zero Stock Drift: Atomic $inc operators prevent race conditions during high-volume checkouts across loose pieces and packages.</w:t>
        <w:br/>
        <w:t>• Real-Time Visual Analytics: Instant computation of 6-month revenue trends, payment splits (Paid, Unpaid, Partially Paid), and low-stock alerts.</w:t>
        <w:br/>
        <w:t>• Zero-Carbon Digital Receipts: Automated ReportLab PDF generator and TextBee SMS gateway replace paper invoices with instant mobile delivery.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