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5F654" w14:textId="4253B01D" w:rsidR="00C146C4" w:rsidRDefault="00C146C4" w:rsidP="004F011D">
      <w:pPr>
        <w:pStyle w:val="Subtitle"/>
        <w:spacing w:after="0"/>
        <w:rPr>
          <w:szCs w:val="24"/>
        </w:rPr>
      </w:pPr>
      <w:bookmarkStart w:id="0" w:name="_Toc14789508"/>
      <w:bookmarkStart w:id="1" w:name="_Hlk41917604"/>
      <w:bookmarkStart w:id="2" w:name="_cp_text_1_3355"/>
      <w:r w:rsidRPr="004F011D">
        <w:rPr>
          <w:rStyle w:val="TitleChar"/>
          <w:b/>
        </w:rPr>
        <w:t>APPENDIX A TO THE PRICING ATTACHMENT</w:t>
      </w:r>
      <w:r w:rsidR="002F4AA7">
        <w:rPr>
          <w:rStyle w:val="FootnoteReference"/>
        </w:rPr>
        <w:footnoteReference w:id="1"/>
      </w:r>
      <w:r w:rsidR="00FD648D">
        <w:rPr>
          <w:rStyle w:val="TitleChar"/>
          <w:b/>
        </w:rPr>
        <w:t xml:space="preserve"> </w:t>
      </w:r>
      <w:r w:rsidR="00FD648D" w:rsidRPr="00EE272C">
        <w:rPr>
          <w:rStyle w:val="TitleChar"/>
          <w:b/>
          <w:sz w:val="14"/>
        </w:rPr>
        <w:t>(CT)</w:t>
      </w:r>
      <w:bookmarkEnd w:id="0"/>
    </w:p>
    <w:p w14:paraId="202548B5" w14:textId="77777777" w:rsidR="009D4C2B" w:rsidRDefault="009D4C2B" w:rsidP="00C146C4">
      <w:pPr>
        <w:pStyle w:val="Subtitle"/>
        <w:spacing w:after="0" w:line="240" w:lineRule="auto"/>
        <w:rPr>
          <w:szCs w:val="24"/>
        </w:rPr>
      </w:pPr>
    </w:p>
    <w:p w14:paraId="61158C85" w14:textId="7F7A669A" w:rsidR="009D4C2B" w:rsidRDefault="009D4C2B" w:rsidP="00C146C4">
      <w:pPr>
        <w:pStyle w:val="Subtitle"/>
        <w:spacing w:after="0" w:line="240" w:lineRule="auto"/>
        <w:rPr>
          <w:szCs w:val="24"/>
        </w:rPr>
      </w:pPr>
      <w:r>
        <w:rPr>
          <w:szCs w:val="24"/>
        </w:rPr>
        <w:t>THE SOUTHERN NEW ENGLAND TELEPHONE COMPANY</w:t>
      </w:r>
    </w:p>
    <w:p w14:paraId="42AD8C15" w14:textId="312C0572" w:rsidR="00C146C4" w:rsidRDefault="009D4C2B" w:rsidP="009D4C2B">
      <w:pPr>
        <w:pStyle w:val="Subtitle"/>
        <w:spacing w:after="0" w:line="240" w:lineRule="auto"/>
        <w:rPr>
          <w:szCs w:val="24"/>
        </w:rPr>
      </w:pPr>
      <w:r>
        <w:rPr>
          <w:szCs w:val="24"/>
        </w:rPr>
        <w:t xml:space="preserve">Connecticut </w:t>
      </w:r>
      <w:r w:rsidR="002F4AA7">
        <w:rPr>
          <w:szCs w:val="24"/>
        </w:rPr>
        <w:t>v2.</w:t>
      </w:r>
      <w:r w:rsidR="003C2817">
        <w:rPr>
          <w:szCs w:val="24"/>
        </w:rPr>
        <w:t>1</w:t>
      </w:r>
    </w:p>
    <w:p w14:paraId="70861E7D" w14:textId="644C8570" w:rsidR="009D4C2B" w:rsidRDefault="009D4C2B" w:rsidP="009D4C2B">
      <w:pPr>
        <w:pStyle w:val="Subtitle"/>
        <w:spacing w:after="0" w:line="240" w:lineRule="auto"/>
        <w:rPr>
          <w:szCs w:val="24"/>
        </w:rPr>
      </w:pPr>
    </w:p>
    <w:p w14:paraId="66A80668" w14:textId="77777777" w:rsidR="009D4C2B" w:rsidRDefault="009D4C2B" w:rsidP="009D4C2B">
      <w:pPr>
        <w:pStyle w:val="Subtitle"/>
        <w:spacing w:after="0" w:line="240" w:lineRule="auto"/>
        <w:rPr>
          <w:szCs w:val="24"/>
        </w:rPr>
      </w:pPr>
    </w:p>
    <w:p w14:paraId="3BB29B6F" w14:textId="77777777" w:rsidR="00C146C4" w:rsidRDefault="00C146C4" w:rsidP="00266D6C">
      <w:pPr>
        <w:pStyle w:val="contract7"/>
        <w:numPr>
          <w:ilvl w:val="6"/>
          <w:numId w:val="22"/>
        </w:numPr>
        <w:spacing w:line="240" w:lineRule="auto"/>
        <w:rPr>
          <w:szCs w:val="24"/>
        </w:rPr>
      </w:pPr>
      <w:r>
        <w:rPr>
          <w:szCs w:val="24"/>
        </w:rPr>
        <w:t>Rates and Charges for Transport and Termination of Traffic</w:t>
      </w:r>
      <w:bookmarkStart w:id="3" w:name="_cp_text_28_10"/>
      <w:r>
        <w:rPr>
          <w:rStyle w:val="FootnoteReference"/>
          <w:b w:val="0"/>
          <w:szCs w:val="24"/>
        </w:rPr>
        <w:footnoteReference w:id="2"/>
      </w:r>
      <w:bookmarkEnd w:id="3"/>
    </w:p>
    <w:p w14:paraId="4E01C671" w14:textId="77777777" w:rsidR="00C146C4" w:rsidRDefault="00C146C4" w:rsidP="00266D6C">
      <w:pPr>
        <w:pStyle w:val="contract8"/>
        <w:numPr>
          <w:ilvl w:val="7"/>
          <w:numId w:val="22"/>
        </w:numPr>
        <w:tabs>
          <w:tab w:val="decimal" w:pos="6480"/>
        </w:tabs>
        <w:spacing w:line="240" w:lineRule="auto"/>
        <w:ind w:left="1080" w:hanging="360"/>
        <w:rPr>
          <w:szCs w:val="24"/>
        </w:rPr>
      </w:pPr>
      <w:bookmarkStart w:id="4" w:name="_cp_text_1_15"/>
      <w:r>
        <w:rPr>
          <w:szCs w:val="24"/>
        </w:rPr>
        <w:t>Reciprocal Compensation Traffic Termination</w:t>
      </w:r>
    </w:p>
    <w:bookmarkEnd w:id="4"/>
    <w:p w14:paraId="3526C414" w14:textId="358480FD" w:rsidR="00C146C4" w:rsidRDefault="00C146C4" w:rsidP="00EE272C">
      <w:pPr>
        <w:tabs>
          <w:tab w:val="left" w:pos="1440"/>
          <w:tab w:val="decimal" w:pos="6480"/>
        </w:tabs>
        <w:ind w:left="1080" w:hanging="360"/>
        <w:rPr>
          <w:b/>
          <w:szCs w:val="24"/>
        </w:rPr>
      </w:pPr>
      <w:r>
        <w:rPr>
          <w:szCs w:val="24"/>
        </w:rPr>
        <w:t xml:space="preserve">    </w:t>
      </w:r>
      <w:r>
        <w:rPr>
          <w:szCs w:val="24"/>
        </w:rPr>
        <w:tab/>
      </w:r>
      <w:r>
        <w:rPr>
          <w:szCs w:val="24"/>
        </w:rPr>
        <w:tab/>
        <w:t>Reciprocal Compens</w:t>
      </w:r>
      <w:r w:rsidR="00EE272C">
        <w:rPr>
          <w:szCs w:val="24"/>
        </w:rPr>
        <w:t>ation Traffic End Office Rate:</w:t>
      </w:r>
      <w:r w:rsidR="00EE272C">
        <w:rPr>
          <w:szCs w:val="24"/>
        </w:rPr>
        <w:tab/>
      </w:r>
      <w:r w:rsidR="00EE272C">
        <w:rPr>
          <w:szCs w:val="24"/>
        </w:rPr>
        <w:tab/>
      </w:r>
      <w:r>
        <w:rPr>
          <w:b/>
          <w:szCs w:val="24"/>
        </w:rPr>
        <w:t>Bill and Keep</w:t>
      </w:r>
    </w:p>
    <w:p w14:paraId="2B3D03BD" w14:textId="77777777" w:rsidR="00C146C4" w:rsidRDefault="00C146C4" w:rsidP="00EE272C">
      <w:pPr>
        <w:tabs>
          <w:tab w:val="decimal" w:pos="6480"/>
        </w:tabs>
        <w:ind w:left="1080" w:hanging="360"/>
        <w:rPr>
          <w:szCs w:val="24"/>
        </w:rPr>
      </w:pPr>
    </w:p>
    <w:p w14:paraId="5EC546A5" w14:textId="77777777" w:rsidR="00C146C4" w:rsidRDefault="00C146C4" w:rsidP="00EE272C">
      <w:pPr>
        <w:tabs>
          <w:tab w:val="left" w:pos="1440"/>
          <w:tab w:val="decimal" w:pos="6480"/>
        </w:tabs>
        <w:ind w:left="1080" w:hanging="360"/>
        <w:rPr>
          <w:b/>
          <w:szCs w:val="24"/>
        </w:rPr>
      </w:pPr>
      <w:r>
        <w:rPr>
          <w:szCs w:val="24"/>
        </w:rPr>
        <w:t xml:space="preserve">    </w:t>
      </w:r>
      <w:r>
        <w:rPr>
          <w:szCs w:val="24"/>
        </w:rPr>
        <w:tab/>
      </w:r>
      <w:r>
        <w:rPr>
          <w:szCs w:val="24"/>
        </w:rPr>
        <w:tab/>
        <w:t xml:space="preserve">Reciprocal Compensation Traffic Tandem Rate:  </w:t>
      </w:r>
      <w:r>
        <w:rPr>
          <w:szCs w:val="24"/>
        </w:rPr>
        <w:tab/>
      </w:r>
      <w:r>
        <w:rPr>
          <w:szCs w:val="24"/>
        </w:rPr>
        <w:tab/>
      </w:r>
      <w:r>
        <w:rPr>
          <w:b/>
          <w:szCs w:val="24"/>
        </w:rPr>
        <w:t>Bill and Keep</w:t>
      </w:r>
    </w:p>
    <w:p w14:paraId="513411BD" w14:textId="77777777" w:rsidR="00C146C4" w:rsidRDefault="00C146C4" w:rsidP="00EE272C">
      <w:pPr>
        <w:tabs>
          <w:tab w:val="left" w:pos="1440"/>
          <w:tab w:val="decimal" w:pos="6480"/>
        </w:tabs>
        <w:ind w:left="1080"/>
        <w:rPr>
          <w:b/>
          <w:szCs w:val="24"/>
        </w:rPr>
      </w:pPr>
    </w:p>
    <w:p w14:paraId="55996BC8" w14:textId="7F87F38C" w:rsidR="00C146C4" w:rsidRDefault="00C146C4" w:rsidP="00266D6C">
      <w:pPr>
        <w:pStyle w:val="contract8"/>
        <w:numPr>
          <w:ilvl w:val="7"/>
          <w:numId w:val="22"/>
        </w:numPr>
        <w:tabs>
          <w:tab w:val="decimal" w:pos="6480"/>
        </w:tabs>
        <w:spacing w:line="240" w:lineRule="auto"/>
        <w:ind w:left="1080" w:hanging="360"/>
        <w:rPr>
          <w:szCs w:val="24"/>
        </w:rPr>
      </w:pPr>
      <w:r>
        <w:rPr>
          <w:szCs w:val="24"/>
        </w:rPr>
        <w:t>Transit Service</w:t>
      </w:r>
      <w:r w:rsidR="00EE272C">
        <w:rPr>
          <w:szCs w:val="24"/>
        </w:rPr>
        <w:t>, where applicable</w:t>
      </w:r>
      <w:r>
        <w:rPr>
          <w:szCs w:val="24"/>
        </w:rPr>
        <w:tab/>
        <w:t>$ 0.00</w:t>
      </w:r>
      <w:r w:rsidR="00F159BB">
        <w:rPr>
          <w:szCs w:val="24"/>
        </w:rPr>
        <w:t>08520</w:t>
      </w:r>
      <w:r>
        <w:rPr>
          <w:szCs w:val="24"/>
        </w:rPr>
        <w:t>/mou</w:t>
      </w:r>
      <w:r>
        <w:rPr>
          <w:szCs w:val="24"/>
        </w:rPr>
        <w:tab/>
      </w:r>
    </w:p>
    <w:p w14:paraId="23EC3FB3" w14:textId="77777777" w:rsidR="00C146C4" w:rsidRDefault="00C146C4" w:rsidP="00266D6C">
      <w:pPr>
        <w:pStyle w:val="contract8"/>
        <w:numPr>
          <w:ilvl w:val="7"/>
          <w:numId w:val="22"/>
        </w:numPr>
        <w:tabs>
          <w:tab w:val="decimal" w:pos="6480"/>
        </w:tabs>
        <w:spacing w:line="240" w:lineRule="auto"/>
        <w:ind w:left="1080" w:hanging="360"/>
        <w:rPr>
          <w:b/>
          <w:szCs w:val="24"/>
        </w:rPr>
      </w:pPr>
      <w:bookmarkStart w:id="5" w:name="_cp_text_1_21"/>
      <w:r>
        <w:rPr>
          <w:szCs w:val="24"/>
        </w:rPr>
        <w:t xml:space="preserve">Entrance Facility and Transport for Interconnection Charges:  </w:t>
      </w:r>
      <w:r>
        <w:rPr>
          <w:b/>
          <w:szCs w:val="24"/>
        </w:rPr>
        <w:t>Per Intrastate Special Access Tariff</w:t>
      </w:r>
    </w:p>
    <w:p w14:paraId="39546CA7" w14:textId="77777777" w:rsidR="00C146C4" w:rsidRDefault="00C146C4" w:rsidP="00266D6C">
      <w:pPr>
        <w:pStyle w:val="contract8"/>
        <w:numPr>
          <w:ilvl w:val="7"/>
          <w:numId w:val="22"/>
        </w:numPr>
        <w:tabs>
          <w:tab w:val="decimal" w:pos="6480"/>
        </w:tabs>
        <w:spacing w:line="240" w:lineRule="auto"/>
        <w:ind w:left="1080" w:hanging="360"/>
        <w:rPr>
          <w:b/>
          <w:szCs w:val="24"/>
        </w:rPr>
      </w:pPr>
      <w:bookmarkStart w:id="6" w:name="_cp_blt_1_22"/>
      <w:bookmarkStart w:id="7" w:name="_cp_text_1_23"/>
      <w:bookmarkEnd w:id="5"/>
      <w:r>
        <w:rPr>
          <w:szCs w:val="24"/>
        </w:rPr>
        <w:t>E</w:t>
      </w:r>
      <w:bookmarkEnd w:id="6"/>
      <w:r>
        <w:rPr>
          <w:szCs w:val="24"/>
        </w:rPr>
        <w:t xml:space="preserve">xchange Access Service:  </w:t>
      </w:r>
      <w:r>
        <w:rPr>
          <w:b/>
          <w:szCs w:val="24"/>
        </w:rPr>
        <w:t>Per Frontier Interstate and/or Frontier Intrastate Access Tariff</w:t>
      </w:r>
    </w:p>
    <w:bookmarkEnd w:id="7"/>
    <w:p w14:paraId="76D9061A" w14:textId="77777777" w:rsidR="00C146C4" w:rsidRDefault="00C146C4" w:rsidP="00C146C4">
      <w:pPr>
        <w:tabs>
          <w:tab w:val="decimal" w:pos="6840"/>
        </w:tabs>
        <w:rPr>
          <w:szCs w:val="24"/>
        </w:rPr>
      </w:pPr>
    </w:p>
    <w:p w14:paraId="7ECBFF90" w14:textId="77777777" w:rsidR="00C146C4" w:rsidRDefault="00C146C4" w:rsidP="00C146C4">
      <w:pPr>
        <w:rPr>
          <w:szCs w:val="24"/>
        </w:rPr>
      </w:pPr>
    </w:p>
    <w:p w14:paraId="73183BB5" w14:textId="77777777" w:rsidR="00C146C4" w:rsidRDefault="00C146C4" w:rsidP="00C146C4">
      <w:pPr>
        <w:rPr>
          <w:szCs w:val="24"/>
        </w:rPr>
      </w:pPr>
      <w:r>
        <w:rPr>
          <w:szCs w:val="24"/>
        </w:rPr>
        <w:br w:type="page"/>
      </w:r>
    </w:p>
    <w:p w14:paraId="03B78D76" w14:textId="53215BCF" w:rsidR="00C146C4" w:rsidRPr="002F4AA7" w:rsidRDefault="002F4AA7" w:rsidP="00266D6C">
      <w:pPr>
        <w:pStyle w:val="contract7"/>
        <w:numPr>
          <w:ilvl w:val="6"/>
          <w:numId w:val="22"/>
        </w:numPr>
        <w:spacing w:line="240" w:lineRule="auto"/>
        <w:rPr>
          <w:szCs w:val="24"/>
        </w:rPr>
      </w:pPr>
      <w:r w:rsidRPr="002F4AA7">
        <w:rPr>
          <w:szCs w:val="24"/>
        </w:rPr>
        <w:lastRenderedPageBreak/>
        <w:t>Non-Recurring Charges (NRCs) for Resale Services</w:t>
      </w:r>
    </w:p>
    <w:p w14:paraId="5970D70F" w14:textId="77777777" w:rsidR="00C146C4" w:rsidRDefault="00C146C4" w:rsidP="00C146C4">
      <w:pPr>
        <w:ind w:left="720"/>
        <w:rPr>
          <w:szCs w:val="24"/>
        </w:rPr>
      </w:pPr>
      <w:r>
        <w:rPr>
          <w:szCs w:val="24"/>
        </w:rPr>
        <w:t>Pre-ordering</w:t>
      </w:r>
    </w:p>
    <w:p w14:paraId="58F74DFD" w14:textId="77777777" w:rsidR="00C146C4" w:rsidRDefault="00C146C4" w:rsidP="00C146C4">
      <w:pPr>
        <w:ind w:left="720"/>
        <w:rPr>
          <w:szCs w:val="24"/>
        </w:rPr>
      </w:pPr>
    </w:p>
    <w:p w14:paraId="2277C033" w14:textId="77777777" w:rsidR="00C146C4" w:rsidRDefault="00C146C4" w:rsidP="00EE272C">
      <w:pPr>
        <w:tabs>
          <w:tab w:val="decimal" w:pos="7920"/>
        </w:tabs>
        <w:ind w:left="1080"/>
        <w:rPr>
          <w:szCs w:val="24"/>
        </w:rPr>
      </w:pPr>
      <w:r>
        <w:rPr>
          <w:szCs w:val="24"/>
        </w:rPr>
        <w:t>Carrier Account Establishment Per CLEC</w:t>
      </w:r>
      <w:r>
        <w:rPr>
          <w:szCs w:val="24"/>
        </w:rPr>
        <w:tab/>
        <w:t>$   275.09</w:t>
      </w:r>
    </w:p>
    <w:p w14:paraId="67151D79" w14:textId="77777777" w:rsidR="00C146C4" w:rsidRDefault="00C146C4" w:rsidP="00EE272C">
      <w:pPr>
        <w:tabs>
          <w:tab w:val="decimal" w:pos="7920"/>
        </w:tabs>
        <w:ind w:left="1080"/>
        <w:rPr>
          <w:szCs w:val="24"/>
        </w:rPr>
      </w:pPr>
      <w:r>
        <w:rPr>
          <w:szCs w:val="24"/>
        </w:rPr>
        <w:t>Customer Record Search Per Account</w:t>
      </w:r>
      <w:r>
        <w:rPr>
          <w:szCs w:val="24"/>
        </w:rPr>
        <w:tab/>
        <w:t>$     11.77</w:t>
      </w:r>
    </w:p>
    <w:p w14:paraId="30188698" w14:textId="77777777" w:rsidR="00C146C4" w:rsidRDefault="00C146C4" w:rsidP="00C146C4">
      <w:pPr>
        <w:tabs>
          <w:tab w:val="decimal" w:pos="7920"/>
        </w:tabs>
        <w:ind w:left="1440"/>
        <w:rPr>
          <w:szCs w:val="24"/>
        </w:rPr>
      </w:pPr>
    </w:p>
    <w:p w14:paraId="37F054AE" w14:textId="77777777" w:rsidR="00C146C4" w:rsidRDefault="00C146C4" w:rsidP="00C146C4">
      <w:pPr>
        <w:tabs>
          <w:tab w:val="decimal" w:pos="7920"/>
        </w:tabs>
        <w:ind w:left="720"/>
        <w:rPr>
          <w:szCs w:val="24"/>
        </w:rPr>
      </w:pPr>
      <w:r>
        <w:rPr>
          <w:szCs w:val="24"/>
        </w:rPr>
        <w:t>Ordering and Provisioning</w:t>
      </w:r>
    </w:p>
    <w:p w14:paraId="19ED5A6D" w14:textId="77777777" w:rsidR="00C146C4" w:rsidRDefault="00C146C4" w:rsidP="00C146C4">
      <w:pPr>
        <w:tabs>
          <w:tab w:val="decimal" w:pos="7920"/>
        </w:tabs>
        <w:ind w:left="720"/>
        <w:rPr>
          <w:szCs w:val="24"/>
        </w:rPr>
      </w:pPr>
    </w:p>
    <w:p w14:paraId="41B2B873" w14:textId="77777777" w:rsidR="00C146C4" w:rsidRDefault="00C146C4" w:rsidP="00EE272C">
      <w:pPr>
        <w:tabs>
          <w:tab w:val="decimal" w:pos="7920"/>
        </w:tabs>
        <w:ind w:left="1080"/>
        <w:rPr>
          <w:szCs w:val="24"/>
        </w:rPr>
      </w:pPr>
      <w:r>
        <w:rPr>
          <w:szCs w:val="24"/>
        </w:rPr>
        <w:t>Engineered Initial Service Order (ISO) - New Service</w:t>
      </w:r>
      <w:r>
        <w:rPr>
          <w:szCs w:val="24"/>
        </w:rPr>
        <w:tab/>
      </w:r>
      <w:proofErr w:type="gramStart"/>
      <w:r>
        <w:rPr>
          <w:szCs w:val="24"/>
        </w:rPr>
        <w:t>$  340.38</w:t>
      </w:r>
      <w:proofErr w:type="gramEnd"/>
    </w:p>
    <w:p w14:paraId="005AFE1B" w14:textId="77777777" w:rsidR="00C146C4" w:rsidRDefault="00C146C4" w:rsidP="00EE272C">
      <w:pPr>
        <w:tabs>
          <w:tab w:val="decimal" w:pos="7920"/>
        </w:tabs>
        <w:ind w:left="1080"/>
        <w:rPr>
          <w:szCs w:val="24"/>
        </w:rPr>
      </w:pPr>
      <w:r>
        <w:rPr>
          <w:szCs w:val="24"/>
        </w:rPr>
        <w:t>Engineered Initial Service Order - As Specified</w:t>
      </w:r>
      <w:r>
        <w:rPr>
          <w:szCs w:val="24"/>
        </w:rPr>
        <w:tab/>
      </w:r>
      <w:proofErr w:type="gramStart"/>
      <w:r>
        <w:rPr>
          <w:szCs w:val="24"/>
        </w:rPr>
        <w:t>$  130.48</w:t>
      </w:r>
      <w:proofErr w:type="gramEnd"/>
    </w:p>
    <w:p w14:paraId="3DD2FB9E" w14:textId="77777777" w:rsidR="00C146C4" w:rsidRDefault="00C146C4" w:rsidP="00EE272C">
      <w:pPr>
        <w:tabs>
          <w:tab w:val="decimal" w:pos="7920"/>
        </w:tabs>
        <w:ind w:left="1080"/>
        <w:rPr>
          <w:szCs w:val="24"/>
        </w:rPr>
      </w:pPr>
      <w:r>
        <w:rPr>
          <w:szCs w:val="24"/>
        </w:rPr>
        <w:t>Engineered Subsequent Service Order</w:t>
      </w:r>
      <w:r>
        <w:rPr>
          <w:szCs w:val="24"/>
        </w:rPr>
        <w:tab/>
        <w:t>$    64.88</w:t>
      </w:r>
    </w:p>
    <w:p w14:paraId="620BC3E0" w14:textId="77777777" w:rsidR="00C146C4" w:rsidRDefault="00C146C4" w:rsidP="00EE272C">
      <w:pPr>
        <w:tabs>
          <w:tab w:val="decimal" w:pos="7920"/>
        </w:tabs>
        <w:ind w:left="1080"/>
        <w:rPr>
          <w:szCs w:val="24"/>
        </w:rPr>
      </w:pPr>
      <w:r>
        <w:rPr>
          <w:szCs w:val="24"/>
        </w:rPr>
        <w:t>Non-Engineered Initial Service Order - New Service</w:t>
      </w:r>
      <w:r>
        <w:rPr>
          <w:szCs w:val="24"/>
        </w:rPr>
        <w:tab/>
        <w:t>$    37.74</w:t>
      </w:r>
    </w:p>
    <w:p w14:paraId="78664AAE" w14:textId="77777777" w:rsidR="00C146C4" w:rsidRDefault="00C146C4" w:rsidP="00EE272C">
      <w:pPr>
        <w:tabs>
          <w:tab w:val="decimal" w:pos="7920"/>
        </w:tabs>
        <w:ind w:left="1080"/>
        <w:rPr>
          <w:szCs w:val="24"/>
        </w:rPr>
      </w:pPr>
      <w:r>
        <w:rPr>
          <w:szCs w:val="24"/>
        </w:rPr>
        <w:t>Non-Engineered Initial Service Order – Changeover</w:t>
      </w:r>
      <w:r>
        <w:rPr>
          <w:szCs w:val="24"/>
        </w:rPr>
        <w:tab/>
        <w:t>$    21.59</w:t>
      </w:r>
    </w:p>
    <w:p w14:paraId="074BDB0B" w14:textId="77777777" w:rsidR="00C146C4" w:rsidRDefault="00C146C4" w:rsidP="00EE272C">
      <w:pPr>
        <w:tabs>
          <w:tab w:val="decimal" w:pos="7920"/>
        </w:tabs>
        <w:ind w:left="1080"/>
        <w:rPr>
          <w:szCs w:val="24"/>
        </w:rPr>
      </w:pPr>
      <w:r>
        <w:rPr>
          <w:szCs w:val="24"/>
        </w:rPr>
        <w:t>Non-Engineered Initial Service Order - As Specified</w:t>
      </w:r>
      <w:r>
        <w:rPr>
          <w:szCs w:val="24"/>
        </w:rPr>
        <w:tab/>
        <w:t>$    52.30</w:t>
      </w:r>
    </w:p>
    <w:p w14:paraId="041EE2C8" w14:textId="77777777" w:rsidR="00C146C4" w:rsidRDefault="00C146C4" w:rsidP="00EE272C">
      <w:pPr>
        <w:tabs>
          <w:tab w:val="decimal" w:pos="7920"/>
        </w:tabs>
        <w:ind w:left="1080"/>
        <w:rPr>
          <w:szCs w:val="24"/>
        </w:rPr>
      </w:pPr>
      <w:r>
        <w:rPr>
          <w:szCs w:val="24"/>
        </w:rPr>
        <w:t>Non-Engineered Subsequent Service Order</w:t>
      </w:r>
      <w:r>
        <w:rPr>
          <w:szCs w:val="24"/>
        </w:rPr>
        <w:tab/>
        <w:t>$    19.27</w:t>
      </w:r>
    </w:p>
    <w:p w14:paraId="2FEEC575" w14:textId="77777777" w:rsidR="00C146C4" w:rsidRDefault="00C146C4" w:rsidP="00EE272C">
      <w:pPr>
        <w:tabs>
          <w:tab w:val="decimal" w:pos="7920"/>
        </w:tabs>
        <w:ind w:left="1080"/>
        <w:rPr>
          <w:szCs w:val="24"/>
        </w:rPr>
      </w:pPr>
    </w:p>
    <w:p w14:paraId="7619F92F" w14:textId="77777777" w:rsidR="00C146C4" w:rsidRDefault="00C146C4" w:rsidP="00EE272C">
      <w:pPr>
        <w:tabs>
          <w:tab w:val="decimal" w:pos="7920"/>
        </w:tabs>
        <w:ind w:left="1080"/>
        <w:rPr>
          <w:szCs w:val="24"/>
        </w:rPr>
      </w:pPr>
      <w:r>
        <w:rPr>
          <w:szCs w:val="24"/>
        </w:rPr>
        <w:t>Central Office Connect</w:t>
      </w:r>
      <w:r>
        <w:rPr>
          <w:szCs w:val="24"/>
        </w:rPr>
        <w:tab/>
        <w:t>$      6.84</w:t>
      </w:r>
    </w:p>
    <w:p w14:paraId="5D797E8D" w14:textId="77777777" w:rsidR="00C146C4" w:rsidRDefault="00C146C4" w:rsidP="00EE272C">
      <w:pPr>
        <w:tabs>
          <w:tab w:val="decimal" w:pos="7920"/>
        </w:tabs>
        <w:ind w:left="1080"/>
        <w:rPr>
          <w:szCs w:val="24"/>
        </w:rPr>
      </w:pPr>
      <w:r>
        <w:rPr>
          <w:szCs w:val="24"/>
        </w:rPr>
        <w:t>Outside Facility Connect</w:t>
      </w:r>
      <w:r>
        <w:rPr>
          <w:szCs w:val="24"/>
        </w:rPr>
        <w:tab/>
        <w:t>$    88.03</w:t>
      </w:r>
    </w:p>
    <w:p w14:paraId="18F8D871" w14:textId="77777777" w:rsidR="00C146C4" w:rsidRDefault="00C146C4" w:rsidP="00EE272C">
      <w:pPr>
        <w:tabs>
          <w:tab w:val="decimal" w:pos="7920"/>
        </w:tabs>
        <w:ind w:left="1080"/>
        <w:rPr>
          <w:szCs w:val="24"/>
        </w:rPr>
      </w:pPr>
      <w:r>
        <w:rPr>
          <w:szCs w:val="24"/>
        </w:rPr>
        <w:t>Manual Ordering Charge</w:t>
      </w:r>
      <w:r>
        <w:rPr>
          <w:szCs w:val="24"/>
        </w:rPr>
        <w:tab/>
        <w:t>$    12.01</w:t>
      </w:r>
    </w:p>
    <w:p w14:paraId="1D942C23" w14:textId="77777777" w:rsidR="00C146C4" w:rsidRDefault="00C146C4" w:rsidP="00EE272C">
      <w:pPr>
        <w:tabs>
          <w:tab w:val="decimal" w:pos="7920"/>
        </w:tabs>
        <w:ind w:left="1080"/>
        <w:rPr>
          <w:szCs w:val="24"/>
        </w:rPr>
      </w:pPr>
    </w:p>
    <w:p w14:paraId="586E0052" w14:textId="77777777" w:rsidR="00C146C4" w:rsidRDefault="00C146C4" w:rsidP="00C146C4">
      <w:pPr>
        <w:tabs>
          <w:tab w:val="decimal" w:pos="7920"/>
        </w:tabs>
        <w:ind w:left="720"/>
        <w:rPr>
          <w:szCs w:val="24"/>
        </w:rPr>
      </w:pPr>
      <w:r>
        <w:rPr>
          <w:szCs w:val="24"/>
        </w:rPr>
        <w:t>Product Specific:</w:t>
      </w:r>
    </w:p>
    <w:p w14:paraId="0F0F402E" w14:textId="77777777" w:rsidR="00C146C4" w:rsidRDefault="00C146C4" w:rsidP="00C146C4">
      <w:pPr>
        <w:tabs>
          <w:tab w:val="decimal" w:pos="7920"/>
        </w:tabs>
        <w:rPr>
          <w:szCs w:val="24"/>
        </w:rPr>
      </w:pPr>
    </w:p>
    <w:p w14:paraId="571DD7E3" w14:textId="41CBEE30" w:rsidR="00C146C4" w:rsidRDefault="00C146C4" w:rsidP="00C146C4">
      <w:pPr>
        <w:tabs>
          <w:tab w:val="decimal" w:pos="7920"/>
        </w:tabs>
        <w:ind w:left="720"/>
        <w:rPr>
          <w:szCs w:val="24"/>
        </w:rPr>
      </w:pPr>
      <w:r>
        <w:rPr>
          <w:szCs w:val="24"/>
        </w:rPr>
        <w:t xml:space="preserve">NRCs, other than those for Pre-ordering, Ordering and Provisioning, and Custom Handling as listed in this Appendix, will be charged from the appropriate retail tariff. </w:t>
      </w:r>
    </w:p>
    <w:p w14:paraId="2EEFFBA1" w14:textId="77777777" w:rsidR="00C146C4" w:rsidRDefault="00C146C4" w:rsidP="00C146C4">
      <w:pPr>
        <w:tabs>
          <w:tab w:val="decimal" w:pos="7920"/>
        </w:tabs>
        <w:rPr>
          <w:szCs w:val="24"/>
        </w:rPr>
      </w:pPr>
    </w:p>
    <w:p w14:paraId="47951300" w14:textId="77777777" w:rsidR="00C146C4" w:rsidRDefault="00C146C4" w:rsidP="00C146C4">
      <w:pPr>
        <w:tabs>
          <w:tab w:val="decimal" w:pos="7920"/>
        </w:tabs>
        <w:ind w:left="720"/>
        <w:rPr>
          <w:szCs w:val="24"/>
        </w:rPr>
      </w:pPr>
      <w:r>
        <w:rPr>
          <w:szCs w:val="24"/>
        </w:rPr>
        <w:t>Custom Handling:</w:t>
      </w:r>
    </w:p>
    <w:p w14:paraId="3D06B3BA" w14:textId="77777777" w:rsidR="00C146C4" w:rsidRDefault="00C146C4" w:rsidP="00C146C4">
      <w:pPr>
        <w:tabs>
          <w:tab w:val="decimal" w:pos="7920"/>
        </w:tabs>
        <w:rPr>
          <w:szCs w:val="24"/>
        </w:rPr>
      </w:pPr>
    </w:p>
    <w:p w14:paraId="4529C069" w14:textId="77777777" w:rsidR="00C146C4" w:rsidRDefault="00C146C4" w:rsidP="00EE272C">
      <w:pPr>
        <w:tabs>
          <w:tab w:val="decimal" w:pos="7920"/>
        </w:tabs>
        <w:ind w:left="1080"/>
        <w:rPr>
          <w:szCs w:val="24"/>
        </w:rPr>
      </w:pPr>
      <w:r>
        <w:rPr>
          <w:szCs w:val="24"/>
        </w:rPr>
        <w:t>Service Order Expedite:</w:t>
      </w:r>
    </w:p>
    <w:p w14:paraId="6DC74DD0" w14:textId="77777777" w:rsidR="00C146C4" w:rsidRDefault="00C146C4" w:rsidP="00EE272C">
      <w:pPr>
        <w:tabs>
          <w:tab w:val="decimal" w:pos="7920"/>
        </w:tabs>
        <w:ind w:left="1440"/>
        <w:rPr>
          <w:szCs w:val="24"/>
        </w:rPr>
      </w:pPr>
      <w:r>
        <w:rPr>
          <w:szCs w:val="24"/>
        </w:rPr>
        <w:t xml:space="preserve">Engineered </w:t>
      </w:r>
      <w:r>
        <w:rPr>
          <w:szCs w:val="24"/>
        </w:rPr>
        <w:tab/>
        <w:t>$    54.36</w:t>
      </w:r>
    </w:p>
    <w:p w14:paraId="12012452" w14:textId="77777777" w:rsidR="00C146C4" w:rsidRDefault="00C146C4" w:rsidP="00EE272C">
      <w:pPr>
        <w:tabs>
          <w:tab w:val="decimal" w:pos="7920"/>
        </w:tabs>
        <w:ind w:left="1440"/>
        <w:rPr>
          <w:szCs w:val="24"/>
        </w:rPr>
      </w:pPr>
      <w:r>
        <w:rPr>
          <w:szCs w:val="24"/>
        </w:rPr>
        <w:t xml:space="preserve">Non-Engineered </w:t>
      </w:r>
      <w:r>
        <w:rPr>
          <w:szCs w:val="24"/>
        </w:rPr>
        <w:tab/>
        <w:t>$      5.71</w:t>
      </w:r>
    </w:p>
    <w:p w14:paraId="50DB05BA" w14:textId="77777777" w:rsidR="00C146C4" w:rsidRDefault="00C146C4" w:rsidP="00EE272C">
      <w:pPr>
        <w:tabs>
          <w:tab w:val="decimal" w:pos="7920"/>
        </w:tabs>
        <w:ind w:left="1080"/>
        <w:rPr>
          <w:szCs w:val="24"/>
        </w:rPr>
      </w:pPr>
    </w:p>
    <w:p w14:paraId="7D77834A" w14:textId="77777777" w:rsidR="00C146C4" w:rsidRDefault="00C146C4" w:rsidP="00EE272C">
      <w:pPr>
        <w:tabs>
          <w:tab w:val="decimal" w:pos="7920"/>
        </w:tabs>
        <w:ind w:left="1080"/>
        <w:rPr>
          <w:szCs w:val="24"/>
        </w:rPr>
      </w:pPr>
      <w:r>
        <w:rPr>
          <w:szCs w:val="24"/>
        </w:rPr>
        <w:t>Coordinated Conversions:</w:t>
      </w:r>
      <w:r>
        <w:rPr>
          <w:szCs w:val="24"/>
        </w:rPr>
        <w:tab/>
        <w:t xml:space="preserve"> $    24.42</w:t>
      </w:r>
    </w:p>
    <w:p w14:paraId="6CF49C1A" w14:textId="77777777" w:rsidR="00C146C4" w:rsidRDefault="00C146C4" w:rsidP="00EE272C">
      <w:pPr>
        <w:tabs>
          <w:tab w:val="decimal" w:pos="7920"/>
        </w:tabs>
        <w:ind w:left="1080"/>
        <w:rPr>
          <w:szCs w:val="24"/>
        </w:rPr>
      </w:pPr>
      <w:r>
        <w:rPr>
          <w:szCs w:val="24"/>
        </w:rPr>
        <w:t>Central Office Connection</w:t>
      </w:r>
      <w:r>
        <w:rPr>
          <w:szCs w:val="24"/>
        </w:rPr>
        <w:tab/>
        <w:t>$    10.89</w:t>
      </w:r>
    </w:p>
    <w:p w14:paraId="7F1572C6" w14:textId="77777777" w:rsidR="00C146C4" w:rsidRDefault="00C146C4" w:rsidP="00EE272C">
      <w:pPr>
        <w:tabs>
          <w:tab w:val="decimal" w:pos="7920"/>
        </w:tabs>
        <w:ind w:left="1080"/>
        <w:rPr>
          <w:szCs w:val="24"/>
        </w:rPr>
      </w:pPr>
      <w:r>
        <w:rPr>
          <w:szCs w:val="24"/>
        </w:rPr>
        <w:t>Outside Facility Connection</w:t>
      </w:r>
      <w:r>
        <w:rPr>
          <w:szCs w:val="24"/>
        </w:rPr>
        <w:tab/>
        <w:t>$      8.96</w:t>
      </w:r>
    </w:p>
    <w:p w14:paraId="74E11455" w14:textId="77777777" w:rsidR="00C146C4" w:rsidRDefault="00C146C4" w:rsidP="00EE272C">
      <w:pPr>
        <w:tabs>
          <w:tab w:val="decimal" w:pos="7920"/>
        </w:tabs>
        <w:ind w:left="1080"/>
        <w:rPr>
          <w:szCs w:val="24"/>
        </w:rPr>
      </w:pPr>
    </w:p>
    <w:p w14:paraId="79D5EB33" w14:textId="77777777" w:rsidR="00C146C4" w:rsidRDefault="00C146C4" w:rsidP="00EE272C">
      <w:pPr>
        <w:tabs>
          <w:tab w:val="decimal" w:pos="7920"/>
        </w:tabs>
        <w:ind w:left="1080"/>
        <w:rPr>
          <w:szCs w:val="24"/>
        </w:rPr>
      </w:pPr>
      <w:r>
        <w:rPr>
          <w:szCs w:val="24"/>
        </w:rPr>
        <w:t>Hot Coordinated Conversion First Hour:</w:t>
      </w:r>
    </w:p>
    <w:p w14:paraId="1EACFA24" w14:textId="77777777" w:rsidR="00C146C4" w:rsidRDefault="00C146C4" w:rsidP="00EE272C">
      <w:pPr>
        <w:tabs>
          <w:tab w:val="decimal" w:pos="7920"/>
        </w:tabs>
        <w:ind w:left="1440"/>
        <w:rPr>
          <w:szCs w:val="24"/>
        </w:rPr>
      </w:pPr>
      <w:r>
        <w:rPr>
          <w:szCs w:val="24"/>
        </w:rPr>
        <w:t>ISO</w:t>
      </w:r>
      <w:r>
        <w:rPr>
          <w:szCs w:val="24"/>
        </w:rPr>
        <w:tab/>
        <w:t>$    31.28</w:t>
      </w:r>
    </w:p>
    <w:p w14:paraId="6D04FF3B" w14:textId="77777777" w:rsidR="00C146C4" w:rsidRDefault="00C146C4" w:rsidP="00EE272C">
      <w:pPr>
        <w:tabs>
          <w:tab w:val="decimal" w:pos="7920"/>
        </w:tabs>
        <w:ind w:left="1440"/>
        <w:rPr>
          <w:szCs w:val="24"/>
        </w:rPr>
      </w:pPr>
      <w:r>
        <w:rPr>
          <w:szCs w:val="24"/>
        </w:rPr>
        <w:t>Central Office Connection</w:t>
      </w:r>
      <w:r>
        <w:rPr>
          <w:szCs w:val="24"/>
        </w:rPr>
        <w:tab/>
        <w:t>$    43.58</w:t>
      </w:r>
    </w:p>
    <w:p w14:paraId="73C07790" w14:textId="77777777" w:rsidR="00C146C4" w:rsidRDefault="00C146C4" w:rsidP="00EE272C">
      <w:pPr>
        <w:tabs>
          <w:tab w:val="decimal" w:pos="7920"/>
        </w:tabs>
        <w:ind w:left="1440"/>
        <w:rPr>
          <w:szCs w:val="24"/>
        </w:rPr>
      </w:pPr>
      <w:r>
        <w:rPr>
          <w:szCs w:val="24"/>
        </w:rPr>
        <w:t>Outside Facility Connection</w:t>
      </w:r>
      <w:r>
        <w:rPr>
          <w:szCs w:val="24"/>
        </w:rPr>
        <w:tab/>
        <w:t>$    35.83</w:t>
      </w:r>
    </w:p>
    <w:p w14:paraId="39B7B657" w14:textId="77777777" w:rsidR="00C146C4" w:rsidRDefault="00C146C4" w:rsidP="00EE272C">
      <w:pPr>
        <w:tabs>
          <w:tab w:val="decimal" w:pos="7920"/>
        </w:tabs>
        <w:ind w:left="1080"/>
        <w:rPr>
          <w:szCs w:val="24"/>
        </w:rPr>
      </w:pPr>
    </w:p>
    <w:p w14:paraId="57DAF827" w14:textId="77777777" w:rsidR="00C146C4" w:rsidRDefault="00C146C4" w:rsidP="00EE272C">
      <w:pPr>
        <w:tabs>
          <w:tab w:val="decimal" w:pos="7920"/>
        </w:tabs>
        <w:ind w:left="1080"/>
        <w:rPr>
          <w:szCs w:val="24"/>
        </w:rPr>
      </w:pPr>
      <w:r>
        <w:rPr>
          <w:szCs w:val="24"/>
        </w:rPr>
        <w:t>Hot Coordinated Conversion per Additional Quarter Hour:</w:t>
      </w:r>
    </w:p>
    <w:p w14:paraId="066ED420" w14:textId="77777777" w:rsidR="00C146C4" w:rsidRDefault="00C146C4" w:rsidP="00EE272C">
      <w:pPr>
        <w:tabs>
          <w:tab w:val="decimal" w:pos="7920"/>
        </w:tabs>
        <w:ind w:left="1440"/>
        <w:rPr>
          <w:szCs w:val="24"/>
        </w:rPr>
      </w:pPr>
      <w:r>
        <w:rPr>
          <w:szCs w:val="24"/>
        </w:rPr>
        <w:t>ISO</w:t>
      </w:r>
      <w:r>
        <w:rPr>
          <w:szCs w:val="24"/>
        </w:rPr>
        <w:tab/>
        <w:t>$      6.56</w:t>
      </w:r>
    </w:p>
    <w:p w14:paraId="64CC8EF0" w14:textId="77777777" w:rsidR="00C146C4" w:rsidRDefault="00C146C4" w:rsidP="00EE272C">
      <w:pPr>
        <w:tabs>
          <w:tab w:val="decimal" w:pos="7920"/>
        </w:tabs>
        <w:ind w:left="1440"/>
        <w:rPr>
          <w:szCs w:val="24"/>
        </w:rPr>
      </w:pPr>
      <w:r>
        <w:rPr>
          <w:szCs w:val="24"/>
        </w:rPr>
        <w:t>Central Office Connection</w:t>
      </w:r>
      <w:r>
        <w:rPr>
          <w:szCs w:val="24"/>
        </w:rPr>
        <w:tab/>
        <w:t>$    10.89</w:t>
      </w:r>
    </w:p>
    <w:p w14:paraId="169479B0" w14:textId="77777777" w:rsidR="00C146C4" w:rsidRDefault="00C146C4" w:rsidP="00EE272C">
      <w:pPr>
        <w:tabs>
          <w:tab w:val="decimal" w:pos="7920"/>
        </w:tabs>
        <w:ind w:left="1440"/>
        <w:rPr>
          <w:szCs w:val="24"/>
        </w:rPr>
      </w:pPr>
      <w:r>
        <w:rPr>
          <w:szCs w:val="24"/>
        </w:rPr>
        <w:t>Outside Facility Connection</w:t>
      </w:r>
      <w:r>
        <w:rPr>
          <w:szCs w:val="24"/>
        </w:rPr>
        <w:tab/>
        <w:t>$      8.96</w:t>
      </w:r>
    </w:p>
    <w:p w14:paraId="590D0903" w14:textId="77777777" w:rsidR="00C146C4" w:rsidRDefault="00C146C4" w:rsidP="00C146C4">
      <w:pPr>
        <w:tabs>
          <w:tab w:val="decimal" w:pos="7920"/>
        </w:tabs>
        <w:rPr>
          <w:szCs w:val="24"/>
        </w:rPr>
      </w:pPr>
    </w:p>
    <w:p w14:paraId="641F9B25" w14:textId="77777777" w:rsidR="00C146C4" w:rsidRDefault="00C146C4" w:rsidP="00C146C4">
      <w:pPr>
        <w:rPr>
          <w:szCs w:val="24"/>
        </w:rPr>
      </w:pPr>
    </w:p>
    <w:p w14:paraId="2B8FB93A" w14:textId="77777777" w:rsidR="00C146C4" w:rsidRDefault="00C146C4" w:rsidP="00C146C4">
      <w:pPr>
        <w:rPr>
          <w:szCs w:val="24"/>
        </w:rPr>
      </w:pPr>
      <w:r>
        <w:rPr>
          <w:szCs w:val="24"/>
        </w:rPr>
        <w:br w:type="page"/>
      </w:r>
    </w:p>
    <w:p w14:paraId="43C1B74B" w14:textId="77777777" w:rsidR="00C146C4" w:rsidRDefault="00C146C4" w:rsidP="00C146C4">
      <w:pPr>
        <w:rPr>
          <w:b/>
          <w:szCs w:val="24"/>
        </w:rPr>
      </w:pPr>
      <w:r>
        <w:rPr>
          <w:b/>
          <w:szCs w:val="24"/>
        </w:rPr>
        <w:lastRenderedPageBreak/>
        <w:t>Application of NRCs</w:t>
      </w:r>
    </w:p>
    <w:p w14:paraId="79A18E30" w14:textId="77777777" w:rsidR="00C146C4" w:rsidRDefault="00C146C4" w:rsidP="00C146C4">
      <w:pPr>
        <w:rPr>
          <w:b/>
          <w:szCs w:val="24"/>
        </w:rPr>
      </w:pPr>
    </w:p>
    <w:p w14:paraId="45D8AE64" w14:textId="77777777" w:rsidR="00C146C4" w:rsidRDefault="00C146C4" w:rsidP="00C146C4">
      <w:pPr>
        <w:rPr>
          <w:szCs w:val="24"/>
        </w:rPr>
      </w:pPr>
      <w:r>
        <w:rPr>
          <w:szCs w:val="24"/>
        </w:rPr>
        <w:t>Pre-ordering:</w:t>
      </w:r>
    </w:p>
    <w:p w14:paraId="24A6FBFC" w14:textId="77777777" w:rsidR="00C146C4" w:rsidRDefault="00C146C4" w:rsidP="00C146C4">
      <w:pPr>
        <w:rPr>
          <w:szCs w:val="24"/>
        </w:rPr>
      </w:pPr>
    </w:p>
    <w:p w14:paraId="351DBB3A" w14:textId="0C0EBDDE" w:rsidR="00C146C4" w:rsidRDefault="00C146C4" w:rsidP="00C146C4">
      <w:pPr>
        <w:ind w:left="720"/>
        <w:rPr>
          <w:szCs w:val="24"/>
        </w:rPr>
      </w:pPr>
      <w:r>
        <w:rPr>
          <w:szCs w:val="24"/>
        </w:rPr>
        <w:t xml:space="preserve">Carrier Account Establishment is a one-time charge applied the first time that </w:t>
      </w:r>
      <w:r w:rsidR="00DD2424">
        <w:rPr>
          <w:color w:val="000000"/>
          <w:szCs w:val="24"/>
        </w:rPr>
        <w:t>{{ACNA}}</w:t>
      </w:r>
      <w:r>
        <w:rPr>
          <w:color w:val="000000"/>
          <w:szCs w:val="24"/>
        </w:rPr>
        <w:t xml:space="preserve"> </w:t>
      </w:r>
      <w:r>
        <w:rPr>
          <w:szCs w:val="24"/>
        </w:rPr>
        <w:t>orders any service from this Agreement.</w:t>
      </w:r>
    </w:p>
    <w:p w14:paraId="50A48140" w14:textId="77777777" w:rsidR="00C146C4" w:rsidRDefault="00C146C4" w:rsidP="00C146C4">
      <w:pPr>
        <w:ind w:left="720"/>
        <w:rPr>
          <w:szCs w:val="24"/>
        </w:rPr>
      </w:pPr>
    </w:p>
    <w:p w14:paraId="51FF64A4" w14:textId="2B7365FF" w:rsidR="00C146C4" w:rsidRDefault="00C146C4" w:rsidP="00C146C4">
      <w:pPr>
        <w:ind w:left="720"/>
        <w:rPr>
          <w:szCs w:val="24"/>
        </w:rPr>
      </w:pPr>
      <w:r>
        <w:rPr>
          <w:szCs w:val="24"/>
        </w:rPr>
        <w:t xml:space="preserve">Customer Record Search applies when </w:t>
      </w:r>
      <w:r w:rsidR="00DD2424">
        <w:rPr>
          <w:color w:val="000000"/>
          <w:szCs w:val="24"/>
        </w:rPr>
        <w:t>{{ACNA}}</w:t>
      </w:r>
      <w:r>
        <w:rPr>
          <w:szCs w:val="24"/>
        </w:rPr>
        <w:t xml:space="preserve"> requests a summary of the services currently subscribed to by the end-user.</w:t>
      </w:r>
    </w:p>
    <w:p w14:paraId="4DC4D31A" w14:textId="77777777" w:rsidR="00C146C4" w:rsidRDefault="00C146C4" w:rsidP="00C146C4">
      <w:pPr>
        <w:ind w:left="720"/>
        <w:rPr>
          <w:szCs w:val="24"/>
        </w:rPr>
      </w:pPr>
    </w:p>
    <w:p w14:paraId="12E35906" w14:textId="77777777" w:rsidR="00C146C4" w:rsidRDefault="00C146C4" w:rsidP="00C146C4">
      <w:pPr>
        <w:rPr>
          <w:szCs w:val="24"/>
        </w:rPr>
      </w:pPr>
      <w:r>
        <w:rPr>
          <w:szCs w:val="24"/>
        </w:rPr>
        <w:t>Ordering and Provisioning:</w:t>
      </w:r>
    </w:p>
    <w:p w14:paraId="36DB0715" w14:textId="77777777" w:rsidR="00C146C4" w:rsidRDefault="00C146C4" w:rsidP="00C146C4">
      <w:pPr>
        <w:rPr>
          <w:szCs w:val="24"/>
        </w:rPr>
      </w:pPr>
    </w:p>
    <w:p w14:paraId="0BAB8A8C" w14:textId="77777777" w:rsidR="00C146C4" w:rsidRDefault="00C146C4" w:rsidP="00C146C4">
      <w:pPr>
        <w:ind w:left="720"/>
        <w:rPr>
          <w:szCs w:val="24"/>
        </w:rPr>
      </w:pPr>
      <w:r>
        <w:rPr>
          <w:szCs w:val="24"/>
        </w:rPr>
        <w:t>Engineered Initial Service Order - New Service applies per Local Service Request (LSR) when engineering work activity is required to complete the order, e.g. digital loops.</w:t>
      </w:r>
    </w:p>
    <w:p w14:paraId="4EEECF23" w14:textId="77777777" w:rsidR="00C146C4" w:rsidRDefault="00C146C4" w:rsidP="00C146C4">
      <w:pPr>
        <w:ind w:left="720"/>
        <w:rPr>
          <w:szCs w:val="24"/>
        </w:rPr>
      </w:pPr>
    </w:p>
    <w:p w14:paraId="3A8D46FC" w14:textId="77777777" w:rsidR="00C146C4" w:rsidRDefault="00C146C4" w:rsidP="00C146C4">
      <w:pPr>
        <w:ind w:left="720"/>
        <w:rPr>
          <w:szCs w:val="24"/>
        </w:rPr>
      </w:pPr>
      <w:r>
        <w:rPr>
          <w:szCs w:val="24"/>
        </w:rPr>
        <w:t>Non-Engineered Initial Service Order - New Service applies per LSR when no engineering work activity is required to complete the order, e.g. analog loops.</w:t>
      </w:r>
    </w:p>
    <w:p w14:paraId="58E90025" w14:textId="77777777" w:rsidR="00C146C4" w:rsidRDefault="00C146C4" w:rsidP="00C146C4">
      <w:pPr>
        <w:ind w:left="720"/>
        <w:rPr>
          <w:szCs w:val="24"/>
        </w:rPr>
      </w:pPr>
    </w:p>
    <w:p w14:paraId="7DB77A08" w14:textId="362C910F" w:rsidR="00C146C4" w:rsidRDefault="00C146C4" w:rsidP="00C146C4">
      <w:pPr>
        <w:ind w:left="720"/>
        <w:rPr>
          <w:szCs w:val="24"/>
        </w:rPr>
      </w:pPr>
      <w:r>
        <w:rPr>
          <w:szCs w:val="24"/>
        </w:rPr>
        <w:t xml:space="preserve">Initial Service Order - As Specified (Engineered or Non-Engineered) applies only to Complex Services for services migrating from Frontier to </w:t>
      </w:r>
      <w:r w:rsidR="00DD2424">
        <w:rPr>
          <w:color w:val="000000"/>
          <w:szCs w:val="24"/>
        </w:rPr>
        <w:t>{{ACNA}}</w:t>
      </w:r>
      <w:r>
        <w:rPr>
          <w:szCs w:val="24"/>
        </w:rPr>
        <w:t>. Complex Services are services that require a data gathering form or have special instructions.</w:t>
      </w:r>
    </w:p>
    <w:p w14:paraId="02D18902" w14:textId="77777777" w:rsidR="00C146C4" w:rsidRDefault="00C146C4" w:rsidP="00C146C4">
      <w:pPr>
        <w:ind w:left="720"/>
        <w:rPr>
          <w:szCs w:val="24"/>
        </w:rPr>
      </w:pPr>
    </w:p>
    <w:p w14:paraId="3B81CE32" w14:textId="4D99A7F1" w:rsidR="00C146C4" w:rsidRDefault="00C146C4" w:rsidP="00C146C4">
      <w:pPr>
        <w:ind w:left="720"/>
        <w:rPr>
          <w:szCs w:val="24"/>
        </w:rPr>
      </w:pPr>
      <w:r>
        <w:rPr>
          <w:szCs w:val="24"/>
        </w:rPr>
        <w:t xml:space="preserve">Non-Engineered. Initial Service Order - Changeover applies only to Basic Services for services migrating from Frontier to </w:t>
      </w:r>
      <w:r w:rsidR="00DD2424">
        <w:rPr>
          <w:color w:val="000000"/>
          <w:szCs w:val="24"/>
        </w:rPr>
        <w:t>{{ACNA}}</w:t>
      </w:r>
      <w:r>
        <w:rPr>
          <w:szCs w:val="24"/>
        </w:rPr>
        <w:t>. End-user service may remain the same or change.</w:t>
      </w:r>
    </w:p>
    <w:p w14:paraId="7DD01E0B" w14:textId="77777777" w:rsidR="00C146C4" w:rsidRDefault="00C146C4" w:rsidP="00C146C4">
      <w:pPr>
        <w:ind w:left="720"/>
        <w:rPr>
          <w:szCs w:val="24"/>
        </w:rPr>
      </w:pPr>
    </w:p>
    <w:p w14:paraId="341D8096" w14:textId="77777777" w:rsidR="00C146C4" w:rsidRDefault="00C146C4" w:rsidP="00C146C4">
      <w:pPr>
        <w:ind w:left="720"/>
        <w:rPr>
          <w:szCs w:val="24"/>
        </w:rPr>
      </w:pPr>
      <w:r>
        <w:rPr>
          <w:szCs w:val="24"/>
        </w:rPr>
        <w:t>Central Office Connect applies in addition to the ISO when physical installation is required at the central office.</w:t>
      </w:r>
    </w:p>
    <w:p w14:paraId="6ADAC63E" w14:textId="77777777" w:rsidR="00C146C4" w:rsidRDefault="00C146C4" w:rsidP="00C146C4">
      <w:pPr>
        <w:ind w:left="720"/>
        <w:rPr>
          <w:szCs w:val="24"/>
        </w:rPr>
      </w:pPr>
    </w:p>
    <w:p w14:paraId="65F42ADD" w14:textId="77777777" w:rsidR="00C146C4" w:rsidRDefault="00C146C4" w:rsidP="00C146C4">
      <w:pPr>
        <w:ind w:left="720"/>
        <w:rPr>
          <w:szCs w:val="24"/>
        </w:rPr>
      </w:pPr>
      <w:r>
        <w:rPr>
          <w:szCs w:val="24"/>
        </w:rPr>
        <w:t>Outside Facility Connect applies in addition to the ISO when incremental fieldwork is required.</w:t>
      </w:r>
    </w:p>
    <w:p w14:paraId="631D4151" w14:textId="77777777" w:rsidR="00C146C4" w:rsidRDefault="00C146C4" w:rsidP="00C146C4">
      <w:pPr>
        <w:ind w:left="720"/>
        <w:rPr>
          <w:szCs w:val="24"/>
        </w:rPr>
      </w:pPr>
    </w:p>
    <w:p w14:paraId="745FA2E1" w14:textId="36A151F5" w:rsidR="00C146C4" w:rsidRDefault="00C146C4" w:rsidP="00C146C4">
      <w:pPr>
        <w:ind w:left="720"/>
        <w:rPr>
          <w:szCs w:val="24"/>
        </w:rPr>
      </w:pPr>
      <w:r>
        <w:rPr>
          <w:szCs w:val="24"/>
        </w:rPr>
        <w:t xml:space="preserve">Manual Ordering Charge applies to orders that require Frontier to manually enter </w:t>
      </w:r>
      <w:r w:rsidR="00DD2424">
        <w:rPr>
          <w:color w:val="000000"/>
          <w:szCs w:val="24"/>
        </w:rPr>
        <w:t>{{ACNA}}</w:t>
      </w:r>
      <w:r>
        <w:rPr>
          <w:szCs w:val="24"/>
        </w:rPr>
        <w:t xml:space="preserve">'s order into Frontier's Secure Integrated Gateway System (SIGS), </w:t>
      </w:r>
      <w:proofErr w:type="gramStart"/>
      <w:r>
        <w:rPr>
          <w:szCs w:val="24"/>
        </w:rPr>
        <w:t>e.g.</w:t>
      </w:r>
      <w:proofErr w:type="gramEnd"/>
      <w:r>
        <w:rPr>
          <w:szCs w:val="24"/>
        </w:rPr>
        <w:t xml:space="preserve"> faxed orders and orders sent via physical or electronic mail.</w:t>
      </w:r>
    </w:p>
    <w:p w14:paraId="13F88581" w14:textId="77777777" w:rsidR="00C146C4" w:rsidRDefault="00C146C4" w:rsidP="00C146C4">
      <w:pPr>
        <w:ind w:left="720"/>
        <w:rPr>
          <w:szCs w:val="24"/>
        </w:rPr>
      </w:pPr>
    </w:p>
    <w:p w14:paraId="402671C4" w14:textId="77777777" w:rsidR="00C146C4" w:rsidRDefault="00C146C4" w:rsidP="00C146C4">
      <w:pPr>
        <w:rPr>
          <w:szCs w:val="24"/>
        </w:rPr>
      </w:pPr>
      <w:r>
        <w:rPr>
          <w:szCs w:val="24"/>
        </w:rPr>
        <w:t>Custom Handling (These NRCs are in addition to any Preordering or Ordering and Provisioning NRCs):</w:t>
      </w:r>
    </w:p>
    <w:p w14:paraId="1DE7461F" w14:textId="458267F1" w:rsidR="00C146C4" w:rsidRDefault="00C146C4" w:rsidP="00C146C4">
      <w:pPr>
        <w:ind w:left="720"/>
        <w:rPr>
          <w:szCs w:val="24"/>
        </w:rPr>
      </w:pPr>
      <w:r>
        <w:rPr>
          <w:szCs w:val="24"/>
        </w:rPr>
        <w:t xml:space="preserve">Service Order Expedite (Engineered or Non-Engineered) applies if </w:t>
      </w:r>
      <w:r w:rsidR="00DD2424">
        <w:rPr>
          <w:color w:val="000000"/>
          <w:szCs w:val="24"/>
        </w:rPr>
        <w:t>{{ACNA}}</w:t>
      </w:r>
      <w:r>
        <w:rPr>
          <w:szCs w:val="24"/>
        </w:rPr>
        <w:t xml:space="preserve"> requests service prior to the standard due date intervals.</w:t>
      </w:r>
    </w:p>
    <w:p w14:paraId="4C79C58A" w14:textId="77777777" w:rsidR="00C146C4" w:rsidRDefault="00C146C4" w:rsidP="00C146C4">
      <w:pPr>
        <w:ind w:left="720"/>
        <w:rPr>
          <w:szCs w:val="24"/>
        </w:rPr>
      </w:pPr>
    </w:p>
    <w:p w14:paraId="769C1466" w14:textId="71459BC9" w:rsidR="00C146C4" w:rsidRDefault="00C146C4" w:rsidP="00C146C4">
      <w:pPr>
        <w:ind w:left="720"/>
        <w:rPr>
          <w:szCs w:val="24"/>
        </w:rPr>
      </w:pPr>
      <w:r>
        <w:rPr>
          <w:szCs w:val="24"/>
        </w:rPr>
        <w:t xml:space="preserve">Coordinated Conversion applies if </w:t>
      </w:r>
      <w:r w:rsidR="00DD2424">
        <w:rPr>
          <w:color w:val="000000"/>
          <w:szCs w:val="24"/>
        </w:rPr>
        <w:t>{{ACNA}}</w:t>
      </w:r>
      <w:r>
        <w:rPr>
          <w:szCs w:val="24"/>
        </w:rPr>
        <w:t xml:space="preserve"> requests notification and coordination of service cut over prior to the service becoming effective.</w:t>
      </w:r>
    </w:p>
    <w:p w14:paraId="5CC78204" w14:textId="77777777" w:rsidR="00C146C4" w:rsidRDefault="00C146C4" w:rsidP="00C146C4">
      <w:pPr>
        <w:ind w:left="720"/>
        <w:rPr>
          <w:szCs w:val="24"/>
        </w:rPr>
      </w:pPr>
    </w:p>
    <w:p w14:paraId="6CD3C21F" w14:textId="551F5887" w:rsidR="00C146C4" w:rsidRDefault="00C146C4" w:rsidP="00C146C4">
      <w:pPr>
        <w:ind w:left="720"/>
        <w:rPr>
          <w:szCs w:val="24"/>
        </w:rPr>
      </w:pPr>
      <w:r>
        <w:rPr>
          <w:szCs w:val="24"/>
        </w:rPr>
        <w:t xml:space="preserve">Hot Coordinated Conversion First Hour applies if </w:t>
      </w:r>
      <w:r w:rsidR="00DD2424">
        <w:rPr>
          <w:color w:val="000000"/>
          <w:szCs w:val="24"/>
        </w:rPr>
        <w:t>{{ACNA}}</w:t>
      </w:r>
      <w:r>
        <w:rPr>
          <w:szCs w:val="24"/>
        </w:rPr>
        <w:t xml:space="preserve"> requests real-time coordination of a service cut-over that takes one hour or less.</w:t>
      </w:r>
    </w:p>
    <w:p w14:paraId="12CB03F8" w14:textId="77777777" w:rsidR="00C146C4" w:rsidRDefault="00C146C4" w:rsidP="00C146C4">
      <w:pPr>
        <w:ind w:left="720"/>
        <w:rPr>
          <w:szCs w:val="24"/>
        </w:rPr>
      </w:pPr>
    </w:p>
    <w:p w14:paraId="1163F95E" w14:textId="77777777" w:rsidR="00C146C4" w:rsidRDefault="00C146C4" w:rsidP="00C146C4">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43624E6F" w14:textId="77777777" w:rsidR="00C146C4" w:rsidRDefault="00C146C4" w:rsidP="00C146C4">
      <w:pPr>
        <w:rPr>
          <w:szCs w:val="24"/>
        </w:rPr>
      </w:pPr>
      <w:r>
        <w:rPr>
          <w:szCs w:val="24"/>
        </w:rPr>
        <w:br w:type="page"/>
      </w:r>
    </w:p>
    <w:p w14:paraId="2D67D683" w14:textId="77777777" w:rsidR="00C146C4" w:rsidRDefault="00C146C4" w:rsidP="00266D6C">
      <w:pPr>
        <w:pStyle w:val="contract7"/>
        <w:numPr>
          <w:ilvl w:val="6"/>
          <w:numId w:val="22"/>
        </w:numPr>
        <w:spacing w:line="240" w:lineRule="auto"/>
        <w:rPr>
          <w:szCs w:val="24"/>
        </w:rPr>
      </w:pPr>
      <w:r>
        <w:rPr>
          <w:szCs w:val="24"/>
        </w:rPr>
        <w:lastRenderedPageBreak/>
        <w:t>Unbundled Network Elements</w:t>
      </w:r>
      <w:bookmarkStart w:id="8" w:name="_cp_text_28_80"/>
      <w:r>
        <w:rPr>
          <w:rStyle w:val="FootnoteReference"/>
          <w:szCs w:val="24"/>
        </w:rPr>
        <w:footnoteReference w:id="3"/>
      </w:r>
      <w:bookmarkEnd w:id="8"/>
    </w:p>
    <w:p w14:paraId="039D1F6F" w14:textId="77777777" w:rsidR="00C146C4" w:rsidRDefault="00C146C4" w:rsidP="00C146C4">
      <w:pPr>
        <w:ind w:left="720"/>
        <w:rPr>
          <w:szCs w:val="24"/>
        </w:rPr>
      </w:pPr>
      <w:r>
        <w:rPr>
          <w:szCs w:val="24"/>
        </w:rPr>
        <w:t>See Connecticut Access Service Tariff, Section 18, Local Exchange Access Service.</w:t>
      </w:r>
    </w:p>
    <w:p w14:paraId="3DCB8F82" w14:textId="77777777" w:rsidR="00C146C4" w:rsidRDefault="00C146C4" w:rsidP="00C146C4">
      <w:pPr>
        <w:ind w:left="720"/>
        <w:rPr>
          <w:szCs w:val="24"/>
        </w:rPr>
      </w:pPr>
      <w:r>
        <w:rPr>
          <w:szCs w:val="24"/>
        </w:rPr>
        <w:t xml:space="preserve"> </w:t>
      </w:r>
    </w:p>
    <w:p w14:paraId="454D522E" w14:textId="77777777" w:rsidR="00C146C4" w:rsidRDefault="00C146C4" w:rsidP="00C146C4">
      <w:pPr>
        <w:rPr>
          <w:szCs w:val="24"/>
        </w:rPr>
      </w:pPr>
    </w:p>
    <w:p w14:paraId="42569464" w14:textId="77777777" w:rsidR="00C146C4" w:rsidRDefault="00C146C4" w:rsidP="00266D6C">
      <w:pPr>
        <w:pStyle w:val="contract7"/>
        <w:numPr>
          <w:ilvl w:val="6"/>
          <w:numId w:val="22"/>
        </w:numPr>
        <w:spacing w:line="240" w:lineRule="auto"/>
        <w:rPr>
          <w:szCs w:val="24"/>
        </w:rPr>
      </w:pPr>
      <w:r>
        <w:rPr>
          <w:szCs w:val="24"/>
        </w:rPr>
        <w:t>E 9-1-1</w:t>
      </w:r>
    </w:p>
    <w:p w14:paraId="0E878677" w14:textId="77777777" w:rsidR="00C146C4" w:rsidRDefault="00C146C4" w:rsidP="00C146C4">
      <w:pPr>
        <w:ind w:left="720"/>
        <w:rPr>
          <w:szCs w:val="24"/>
        </w:rPr>
      </w:pPr>
      <w:r>
        <w:rPr>
          <w:szCs w:val="24"/>
        </w:rPr>
        <w:t>See Connecticut Access Service Tariff, Section 18, Local Exchange Access Service.</w:t>
      </w:r>
    </w:p>
    <w:p w14:paraId="003E374F" w14:textId="77777777" w:rsidR="00C146C4" w:rsidRDefault="00C146C4" w:rsidP="00C146C4">
      <w:pPr>
        <w:ind w:left="720"/>
        <w:rPr>
          <w:szCs w:val="24"/>
        </w:rPr>
      </w:pPr>
    </w:p>
    <w:p w14:paraId="6DDC8E63" w14:textId="77777777" w:rsidR="00C146C4" w:rsidRDefault="00C146C4" w:rsidP="00C146C4">
      <w:pPr>
        <w:rPr>
          <w:szCs w:val="24"/>
        </w:rPr>
      </w:pPr>
    </w:p>
    <w:p w14:paraId="414F711D" w14:textId="77777777" w:rsidR="00C146C4" w:rsidRDefault="00C146C4" w:rsidP="00266D6C">
      <w:pPr>
        <w:pStyle w:val="contract7"/>
        <w:numPr>
          <w:ilvl w:val="6"/>
          <w:numId w:val="22"/>
        </w:numPr>
        <w:spacing w:line="240" w:lineRule="auto"/>
      </w:pPr>
      <w:bookmarkStart w:id="9" w:name="_cp_blt_1_89"/>
      <w:r w:rsidRPr="00F85B65">
        <w:rPr>
          <w:szCs w:val="24"/>
        </w:rPr>
        <w:t>C</w:t>
      </w:r>
      <w:bookmarkEnd w:id="9"/>
      <w:r w:rsidRPr="00F85B65">
        <w:rPr>
          <w:szCs w:val="24"/>
        </w:rPr>
        <w:t>ollocation</w:t>
      </w:r>
    </w:p>
    <w:p w14:paraId="3B734D76" w14:textId="37D8CFB6" w:rsidR="00C146C4" w:rsidRDefault="00C146C4" w:rsidP="00C146C4">
      <w:pPr>
        <w:ind w:left="720"/>
        <w:rPr>
          <w:szCs w:val="24"/>
        </w:rPr>
      </w:pPr>
      <w:r>
        <w:rPr>
          <w:szCs w:val="24"/>
        </w:rPr>
        <w:t xml:space="preserve">See Connecticut Access Service Tariff, Section 14, Expanded Interconnection.  </w:t>
      </w:r>
    </w:p>
    <w:bookmarkEnd w:id="1"/>
    <w:p w14:paraId="13A53B0F" w14:textId="77777777" w:rsidR="00F34E0B" w:rsidRDefault="00F34E0B" w:rsidP="00C146C4">
      <w:pPr>
        <w:ind w:left="720"/>
        <w:rPr>
          <w:szCs w:val="24"/>
          <w:shd w:val="clear" w:color="auto" w:fill="FFFFFF"/>
        </w:rPr>
      </w:pPr>
    </w:p>
    <w:bookmarkEnd w:id="2"/>
    <w:sectPr w:rsidR="00F34E0B" w:rsidSect="003F39CA">
      <w:headerReference w:type="default" r:id="rId11"/>
      <w:footerReference w:type="default" r:id="rId12"/>
      <w:headerReference w:type="first" r:id="rId13"/>
      <w:footerReference w:type="first" r:id="rId14"/>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7A3A0" w14:textId="77777777" w:rsidR="00817E05" w:rsidRDefault="00817E05">
      <w:r>
        <w:separator/>
      </w:r>
    </w:p>
  </w:endnote>
  <w:endnote w:type="continuationSeparator" w:id="0">
    <w:p w14:paraId="01ED0228" w14:textId="77777777" w:rsidR="00817E05" w:rsidRDefault="0081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10" w:name="_cp_textHF_105_3464"/>
  </w:p>
  <w:p w14:paraId="2A7B2D4C" w14:textId="6DC648D3" w:rsidR="00CF4D9F" w:rsidRDefault="00CF4D9F" w:rsidP="004A3F7A">
    <w:pPr>
      <w:pStyle w:val="Footer"/>
      <w:rPr>
        <w:sz w:val="16"/>
        <w:szCs w:val="24"/>
      </w:rPr>
    </w:pPr>
    <w:r>
      <w:rPr>
        <w:sz w:val="16"/>
        <w:szCs w:val="16"/>
      </w:rPr>
      <w:t>F</w:t>
    </w:r>
    <w:r w:rsidR="00E20F06">
      <w:rPr>
        <w:sz w:val="16"/>
        <w:szCs w:val="16"/>
      </w:rPr>
      <w:t>rontier Comp Agreement v4.</w:t>
    </w:r>
    <w:r w:rsidR="003C2817">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1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7BFF2" w14:textId="77777777" w:rsidR="00817E05" w:rsidRDefault="00817E05">
      <w:r>
        <w:separator/>
      </w:r>
    </w:p>
  </w:footnote>
  <w:footnote w:type="continuationSeparator" w:id="0">
    <w:p w14:paraId="51EC74EB" w14:textId="77777777" w:rsidR="00817E05" w:rsidRDefault="00817E05">
      <w:r>
        <w:continuationSeparator/>
      </w:r>
    </w:p>
  </w:footnote>
  <w:footnote w:id="1">
    <w:p w14:paraId="34D1B012" w14:textId="77777777" w:rsidR="00CF4D9F" w:rsidRDefault="00CF4D9F" w:rsidP="002F4AA7">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6B5C6693" w14:textId="77777777" w:rsidR="00CF4D9F" w:rsidRDefault="00CF4D9F" w:rsidP="002F4AA7">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52D7F80B" w14:textId="17D8C260" w:rsidR="00CF4D9F" w:rsidRDefault="00CF4D9F" w:rsidP="002F4AA7">
      <w:pPr>
        <w:pStyle w:val="FootnoteText"/>
      </w:pPr>
      <w:r>
        <w:rPr>
          <w:sz w:val="16"/>
          <w:szCs w:val="24"/>
        </w:rPr>
        <w:t xml:space="preserve">    Unless a citation is provided to a generally applicable Frontier tariff, all listed rates and services are available only to </w:t>
      </w:r>
      <w:r w:rsidR="00DD2424">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DD2424">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519C7C68" w14:textId="77777777" w:rsidR="00CF4D9F" w:rsidRDefault="00CF4D9F" w:rsidP="00C146C4">
      <w:pPr>
        <w:pStyle w:val="FootnoteText"/>
        <w:tabs>
          <w:tab w:val="left" w:pos="180"/>
        </w:tabs>
        <w:rPr>
          <w:color w:val="000000"/>
          <w:sz w:val="16"/>
          <w:szCs w:val="24"/>
        </w:rPr>
      </w:pPr>
      <w:r>
        <w:rPr>
          <w:rStyle w:val="FootnoteReference"/>
          <w:szCs w:val="24"/>
        </w:rPr>
        <w:footnoteRef/>
      </w:r>
      <w:r>
        <w:rPr>
          <w:szCs w:val="24"/>
        </w:rPr>
        <w:t xml:space="preserve"> </w:t>
      </w:r>
      <w:r>
        <w:rPr>
          <w:sz w:val="16"/>
          <w:szCs w:val="24"/>
        </w:rPr>
        <w:tab/>
      </w:r>
      <w:r>
        <w:rPr>
          <w:color w:val="000000"/>
          <w:sz w:val="16"/>
          <w:szCs w:val="24"/>
        </w:rPr>
        <w:t>All rates and charges specified herein are pertaining to the Interconnection Attachment.</w:t>
      </w:r>
    </w:p>
    <w:p w14:paraId="7B5D88BB" w14:textId="77777777" w:rsidR="00CF4D9F" w:rsidRDefault="00CF4D9F" w:rsidP="00C146C4">
      <w:pPr>
        <w:pStyle w:val="FootnoteText"/>
        <w:tabs>
          <w:tab w:val="left" w:pos="180"/>
        </w:tabs>
        <w:rPr>
          <w:szCs w:val="24"/>
        </w:rPr>
      </w:pPr>
    </w:p>
  </w:footnote>
  <w:footnote w:id="3">
    <w:p w14:paraId="4E535DCD" w14:textId="77777777" w:rsidR="00CF4D9F" w:rsidRDefault="00CF4D9F" w:rsidP="00C146C4">
      <w:pPr>
        <w:pStyle w:val="FootnoteText"/>
        <w:tabs>
          <w:tab w:val="left" w:pos="180"/>
        </w:tabs>
        <w:rPr>
          <w:sz w:val="16"/>
          <w:szCs w:val="24"/>
        </w:rPr>
      </w:pPr>
      <w:r>
        <w:rPr>
          <w:rStyle w:val="FootnoteReference"/>
          <w:szCs w:val="24"/>
        </w:rPr>
        <w:footnoteRef/>
      </w:r>
      <w:r>
        <w:rPr>
          <w:szCs w:val="24"/>
        </w:rPr>
        <w:t xml:space="preserve">  </w:t>
      </w:r>
      <w:r>
        <w:rPr>
          <w:sz w:val="16"/>
          <w:szCs w:val="24"/>
        </w:rPr>
        <w:t>For the avoidance of any doubt,</w:t>
      </w:r>
      <w:r>
        <w:rPr>
          <w:szCs w:val="24"/>
        </w:rPr>
        <w:t xml:space="preserve"> i</w:t>
      </w:r>
      <w:r>
        <w:rPr>
          <w:sz w:val="16"/>
          <w:szCs w:val="24"/>
        </w:rPr>
        <w:t xml:space="preserve">n addition to any rates and charges set forth herein, effective as of March 11, 2005, CLEC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rates and/or other applicable non-UNE rates for certain facilities and arrangements that are no longer available as unbundled network elements or combinations thereof. </w:t>
      </w:r>
    </w:p>
    <w:p w14:paraId="6F4262A7" w14:textId="77777777" w:rsidR="00CF4D9F" w:rsidRDefault="00CF4D9F" w:rsidP="00C146C4">
      <w:pPr>
        <w:pStyle w:val="FootnoteText"/>
        <w:tabs>
          <w:tab w:val="left" w:pos="180"/>
        </w:tabs>
        <w:rPr>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tjesbznJXhvCrlEnwItD1bmBqCEnYTRtGJjR9GC23BR5OLANZSWFdv3EkxDZzGKU4QskAoGN2y1BIM38eVnTcg==" w:salt="gcseo3AJnrU/jyad8KEcdg=="/>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817"/>
    <w:rsid w:val="003C2AA6"/>
    <w:rsid w:val="003C47C2"/>
    <w:rsid w:val="003D0032"/>
    <w:rsid w:val="003D0999"/>
    <w:rsid w:val="003D52AA"/>
    <w:rsid w:val="003D79FA"/>
    <w:rsid w:val="003D7D19"/>
    <w:rsid w:val="003E124B"/>
    <w:rsid w:val="003E13F6"/>
    <w:rsid w:val="003E18BF"/>
    <w:rsid w:val="003E4A82"/>
    <w:rsid w:val="003E5238"/>
    <w:rsid w:val="003E6769"/>
    <w:rsid w:val="003F27FD"/>
    <w:rsid w:val="003F39CA"/>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17E05"/>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2424"/>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59BB"/>
    <w:rsid w:val="00F16851"/>
    <w:rsid w:val="00F16D18"/>
    <w:rsid w:val="00F25D57"/>
    <w:rsid w:val="00F32D1B"/>
    <w:rsid w:val="00F33ED3"/>
    <w:rsid w:val="00F34E0B"/>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3DC4B-9193-4D99-A9EE-8BE931BE36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7D3387-9A24-4632-8096-9C450A423DED}">
  <ds:schemaRefs>
    <ds:schemaRef ds:uri="http://schemas.openxmlformats.org/officeDocument/2006/bibliography"/>
  </ds:schemaRefs>
</ds:datastoreItem>
</file>

<file path=customXml/itemProps3.xml><?xml version="1.0" encoding="utf-8"?>
<ds:datastoreItem xmlns:ds="http://schemas.openxmlformats.org/officeDocument/2006/customXml" ds:itemID="{1D7109CA-67EF-4F73-BFA2-268273B4C29D}">
  <ds:schemaRefs>
    <ds:schemaRef ds:uri="http://schemas.microsoft.com/sharepoint/v3/contenttype/forms"/>
  </ds:schemaRefs>
</ds:datastoreItem>
</file>

<file path=customXml/itemProps4.xml><?xml version="1.0" encoding="utf-8"?>
<ds:datastoreItem xmlns:ds="http://schemas.openxmlformats.org/officeDocument/2006/customXml" ds:itemID="{E002FA83-002E-4C6F-BD5A-52044F107C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676</Words>
  <Characters>3858</Characters>
  <Application>Microsoft Office Word</Application>
  <DocSecurity>8</DocSecurity>
  <Lines>32</Lines>
  <Paragraphs>9</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7</cp:revision>
  <cp:lastPrinted>2008-12-15T21:47:00Z</cp:lastPrinted>
  <dcterms:created xsi:type="dcterms:W3CDTF">2020-05-07T20:54:00Z</dcterms:created>
  <dcterms:modified xsi:type="dcterms:W3CDTF">2021-08-18T16:10:00Z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2021-08-18T16:09:35Z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7f61f397-4b6e-4e0d-9da2-36c217a5ab3a</vt:lpwstr>
  </property>
  <property fmtid="{D5CDD505-2E9C-101B-9397-08002B2CF9AE}" pid="13" name="MSIP_Label_e463cba9-5f6c-478d-9329-7b2295e4e8ed_ContentBits">
    <vt:lpwstr>0</vt:lpwstr>
  </property>
</Properties>
</file>