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proofErr w:type="spellStart"/>
      <w:r w:rsidRPr="009C79F3">
        <w:rPr>
          <w:rFonts w:ascii="Arial" w:hAnsi="Arial" w:cs="Arial"/>
          <w:bCs/>
          <w:sz w:val="16"/>
          <w:szCs w:val="16"/>
        </w:rPr>
        <w:t>IF_ProductName_isDIA</w:t>
      </w:r>
      <w:proofErr w:type="spellEnd"/>
      <w:r w:rsidRPr="009C79F3">
        <w:rPr>
          <w:rFonts w:ascii="Arial" w:hAnsi="Arial" w:cs="Arial"/>
          <w:bCs/>
          <w:sz w:val="16"/>
          <w:szCs w:val="16"/>
        </w:rPr>
        <w:t>}}</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w:t>
      </w:r>
      <w:proofErr w:type="spellStart"/>
      <w:r w:rsidRPr="009C79F3">
        <w:rPr>
          <w:rFonts w:ascii="Arial" w:hAnsi="Arial" w:cs="Arial"/>
          <w:bCs/>
          <w:sz w:val="16"/>
          <w:szCs w:val="16"/>
        </w:rPr>
        <w:t>IF_ProductName_</w:t>
      </w:r>
      <w:bookmarkStart w:id="2" w:name="_GoBack"/>
      <w:r w:rsidRPr="009C79F3">
        <w:rPr>
          <w:rFonts w:ascii="Arial" w:hAnsi="Arial" w:cs="Arial"/>
          <w:bCs/>
          <w:sz w:val="16"/>
          <w:szCs w:val="16"/>
        </w:rPr>
        <w:t>isDIA</w:t>
      </w:r>
      <w:bookmarkEnd w:id="2"/>
      <w:proofErr w:type="spellEnd"/>
      <w:r w:rsidRPr="009C79F3">
        <w:rPr>
          <w:rFonts w:ascii="Arial" w:hAnsi="Arial" w:cs="Arial"/>
          <w:bCs/>
          <w:sz w:val="16"/>
          <w:szCs w:val="16"/>
        </w:rPr>
        <w:t>}}</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proofErr w:type="spellStart"/>
      <w:r w:rsidRPr="009C79F3">
        <w:rPr>
          <w:rFonts w:ascii="Arial" w:hAnsi="Arial" w:cs="Arial"/>
          <w:bCs/>
          <w:sz w:val="16"/>
          <w:szCs w:val="16"/>
        </w:rPr>
        <w:t>IF_ProductName_isEVPL</w:t>
      </w:r>
      <w:proofErr w:type="spellEnd"/>
      <w:r w:rsidRPr="009C79F3">
        <w:rPr>
          <w:rFonts w:ascii="Arial" w:hAnsi="Arial" w:cs="Arial"/>
          <w:bCs/>
          <w:sz w:val="16"/>
          <w:szCs w:val="16"/>
        </w:rPr>
        <w:t>}}</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3"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3"/>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4"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4"/>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1B722DEF" w14:textId="17ADDC2B"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665C42" w:rsidRPr="009C79F3" w14:paraId="35EBC99B" w14:textId="77777777" w:rsidTr="006548CE">
        <w:trPr>
          <w:cantSplit/>
          <w:trHeight w:val="648"/>
        </w:trPr>
        <w:tc>
          <w:tcPr>
            <w:tcW w:w="1260" w:type="dxa"/>
            <w:shd w:val="clear" w:color="auto" w:fill="auto"/>
            <w:vAlign w:val="bottom"/>
          </w:tcPr>
          <w:p w14:paraId="367CF1CC" w14:textId="77777777" w:rsidR="00665C42" w:rsidRPr="009C79F3" w:rsidRDefault="00665C42" w:rsidP="006548CE">
            <w:pPr>
              <w:tabs>
                <w:tab w:val="left" w:pos="360"/>
              </w:tabs>
              <w:jc w:val="both"/>
              <w:rPr>
                <w:rFonts w:ascii="Arial" w:hAnsi="Arial" w:cs="Arial"/>
                <w:bCs/>
                <w:sz w:val="16"/>
                <w:szCs w:val="16"/>
              </w:rPr>
            </w:pPr>
          </w:p>
          <w:p w14:paraId="72550310" w14:textId="77777777" w:rsidR="00665C42" w:rsidRPr="009C79F3" w:rsidRDefault="00665C42" w:rsidP="006548CE">
            <w:pPr>
              <w:tabs>
                <w:tab w:val="left" w:pos="360"/>
              </w:tabs>
              <w:jc w:val="both"/>
              <w:rPr>
                <w:rFonts w:ascii="Arial" w:hAnsi="Arial" w:cs="Arial"/>
                <w:bCs/>
                <w:sz w:val="16"/>
                <w:szCs w:val="16"/>
              </w:rPr>
            </w:pPr>
          </w:p>
          <w:p w14:paraId="4263627E" w14:textId="77777777" w:rsidR="00665C42" w:rsidRPr="009C79F3" w:rsidRDefault="00665C42" w:rsidP="006548CE">
            <w:pPr>
              <w:tabs>
                <w:tab w:val="left" w:pos="360"/>
              </w:tabs>
              <w:jc w:val="both"/>
              <w:rPr>
                <w:rFonts w:ascii="Arial" w:hAnsi="Arial" w:cs="Arial"/>
                <w:bCs/>
                <w:sz w:val="16"/>
                <w:szCs w:val="16"/>
              </w:rPr>
            </w:pPr>
          </w:p>
          <w:p w14:paraId="79C641FA"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03E416A5" w:rsidR="00665C42" w:rsidRPr="009C79F3" w:rsidRDefault="00665C42" w:rsidP="00E42D90">
            <w:pPr>
              <w:spacing w:after="120"/>
              <w:ind w:right="288"/>
              <w:rPr>
                <w:rFonts w:ascii="Arial" w:hAnsi="Arial" w:cs="Arial"/>
                <w:bCs/>
                <w:color w:val="000000"/>
                <w:sz w:val="16"/>
                <w:szCs w:val="16"/>
              </w:rPr>
            </w:pPr>
          </w:p>
        </w:tc>
        <w:tc>
          <w:tcPr>
            <w:tcW w:w="270" w:type="dxa"/>
            <w:vMerge/>
            <w:shd w:val="clear" w:color="auto" w:fill="auto"/>
            <w:vAlign w:val="bottom"/>
          </w:tcPr>
          <w:p w14:paraId="74D54EC9"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tcPr>
          <w:p w14:paraId="363C7A8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63870A69" w:rsidR="00665C42" w:rsidRPr="009C79F3" w:rsidRDefault="00665C42" w:rsidP="00E42D90">
            <w:pPr>
              <w:rPr>
                <w:rFonts w:ascii="Arial" w:hAnsi="Arial" w:cs="Arial"/>
                <w:bCs/>
                <w:color w:val="000000"/>
                <w:sz w:val="16"/>
                <w:szCs w:val="16"/>
              </w:rPr>
            </w:pPr>
          </w:p>
        </w:tc>
      </w:tr>
      <w:tr w:rsidR="00665C42" w:rsidRPr="009C79F3" w14:paraId="0CACAAC4" w14:textId="77777777" w:rsidTr="006548CE">
        <w:trPr>
          <w:cantSplit/>
          <w:trHeight w:val="288"/>
        </w:trPr>
        <w:tc>
          <w:tcPr>
            <w:tcW w:w="1260" w:type="dxa"/>
            <w:shd w:val="clear" w:color="auto" w:fill="auto"/>
            <w:vAlign w:val="bottom"/>
            <w:hideMark/>
          </w:tcPr>
          <w:p w14:paraId="31A21FE4"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665C42" w:rsidRPr="009C79F3" w:rsidRDefault="00665C42" w:rsidP="00CF6908">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w:t>
            </w:r>
            <w:r w:rsidR="00CF6908" w:rsidRPr="009C79F3">
              <w:rPr>
                <w:rFonts w:ascii="Arial" w:hAnsi="Arial" w:cs="Arial"/>
                <w:bCs/>
                <w:sz w:val="16"/>
                <w:szCs w:val="16"/>
              </w:rPr>
              <w:t>PrintedName</w:t>
            </w:r>
            <w:r w:rsidRPr="009C79F3">
              <w:rPr>
                <w:rFonts w:ascii="Arial" w:hAnsi="Arial" w:cs="Arial"/>
                <w:bCs/>
                <w:color w:val="000000"/>
                <w:sz w:val="16"/>
                <w:szCs w:val="16"/>
              </w:rPr>
              <w:t>}}</w:t>
            </w:r>
          </w:p>
        </w:tc>
        <w:tc>
          <w:tcPr>
            <w:tcW w:w="270" w:type="dxa"/>
            <w:vMerge/>
            <w:shd w:val="clear" w:color="auto" w:fill="auto"/>
            <w:vAlign w:val="bottom"/>
            <w:hideMark/>
          </w:tcPr>
          <w:p w14:paraId="40C693DF"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1D239B9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5" w:name="Text141"/>
          </w:p>
        </w:tc>
        <w:bookmarkEnd w:id="5"/>
        <w:tc>
          <w:tcPr>
            <w:tcW w:w="3985" w:type="dxa"/>
            <w:tcBorders>
              <w:bottom w:val="single" w:sz="4" w:space="0" w:color="auto"/>
            </w:tcBorders>
            <w:shd w:val="clear" w:color="auto" w:fill="auto"/>
            <w:vAlign w:val="bottom"/>
          </w:tcPr>
          <w:p w14:paraId="7A14D7ED" w14:textId="4EA74818" w:rsidR="00665C42" w:rsidRPr="009C79F3" w:rsidRDefault="00665C42" w:rsidP="00CF6908">
            <w:pPr>
              <w:rPr>
                <w:rFonts w:ascii="Arial" w:hAnsi="Arial" w:cs="Arial"/>
                <w:bCs/>
                <w:color w:val="000000"/>
                <w:sz w:val="16"/>
                <w:szCs w:val="16"/>
              </w:rPr>
            </w:pPr>
          </w:p>
        </w:tc>
      </w:tr>
      <w:tr w:rsidR="00665C42" w:rsidRPr="009C79F3" w14:paraId="46CB684A" w14:textId="77777777" w:rsidTr="006548CE">
        <w:trPr>
          <w:cantSplit/>
          <w:trHeight w:val="288"/>
        </w:trPr>
        <w:tc>
          <w:tcPr>
            <w:tcW w:w="1260" w:type="dxa"/>
            <w:shd w:val="clear" w:color="auto" w:fill="auto"/>
            <w:vAlign w:val="bottom"/>
            <w:hideMark/>
          </w:tcPr>
          <w:p w14:paraId="571FEAD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665C42" w:rsidRPr="009C79F3" w:rsidRDefault="00362C0E" w:rsidP="006548CE">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FrontierTitle</w:t>
            </w:r>
            <w:r w:rsidRPr="009C79F3">
              <w:rPr>
                <w:rFonts w:ascii="Arial" w:hAnsi="Arial" w:cs="Arial"/>
                <w:bCs/>
                <w:color w:val="000000"/>
                <w:sz w:val="16"/>
                <w:szCs w:val="16"/>
              </w:rPr>
              <w:t>}}</w:t>
            </w:r>
          </w:p>
        </w:tc>
        <w:tc>
          <w:tcPr>
            <w:tcW w:w="270" w:type="dxa"/>
            <w:vMerge/>
            <w:shd w:val="clear" w:color="auto" w:fill="auto"/>
            <w:vAlign w:val="bottom"/>
            <w:hideMark/>
          </w:tcPr>
          <w:p w14:paraId="53136F20"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2B9B0F1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0285946B" w:rsidR="00665C42" w:rsidRPr="009C79F3" w:rsidRDefault="00665C42" w:rsidP="00C92575">
            <w:pPr>
              <w:rPr>
                <w:rFonts w:ascii="Arial" w:hAnsi="Arial" w:cs="Arial"/>
                <w:bCs/>
                <w:color w:val="000000"/>
                <w:sz w:val="16"/>
                <w:szCs w:val="16"/>
              </w:rPr>
            </w:pPr>
          </w:p>
        </w:tc>
      </w:tr>
      <w:tr w:rsidR="00665C42" w:rsidRPr="009C79F3" w14:paraId="6C81C930" w14:textId="77777777" w:rsidTr="006548CE">
        <w:trPr>
          <w:cantSplit/>
          <w:trHeight w:val="288"/>
        </w:trPr>
        <w:tc>
          <w:tcPr>
            <w:tcW w:w="1260" w:type="dxa"/>
            <w:shd w:val="clear" w:color="auto" w:fill="auto"/>
            <w:vAlign w:val="bottom"/>
            <w:hideMark/>
          </w:tcPr>
          <w:p w14:paraId="046CAB3D"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6045742F" w:rsidR="00665C42" w:rsidRPr="009C79F3" w:rsidRDefault="00665C42" w:rsidP="00C92575">
            <w:pPr>
              <w:rPr>
                <w:rFonts w:ascii="Arial" w:hAnsi="Arial" w:cs="Arial"/>
                <w:bCs/>
                <w:color w:val="000000"/>
                <w:sz w:val="16"/>
                <w:szCs w:val="16"/>
              </w:rPr>
            </w:pPr>
          </w:p>
        </w:tc>
        <w:tc>
          <w:tcPr>
            <w:tcW w:w="270" w:type="dxa"/>
            <w:vMerge/>
            <w:shd w:val="clear" w:color="auto" w:fill="auto"/>
            <w:vAlign w:val="bottom"/>
            <w:hideMark/>
          </w:tcPr>
          <w:p w14:paraId="7916B6CE"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776FFAB6"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599B7C39" w:rsidR="00665C42" w:rsidRPr="009C79F3" w:rsidRDefault="00665C42" w:rsidP="00C92575">
            <w:pPr>
              <w:tabs>
                <w:tab w:val="left" w:pos="360"/>
              </w:tabs>
              <w:jc w:val="both"/>
              <w:rPr>
                <w:rFonts w:ascii="Arial" w:hAnsi="Arial" w:cs="Arial"/>
                <w:bCs/>
                <w:sz w:val="16"/>
                <w:szCs w:val="16"/>
              </w:rPr>
            </w:pPr>
          </w:p>
        </w:tc>
      </w:tr>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lastRenderedPageBreak/>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lastRenderedPageBreak/>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6"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6"/>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lastRenderedPageBreak/>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1EF99" w14:textId="77777777" w:rsidR="00274AE3" w:rsidRDefault="00274AE3">
      <w:r>
        <w:separator/>
      </w:r>
    </w:p>
  </w:endnote>
  <w:endnote w:type="continuationSeparator" w:id="0">
    <w:p w14:paraId="6C39937E" w14:textId="77777777" w:rsidR="00274AE3" w:rsidRDefault="0027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EAB" w14:textId="3A3A5168"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A2E7" w14:textId="77777777" w:rsidR="00274AE3" w:rsidRDefault="00274AE3">
      <w:r>
        <w:separator/>
      </w:r>
    </w:p>
  </w:footnote>
  <w:footnote w:type="continuationSeparator" w:id="0">
    <w:p w14:paraId="4BF79BA4" w14:textId="77777777" w:rsidR="00274AE3" w:rsidRDefault="00274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wIAAP0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Di&#10;+/wHhwIAAP0EAAAOAAAAAAAAAAAAAAAAAC4CAABkcnMvZTJvRG9jLnhtbFBLAQItABQABgAIAAAA&#10;IQBt2z223AAAAAYBAAAPAAAAAAAAAAAAAAAAAOEEAABkcnMvZG93bnJldi54bWxQSwUGAAAAAAQA&#10;BADzAAAA6gU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l4Icg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ADysra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4HiQIAAAI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G1D+B4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m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ddavp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085BECBA"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274AE3"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274AE3"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Cm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A2dwCm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BtiQIAAAM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hzqwb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ObigIAAAM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JE5A5u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MhGyv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6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zJCKe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3"/>
  </w:num>
  <w:num w:numId="4">
    <w:abstractNumId w:val="7"/>
  </w:num>
  <w:num w:numId="5">
    <w:abstractNumId w:val="2"/>
  </w:num>
  <w:num w:numId="6">
    <w:abstractNumId w:val="5"/>
  </w:num>
  <w:num w:numId="7">
    <w:abstractNumId w:val="1"/>
  </w:num>
  <w:num w:numId="8">
    <w:abstractNumId w:val="8"/>
  </w:num>
  <w:num w:numId="9">
    <w:abstractNumId w:val="12"/>
  </w:num>
  <w:num w:numId="10">
    <w:abstractNumId w:val="9"/>
  </w:num>
  <w:num w:numId="11">
    <w:abstractNumId w:val="4"/>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grammar="clean"/>
  <w:documentProtection w:edit="readOnly" w:enforcement="1" w:cryptProviderType="rsaAES" w:cryptAlgorithmClass="hash" w:cryptAlgorithmType="typeAny" w:cryptAlgorithmSid="14" w:cryptSpinCount="100000" w:hash="75mIQ7f7FIgn/iNno5PQcKjZUUzBG59NkfYRp0cjpkjRhzknYXuZcse/K1m17qbXi2QzJ3AbVJKPOlBsBmwyag==" w:salt="lrHyUJjFtGoXtOgmQx6zLw=="/>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7B6"/>
    <w:rsid w:val="00165744"/>
    <w:rsid w:val="00171191"/>
    <w:rsid w:val="00204878"/>
    <w:rsid w:val="002070ED"/>
    <w:rsid w:val="00274AE3"/>
    <w:rsid w:val="002D1E45"/>
    <w:rsid w:val="00326D1A"/>
    <w:rsid w:val="00362C0E"/>
    <w:rsid w:val="003744EC"/>
    <w:rsid w:val="003B1C4C"/>
    <w:rsid w:val="003D1389"/>
    <w:rsid w:val="003D4F9D"/>
    <w:rsid w:val="003D5FE2"/>
    <w:rsid w:val="003F4879"/>
    <w:rsid w:val="004002DD"/>
    <w:rsid w:val="00446D33"/>
    <w:rsid w:val="00447288"/>
    <w:rsid w:val="0047766E"/>
    <w:rsid w:val="00481688"/>
    <w:rsid w:val="004A7C2A"/>
    <w:rsid w:val="004B0BC3"/>
    <w:rsid w:val="004D39E0"/>
    <w:rsid w:val="004F0E7C"/>
    <w:rsid w:val="00514E4D"/>
    <w:rsid w:val="00515389"/>
    <w:rsid w:val="00572FF1"/>
    <w:rsid w:val="00633CCE"/>
    <w:rsid w:val="00636ADF"/>
    <w:rsid w:val="00665C42"/>
    <w:rsid w:val="006B0FDB"/>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4738C"/>
    <w:rsid w:val="00A55F42"/>
    <w:rsid w:val="00A75C05"/>
    <w:rsid w:val="00AE686E"/>
    <w:rsid w:val="00AF45B9"/>
    <w:rsid w:val="00B26A3E"/>
    <w:rsid w:val="00BA2D80"/>
    <w:rsid w:val="00BC7856"/>
    <w:rsid w:val="00BE6DBE"/>
    <w:rsid w:val="00C514E4"/>
    <w:rsid w:val="00C53E0E"/>
    <w:rsid w:val="00C75CC0"/>
    <w:rsid w:val="00C81B8A"/>
    <w:rsid w:val="00C92575"/>
    <w:rsid w:val="00CD49DF"/>
    <w:rsid w:val="00CF5CF6"/>
    <w:rsid w:val="00CF6648"/>
    <w:rsid w:val="00CF6908"/>
    <w:rsid w:val="00D11923"/>
    <w:rsid w:val="00D25F39"/>
    <w:rsid w:val="00DD4B8B"/>
    <w:rsid w:val="00DF5CC4"/>
    <w:rsid w:val="00E371A1"/>
    <w:rsid w:val="00E42D90"/>
    <w:rsid w:val="00E750A8"/>
    <w:rsid w:val="00EB19A1"/>
    <w:rsid w:val="00EC3296"/>
    <w:rsid w:val="00ED2961"/>
    <w:rsid w:val="00EF0857"/>
    <w:rsid w:val="00F148C8"/>
    <w:rsid w:val="00F5101D"/>
    <w:rsid w:val="00F530EF"/>
    <w:rsid w:val="00F53A34"/>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3778CA-5965-4394-927A-E5EA2B4A7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4.xml><?xml version="1.0" encoding="utf-8"?>
<ds:datastoreItem xmlns:ds="http://schemas.openxmlformats.org/officeDocument/2006/customXml" ds:itemID="{BBB141E4-B86C-4D18-A442-9C5A3509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3791</Words>
  <Characters>21615</Characters>
  <Application>Microsoft Office Word</Application>
  <DocSecurity>8</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Dean, Timothy</cp:lastModifiedBy>
  <cp:revision>3</cp:revision>
  <dcterms:created xsi:type="dcterms:W3CDTF">2022-04-19T18:22:00Z</dcterms:created>
  <dcterms:modified xsi:type="dcterms:W3CDTF">2022-04-19T19:40:00Z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