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469BE47E"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A66876">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00CA570A" w:rsidRPr="001E789B">
        <w:rPr>
          <w:rFonts w:cs="Arial"/>
          <w:b/>
          <w:bCs/>
          <w:sz w:val="16"/>
          <w:szCs w:val="16"/>
        </w:rPr>
        <w:t>{{FSADate}}</w:t>
      </w:r>
      <w:r w:rsidRPr="00B25065">
        <w:rPr>
          <w:rFonts w:ascii="Calibri" w:eastAsia="AppleGothic" w:hAnsi="Calibri" w:cs="Arial"/>
          <w:sz w:val="16"/>
          <w:szCs w:val="16"/>
        </w:rPr>
        <w:t xml:space="preserve"> (“FSA”) by and between </w:t>
      </w:r>
      <w:r w:rsidR="00A66876">
        <w:rPr>
          <w:rFonts w:asciiTheme="minorHAnsi" w:hAnsiTheme="minorHAnsi" w:cs="Arial"/>
          <w:b/>
          <w:bCs/>
          <w:sz w:val="16"/>
          <w:szCs w:val="16"/>
        </w:rPr>
        <w:t xml:space="preserve">{{CustomerName}}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AE7986">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6C69FDEB" w14:textId="77777777" w:rsidR="00D36DD8" w:rsidRPr="007A2CAA" w:rsidRDefault="00D36DD8" w:rsidP="00D36DD8">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w:t>
            </w:r>
            <w:r w:rsidRPr="007A2CAA">
              <w:rPr>
                <w:rFonts w:asciiTheme="minorHAnsi" w:hAnsiTheme="minorHAnsi" w:cs="Arial"/>
                <w:b/>
                <w:sz w:val="16"/>
                <w:szCs w:val="16"/>
              </w:rPr>
              <w:t>ServiceLocation}}</w:t>
            </w:r>
          </w:p>
          <w:p w14:paraId="327066D8" w14:textId="326F21A1" w:rsidR="006B0555" w:rsidRPr="0083633C" w:rsidRDefault="006B0555" w:rsidP="006B0555">
            <w:pPr>
              <w:pStyle w:val="BodyText"/>
              <w:tabs>
                <w:tab w:val="left" w:pos="10980"/>
              </w:tabs>
              <w:jc w:val="both"/>
              <w:rPr>
                <w:rFonts w:ascii="Calibri" w:eastAsia="AppleGothic" w:hAnsi="Calibri" w:cs="Arial"/>
                <w:b/>
                <w:bCs/>
                <w:sz w:val="16"/>
                <w:szCs w:val="16"/>
              </w:rPr>
            </w:pP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45923FEA" w:rsidR="006B0555" w:rsidRPr="0083633C" w:rsidRDefault="009E0055"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{{FSADate}}</w:t>
            </w:r>
          </w:p>
        </w:tc>
      </w:tr>
      <w:tr w:rsidR="006B0555" w:rsidRPr="0083633C" w14:paraId="74CE037F" w14:textId="77777777" w:rsidTr="00AE7986">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098D143B" w:rsidR="006B0555" w:rsidRPr="0083633C" w:rsidRDefault="00A66876"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006B0555" w:rsidRPr="0083633C">
              <w:rPr>
                <w:rFonts w:ascii="Calibri" w:eastAsia="AppleGothic" w:hAnsi="Calibri" w:cs="Arial"/>
                <w:b/>
                <w:bCs/>
                <w:sz w:val="16"/>
                <w:szCs w:val="16"/>
              </w:rPr>
              <w:t xml:space="preserve">   </w:t>
            </w:r>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16C42D8A" w:rsidR="006B0555" w:rsidRPr="0083633C" w:rsidRDefault="006B0555" w:rsidP="006B0555">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sidR="00A66876">
              <w:rPr>
                <w:rFonts w:asciiTheme="minorHAnsi" w:hAnsiTheme="minorHAnsi" w:cs="Arial"/>
                <w:b/>
                <w:bCs/>
                <w:sz w:val="16"/>
                <w:szCs w:val="16"/>
              </w:rPr>
              <w:t>{{ServiceTerm}}</w:t>
            </w:r>
          </w:p>
        </w:tc>
      </w:tr>
    </w:tbl>
    <w:p w14:paraId="0755166B" w14:textId="77777777" w:rsidR="00613E09" w:rsidRDefault="00613E09" w:rsidP="00613E09">
      <w:pPr>
        <w:pStyle w:val="ListParagraph"/>
        <w:spacing w:after="120"/>
        <w:ind w:left="360"/>
        <w:rPr>
          <w:rFonts w:ascii="Calibri" w:eastAsia="MS Mincho" w:hAnsi="Calibri" w:cs="Arial"/>
          <w:b/>
          <w:bCs/>
          <w:sz w:val="16"/>
          <w:szCs w:val="16"/>
        </w:rPr>
      </w:pPr>
    </w:p>
    <w:p w14:paraId="442FA7F1" w14:textId="77777777" w:rsidR="002F3E75" w:rsidRDefault="002F3E75" w:rsidP="002F3E75">
      <w:pPr>
        <w:pStyle w:val="ListParagraph"/>
        <w:numPr>
          <w:ilvl w:val="0"/>
          <w:numId w:val="2"/>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734A94E6" w14:textId="77777777" w:rsidR="002F3E75" w:rsidRDefault="002F3E75" w:rsidP="002F3E75">
      <w:pPr>
        <w:pStyle w:val="ListParagraph"/>
        <w:spacing w:after="120"/>
        <w:ind w:left="0"/>
        <w:rPr>
          <w:rFonts w:ascii="Calibri" w:eastAsia="MS Mincho" w:hAnsi="Calibri" w:cs="Arial"/>
          <w:b/>
          <w:bCs/>
          <w:sz w:val="16"/>
          <w:szCs w:val="16"/>
        </w:rPr>
      </w:pPr>
    </w:p>
    <w:p w14:paraId="0F3F3F48" w14:textId="77777777" w:rsidR="002F3E75" w:rsidRPr="00380799" w:rsidRDefault="002F3E75" w:rsidP="002F3E75">
      <w:pPr>
        <w:pStyle w:val="ListParagraph"/>
        <w:numPr>
          <w:ilvl w:val="0"/>
          <w:numId w:val="2"/>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086B6D39" w14:textId="77777777" w:rsidR="002F3E75" w:rsidRPr="0083633C" w:rsidRDefault="002F3E75" w:rsidP="002F3E75">
      <w:pPr>
        <w:pStyle w:val="ListParagraph"/>
        <w:spacing w:after="120"/>
        <w:ind w:left="360"/>
        <w:rPr>
          <w:rFonts w:ascii="Calibri" w:eastAsia="MS Mincho" w:hAnsi="Calibri" w:cs="Arial"/>
          <w:b/>
          <w:bCs/>
          <w:sz w:val="16"/>
          <w:szCs w:val="16"/>
        </w:rPr>
      </w:pPr>
    </w:p>
    <w:p w14:paraId="1C49E2CD" w14:textId="77777777" w:rsidR="002F3E75" w:rsidRDefault="002F3E75" w:rsidP="002F3E75">
      <w:pPr>
        <w:pStyle w:val="ListParagraph"/>
        <w:numPr>
          <w:ilvl w:val="0"/>
          <w:numId w:val="3"/>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598E83B3"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4B5F50D4" w14:textId="77777777" w:rsidR="002F3E75" w:rsidRPr="00B25065" w:rsidRDefault="002F3E75" w:rsidP="002F3E75">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22ACB6F3" w14:textId="77777777" w:rsidR="002F3E75" w:rsidRDefault="002F3E75" w:rsidP="002F3E75">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56F34B43" w14:textId="77777777" w:rsidR="002F3E75" w:rsidRDefault="002F3E75" w:rsidP="002F3E75">
      <w:pPr>
        <w:pStyle w:val="ListParagraph"/>
        <w:spacing w:after="120"/>
        <w:rPr>
          <w:rFonts w:ascii="Calibri" w:eastAsia="MS Mincho" w:hAnsi="Calibri"/>
          <w:b/>
          <w:sz w:val="16"/>
          <w:szCs w:val="40"/>
        </w:rPr>
      </w:pPr>
    </w:p>
    <w:p w14:paraId="4E9B3204" w14:textId="77777777" w:rsidR="002F3E75" w:rsidRDefault="002F3E75" w:rsidP="002F3E75">
      <w:pPr>
        <w:pStyle w:val="ListParagraph"/>
        <w:numPr>
          <w:ilvl w:val="0"/>
          <w:numId w:val="3"/>
        </w:numPr>
        <w:spacing w:after="120"/>
        <w:rPr>
          <w:rFonts w:ascii="Calibri" w:eastAsia="MS Mincho" w:hAnsi="Calibri"/>
          <w:b/>
          <w:sz w:val="16"/>
          <w:szCs w:val="40"/>
        </w:rPr>
        <w:sectPr w:rsidR="002F3E75" w:rsidSect="002F3E75">
          <w:headerReference w:type="default" r:id="rId8"/>
          <w:footerReference w:type="default" r:id="rId9"/>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32DA93C7" w14:textId="77777777" w:rsidR="002F3E75" w:rsidRPr="0083633C" w:rsidRDefault="002F3E75" w:rsidP="00293374">
      <w:pPr>
        <w:pStyle w:val="ListParagraph"/>
        <w:spacing w:after="120"/>
        <w:rPr>
          <w:rFonts w:ascii="Calibri" w:eastAsia="MS Mincho" w:hAnsi="Calibri"/>
          <w:b/>
          <w:sz w:val="16"/>
          <w:szCs w:val="40"/>
        </w:rPr>
        <w:sectPr w:rsidR="002F3E75" w:rsidRPr="0083633C" w:rsidSect="00262DA5">
          <w:type w:val="continuous"/>
          <w:pgSz w:w="12240" w:h="15840"/>
          <w:pgMar w:top="720" w:right="720" w:bottom="720" w:left="720" w:header="432" w:footer="432" w:gutter="0"/>
          <w:cols w:space="720"/>
          <w:docGrid w:linePitch="360"/>
        </w:sectPr>
      </w:pPr>
    </w:p>
    <w:p w14:paraId="46A0E3A5" w14:textId="16842352" w:rsidR="002F3E75" w:rsidRDefault="002F3E75" w:rsidP="002F3E75">
      <w:pPr>
        <w:pStyle w:val="ListParagraph"/>
        <w:keepNext/>
        <w:spacing w:after="120"/>
        <w:ind w:left="0"/>
        <w:jc w:val="both"/>
        <w:outlineLvl w:val="0"/>
        <w:rPr>
          <w:rFonts w:ascii="Calibri" w:hAnsi="Calibri"/>
          <w:bCs/>
          <w:color w:val="000000"/>
          <w:sz w:val="16"/>
          <w:szCs w:val="16"/>
        </w:rPr>
      </w:pPr>
    </w:p>
    <w:p w14:paraId="254A1C51" w14:textId="268C4FC6" w:rsidR="002F3E75" w:rsidRPr="009F048B" w:rsidRDefault="002F3E75" w:rsidP="002F3E75">
      <w:pPr>
        <w:pStyle w:val="ListParagraph"/>
        <w:keepNext/>
        <w:spacing w:after="120"/>
        <w:ind w:left="0"/>
        <w:jc w:val="both"/>
        <w:outlineLvl w:val="0"/>
        <w:rPr>
          <w:rFonts w:ascii="Calibri" w:eastAsia="MS Mincho" w:hAnsi="Calibri" w:cs="Arial"/>
          <w:bCs/>
          <w:sz w:val="16"/>
          <w:szCs w:val="16"/>
        </w:rPr>
      </w:pPr>
      <w:r>
        <w:rPr>
          <w:rFonts w:ascii="Calibri" w:hAnsi="Calibri"/>
          <w:bCs/>
          <w:color w:val="000000"/>
          <w:sz w:val="16"/>
          <w:szCs w:val="16"/>
        </w:rPr>
        <w:tab/>
        <w:t xml:space="preserve">Attn: </w:t>
      </w:r>
    </w:p>
    <w:p w14:paraId="272D0E11" w14:textId="77777777" w:rsidR="002F3E75" w:rsidRDefault="002F3E75" w:rsidP="002F3E75">
      <w:pPr>
        <w:keepNext/>
        <w:tabs>
          <w:tab w:val="left" w:pos="360"/>
        </w:tabs>
        <w:spacing w:after="120"/>
        <w:jc w:val="both"/>
        <w:outlineLvl w:val="0"/>
        <w:rPr>
          <w:rFonts w:ascii="Calibri" w:eastAsia="MS Mincho" w:hAnsi="Calibri" w:cs="Arial"/>
          <w:bCs/>
          <w:sz w:val="16"/>
          <w:szCs w:val="16"/>
          <w:highlight w:val="green"/>
        </w:rPr>
      </w:pPr>
    </w:p>
    <w:p w14:paraId="06817653" w14:textId="77777777" w:rsidR="002F3E75" w:rsidRPr="00380799" w:rsidRDefault="002F3E75" w:rsidP="002F3E75">
      <w:pPr>
        <w:pStyle w:val="ListParagraph"/>
        <w:keepNext/>
        <w:numPr>
          <w:ilvl w:val="0"/>
          <w:numId w:val="2"/>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2FA500F4" w14:textId="77777777" w:rsidR="002F3E75" w:rsidRDefault="002F3E75" w:rsidP="002F3E75">
      <w:pPr>
        <w:pStyle w:val="ListParagraph"/>
        <w:keepNext/>
        <w:spacing w:after="120"/>
        <w:ind w:left="360"/>
        <w:jc w:val="both"/>
        <w:outlineLvl w:val="0"/>
        <w:rPr>
          <w:rFonts w:ascii="Calibri" w:eastAsia="MS Mincho" w:hAnsi="Calibri" w:cs="Arial"/>
          <w:b/>
          <w:sz w:val="16"/>
          <w:szCs w:val="16"/>
        </w:rPr>
      </w:pPr>
    </w:p>
    <w:p w14:paraId="68227052"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0C3BF846"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73B039EB"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4AAAD7D1"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1726590D"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3532FF52"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0079BE17" w14:textId="77777777" w:rsidR="002F3E75" w:rsidRPr="00F95DDA" w:rsidRDefault="002F3E75" w:rsidP="002F3E75">
      <w:pPr>
        <w:numPr>
          <w:ilvl w:val="0"/>
          <w:numId w:val="18"/>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597E2EE7" w14:textId="77777777" w:rsidR="002F3E75" w:rsidRPr="00054A79" w:rsidRDefault="002F3E75" w:rsidP="002F3E75">
      <w:pPr>
        <w:pStyle w:val="ListParagraph"/>
        <w:keepNext/>
        <w:spacing w:after="120"/>
        <w:jc w:val="both"/>
        <w:outlineLvl w:val="0"/>
        <w:rPr>
          <w:rFonts w:ascii="Calibri" w:eastAsia="MS Mincho" w:hAnsi="Calibri" w:cs="Arial"/>
          <w:bCs/>
          <w:sz w:val="16"/>
          <w:szCs w:val="16"/>
        </w:rPr>
      </w:pPr>
    </w:p>
    <w:p w14:paraId="58DA36C0" w14:textId="77777777" w:rsidR="002F3E75"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46733918" w14:textId="77777777" w:rsidR="002F3E75" w:rsidRDefault="002F3E75" w:rsidP="002F3E75">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4D622349" w14:textId="77777777" w:rsidR="002F3E75" w:rsidRDefault="002F3E75" w:rsidP="002F3E75">
      <w:pPr>
        <w:pStyle w:val="ListParagraph"/>
        <w:keepNext/>
        <w:spacing w:after="120"/>
        <w:jc w:val="both"/>
        <w:outlineLvl w:val="0"/>
        <w:rPr>
          <w:rFonts w:ascii="Calibri" w:eastAsia="MS Mincho" w:hAnsi="Calibri" w:cs="Arial"/>
          <w:bCs/>
          <w:sz w:val="16"/>
          <w:szCs w:val="16"/>
        </w:rPr>
        <w:sectPr w:rsidR="002F3E75"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48F091FE" w14:textId="77777777" w:rsidR="002F3E75" w:rsidRPr="00054A79" w:rsidRDefault="002F3E75" w:rsidP="002F3E75">
      <w:pPr>
        <w:pStyle w:val="ListParagraph"/>
        <w:keepNext/>
        <w:numPr>
          <w:ilvl w:val="0"/>
          <w:numId w:val="4"/>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To pay by Check: Include Invoice Number on check and remit to: </w:t>
      </w:r>
    </w:p>
    <w:p w14:paraId="501D9B62" w14:textId="77777777" w:rsidR="002F3E75" w:rsidRDefault="002F3E75" w:rsidP="002F3E75">
      <w:pPr>
        <w:keepNext/>
        <w:spacing w:after="120"/>
        <w:jc w:val="both"/>
        <w:outlineLvl w:val="0"/>
        <w:rPr>
          <w:rFonts w:ascii="Calibri" w:eastAsia="MS Mincho" w:hAnsi="Calibri" w:cs="Arial"/>
          <w:bCs/>
          <w:sz w:val="16"/>
          <w:szCs w:val="16"/>
        </w:rPr>
      </w:pPr>
      <w:r w:rsidRPr="009F048B">
        <w:rPr>
          <w:rFonts w:ascii="Calibri" w:eastAsia="MS Mincho" w:hAnsi="Calibri" w:cs="Arial"/>
          <w:bCs/>
          <w:sz w:val="16"/>
          <w:szCs w:val="16"/>
        </w:rPr>
        <w:tab/>
      </w:r>
      <w:r>
        <w:rPr>
          <w:rFonts w:ascii="Calibri" w:eastAsia="MS Mincho" w:hAnsi="Calibri" w:cs="Arial"/>
          <w:bCs/>
          <w:sz w:val="16"/>
          <w:szCs w:val="16"/>
        </w:rPr>
        <w:t>FRONTIER</w:t>
      </w:r>
    </w:p>
    <w:p w14:paraId="1ADEDDD7" w14:textId="77777777" w:rsidR="002F3E75" w:rsidRPr="00F95DDA" w:rsidRDefault="002F3E75" w:rsidP="002F3E75">
      <w:pPr>
        <w:keepNext/>
        <w:spacing w:after="120"/>
        <w:jc w:val="both"/>
        <w:outlineLvl w:val="0"/>
        <w:rPr>
          <w:rFonts w:ascii="Calibri" w:eastAsia="MS Mincho" w:hAnsi="Calibri" w:cs="Arial"/>
          <w:bCs/>
          <w:sz w:val="16"/>
          <w:szCs w:val="16"/>
        </w:rPr>
      </w:pPr>
      <w:r>
        <w:rPr>
          <w:rFonts w:ascii="Calibri" w:eastAsia="MS Mincho" w:hAnsi="Calibri" w:cs="Arial"/>
          <w:b/>
          <w:sz w:val="16"/>
          <w:szCs w:val="16"/>
        </w:rPr>
        <w:tab/>
      </w:r>
      <w:r w:rsidRPr="00F95DDA">
        <w:rPr>
          <w:rFonts w:ascii="Calibri" w:eastAsia="MS Mincho" w:hAnsi="Calibri" w:cs="Arial"/>
          <w:bCs/>
          <w:sz w:val="16"/>
          <w:szCs w:val="16"/>
        </w:rPr>
        <w:t>Po Box 740407</w:t>
      </w:r>
    </w:p>
    <w:p w14:paraId="72F12F69" w14:textId="77777777" w:rsidR="002F3E75" w:rsidRPr="00F95DDA" w:rsidRDefault="002F3E75" w:rsidP="002F3E75">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ab/>
        <w:t>Cincinnati, OH</w:t>
      </w:r>
      <w:r>
        <w:rPr>
          <w:rFonts w:ascii="Calibri" w:eastAsia="MS Mincho" w:hAnsi="Calibri" w:cs="Arial"/>
          <w:bCs/>
          <w:sz w:val="16"/>
          <w:szCs w:val="16"/>
        </w:rPr>
        <w:t xml:space="preserve"> 45274-0407</w:t>
      </w:r>
      <w:r w:rsidRPr="00F95DDA">
        <w:rPr>
          <w:rFonts w:ascii="Calibri" w:eastAsia="MS Mincho" w:hAnsi="Calibri" w:cs="Arial"/>
          <w:bCs/>
          <w:sz w:val="16"/>
          <w:szCs w:val="16"/>
        </w:rPr>
        <w:t xml:space="preserve"> </w:t>
      </w:r>
    </w:p>
    <w:p w14:paraId="3CB0D2A4" w14:textId="761FFCBC"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headerReference w:type="default" r:id="rId14"/>
          <w:footerReference w:type="default" r:id="rId15"/>
          <w:type w:val="continuous"/>
          <w:pgSz w:w="12240" w:h="15840"/>
          <w:pgMar w:top="720" w:right="720" w:bottom="720" w:left="720" w:header="432" w:footer="432" w:gutter="0"/>
          <w:cols w:num="2" w:space="432"/>
          <w:docGrid w:linePitch="360"/>
        </w:sectPr>
      </w:pPr>
    </w:p>
    <w:p w14:paraId="32029B3A" w14:textId="31EA1F6E" w:rsidR="006D7528" w:rsidRPr="006D7528" w:rsidRDefault="006D7528" w:rsidP="00380799">
      <w:pPr>
        <w:pStyle w:val="ListParagraph"/>
        <w:keepNext/>
        <w:numPr>
          <w:ilvl w:val="0"/>
          <w:numId w:val="2"/>
        </w:numPr>
        <w:spacing w:after="120"/>
        <w:outlineLvl w:val="0"/>
        <w:rPr>
          <w:rFonts w:ascii="Calibri" w:eastAsia="MS Mincho" w:hAnsi="Calibri" w:cs="Arial"/>
          <w:b/>
          <w:sz w:val="16"/>
          <w:szCs w:val="16"/>
        </w:rPr>
        <w:sectPr w:rsidR="006D7528"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77777777" w:rsidR="006D7528" w:rsidRDefault="006D7528" w:rsidP="00AE7986">
      <w:pPr>
        <w:rPr>
          <w:rFonts w:ascii="Calibri" w:hAnsi="Calibri"/>
          <w:b/>
          <w:bCs/>
          <w:color w:val="000000"/>
          <w:sz w:val="16"/>
          <w:szCs w:val="16"/>
        </w:rPr>
        <w:sectPr w:rsidR="006D7528" w:rsidSect="00262DA5">
          <w:headerReference w:type="even" r:id="rId16"/>
          <w:headerReference w:type="default" r:id="rId17"/>
          <w:footerReference w:type="default" r:id="rId18"/>
          <w:headerReference w:type="first" r:id="rId19"/>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77777777"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fldChar w:fldCharType="begin">
                <w:ffData>
                  <w:name w:val="Text147"/>
                  <w:enabled/>
                  <w:calcOnExit w:val="0"/>
                  <w:textInput>
                    <w:default w:val="Insert Customer Full Legal Name"/>
                  </w:textInput>
                </w:ffData>
              </w:fldChar>
            </w:r>
            <w:bookmarkStart w:id="0" w:name="Text147"/>
            <w:r w:rsidRPr="00AD3917">
              <w:rPr>
                <w:rFonts w:ascii="Calibri" w:hAnsi="Calibri"/>
                <w:b/>
                <w:bCs/>
                <w:color w:val="000000"/>
                <w:sz w:val="16"/>
                <w:szCs w:val="16"/>
              </w:rPr>
              <w:instrText xml:space="preserve"> FORMTEXT </w:instrText>
            </w:r>
            <w:r w:rsidRPr="00AD3917">
              <w:rPr>
                <w:rFonts w:ascii="Calibri" w:hAnsi="Calibri"/>
                <w:b/>
                <w:bCs/>
                <w:color w:val="000000"/>
                <w:sz w:val="16"/>
                <w:szCs w:val="16"/>
              </w:rPr>
            </w:r>
            <w:r w:rsidRPr="00AD3917">
              <w:rPr>
                <w:rFonts w:ascii="Calibri" w:hAnsi="Calibri"/>
                <w:b/>
                <w:bCs/>
                <w:color w:val="000000"/>
                <w:sz w:val="16"/>
                <w:szCs w:val="16"/>
              </w:rPr>
              <w:fldChar w:fldCharType="separate"/>
            </w:r>
            <w:r w:rsidRPr="00AD3917">
              <w:rPr>
                <w:rFonts w:ascii="Calibri" w:hAnsi="Calibri"/>
                <w:b/>
                <w:bCs/>
                <w:noProof/>
                <w:color w:val="000000"/>
                <w:sz w:val="16"/>
                <w:szCs w:val="16"/>
              </w:rPr>
              <w:t>Insert Customer Full Legal Name</w:t>
            </w:r>
            <w:r w:rsidRPr="00AD3917">
              <w:rPr>
                <w:rFonts w:ascii="Calibri" w:hAnsi="Calibri"/>
                <w:b/>
                <w:bCs/>
                <w:color w:val="000000"/>
                <w:sz w:val="16"/>
                <w:szCs w:val="16"/>
              </w:rPr>
              <w:fldChar w:fldCharType="end"/>
            </w:r>
            <w:bookmarkEnd w:id="0"/>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4C46B8" w:rsidR="006B0555" w:rsidRPr="00AD3917" w:rsidRDefault="00F95D00" w:rsidP="00AE7986">
            <w:pPr>
              <w:spacing w:after="120"/>
              <w:ind w:right="288"/>
              <w:rPr>
                <w:rFonts w:ascii="Calibri" w:hAnsi="Calibri"/>
                <w:bCs/>
                <w:color w:val="000000"/>
                <w:sz w:val="16"/>
                <w:szCs w:val="16"/>
              </w:rPr>
            </w:pPr>
            <w:r>
              <w:rPr>
                <w:rFonts w:ascii="Calibri" w:hAnsi="Calibri"/>
                <w:bCs/>
                <w:color w:val="000000"/>
                <w:sz w:val="16"/>
                <w:szCs w:val="16"/>
              </w:rPr>
              <w:t>{{</w:t>
            </w:r>
            <w:r w:rsidRPr="00F95D00">
              <w:rPr>
                <w:rFonts w:ascii="Calibri" w:hAnsi="Calibri"/>
                <w:bCs/>
                <w:color w:val="000000"/>
                <w:sz w:val="16"/>
                <w:szCs w:val="16"/>
              </w:rPr>
              <w:t>FrontierSignature</w:t>
            </w:r>
            <w:r>
              <w:rPr>
                <w:rFonts w:ascii="Calibri" w:hAnsi="Calibri"/>
                <w:bCs/>
                <w:color w:val="000000"/>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6EA7B030" w:rsidR="006B0555" w:rsidRPr="00AD3917" w:rsidRDefault="00F95D00" w:rsidP="00AE7986">
            <w:pPr>
              <w:rPr>
                <w:rFonts w:ascii="Calibri" w:hAnsi="Calibri"/>
                <w:bCs/>
                <w:color w:val="000000"/>
                <w:sz w:val="16"/>
                <w:szCs w:val="16"/>
              </w:rPr>
            </w:pPr>
            <w:r>
              <w:rPr>
                <w:rFonts w:ascii="Calibri" w:hAnsi="Calibri"/>
                <w:bCs/>
                <w:color w:val="000000"/>
                <w:sz w:val="16"/>
                <w:szCs w:val="16"/>
              </w:rPr>
              <w:t>{{</w:t>
            </w:r>
            <w:r w:rsidRPr="00F95D00">
              <w:rPr>
                <w:rFonts w:ascii="Calibri" w:hAnsi="Calibri"/>
                <w:bCs/>
                <w:color w:val="000000"/>
                <w:sz w:val="16"/>
                <w:szCs w:val="16"/>
              </w:rPr>
              <w:t>ClientSignature</w:t>
            </w:r>
            <w:r>
              <w:rPr>
                <w:rFonts w:ascii="Calibri" w:hAnsi="Calibri"/>
                <w:bCs/>
                <w:color w:val="000000"/>
                <w:sz w:val="16"/>
                <w:szCs w:val="16"/>
              </w:rPr>
              <w:t>}}</w:t>
            </w:r>
          </w:p>
        </w:tc>
      </w:tr>
      <w:tr w:rsidR="00AC5895" w:rsidRPr="00AD3917" w14:paraId="7EE27D06" w14:textId="77777777" w:rsidTr="00AE7986">
        <w:trPr>
          <w:cantSplit/>
          <w:trHeight w:val="288"/>
        </w:trPr>
        <w:tc>
          <w:tcPr>
            <w:tcW w:w="1530" w:type="dxa"/>
            <w:shd w:val="clear" w:color="auto" w:fill="auto"/>
            <w:vAlign w:val="bottom"/>
            <w:hideMark/>
          </w:tcPr>
          <w:p w14:paraId="5E59D5E3"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41AE9CA" w:rsidR="00AC5895" w:rsidRPr="00AD3917" w:rsidRDefault="00AC5895" w:rsidP="00AC5895">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FrontierPrintedName</w:t>
            </w:r>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AC5895" w:rsidRPr="00AD3917" w:rsidRDefault="00AC5895" w:rsidP="00AC5895">
            <w:pPr>
              <w:rPr>
                <w:rFonts w:ascii="Calibri" w:hAnsi="Calibri"/>
                <w:bCs/>
                <w:color w:val="000000"/>
                <w:sz w:val="16"/>
                <w:szCs w:val="16"/>
              </w:rPr>
            </w:pPr>
          </w:p>
        </w:tc>
        <w:tc>
          <w:tcPr>
            <w:tcW w:w="1530" w:type="dxa"/>
            <w:shd w:val="clear" w:color="auto" w:fill="auto"/>
            <w:vAlign w:val="bottom"/>
            <w:hideMark/>
          </w:tcPr>
          <w:p w14:paraId="6BD33D70" w14:textId="77777777" w:rsidR="00AC5895" w:rsidRPr="00AD3917" w:rsidRDefault="00AC5895" w:rsidP="00AC5895">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21E8E694" w14:textId="6DF37FA7" w:rsidR="00AC5895" w:rsidRPr="00AD3917" w:rsidRDefault="00F844DD" w:rsidP="00AC5895">
            <w:pPr>
              <w:rPr>
                <w:rFonts w:ascii="Calibri" w:hAnsi="Calibri"/>
                <w:bCs/>
                <w:color w:val="000000"/>
                <w:sz w:val="16"/>
                <w:szCs w:val="16"/>
              </w:rPr>
            </w:pPr>
            <w:r>
              <w:rPr>
                <w:rFonts w:ascii="Calibri" w:hAnsi="Calibri"/>
                <w:bCs/>
                <w:color w:val="000000"/>
                <w:sz w:val="16"/>
                <w:szCs w:val="16"/>
              </w:rPr>
              <w:t>{{</w:t>
            </w:r>
            <w:r w:rsidRPr="00F844DD">
              <w:rPr>
                <w:rFonts w:ascii="Calibri" w:hAnsi="Calibri"/>
                <w:bCs/>
                <w:color w:val="000000"/>
                <w:sz w:val="16"/>
                <w:szCs w:val="16"/>
              </w:rPr>
              <w:t>ClientPrintedName</w:t>
            </w:r>
            <w:r>
              <w:rPr>
                <w:rFonts w:ascii="Calibri" w:hAnsi="Calibri"/>
                <w:bCs/>
                <w:color w:val="000000"/>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2BC10018" w:rsidR="006B0555" w:rsidRPr="00AD3917" w:rsidRDefault="00AC589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FrontierTitle</w:t>
            </w:r>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C651929" w:rsidR="006B0555" w:rsidRPr="00AD3917" w:rsidRDefault="00F844DD" w:rsidP="00AE7986">
            <w:pPr>
              <w:rPr>
                <w:rFonts w:ascii="Calibri" w:hAnsi="Calibri"/>
                <w:bCs/>
                <w:color w:val="000000"/>
                <w:sz w:val="16"/>
                <w:szCs w:val="16"/>
              </w:rPr>
            </w:pPr>
            <w:r>
              <w:rPr>
                <w:rFonts w:ascii="Calibri" w:hAnsi="Calibri"/>
                <w:bCs/>
                <w:color w:val="000000"/>
                <w:sz w:val="16"/>
                <w:szCs w:val="16"/>
              </w:rPr>
              <w:t>{{</w:t>
            </w:r>
            <w:r w:rsidRPr="00F844DD">
              <w:rPr>
                <w:rFonts w:ascii="Calibri" w:hAnsi="Calibri"/>
                <w:bCs/>
                <w:color w:val="000000"/>
                <w:sz w:val="16"/>
                <w:szCs w:val="16"/>
              </w:rPr>
              <w:t>ClientTitle</w:t>
            </w:r>
            <w:r>
              <w:rPr>
                <w:rFonts w:ascii="Calibri" w:hAnsi="Calibri"/>
                <w:bCs/>
                <w:color w:val="000000"/>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516941C0" w:rsidR="006B0555" w:rsidRPr="00AD3917" w:rsidRDefault="00F95D00" w:rsidP="00AE7986">
            <w:pPr>
              <w:rPr>
                <w:rFonts w:ascii="Calibri" w:hAnsi="Calibri"/>
                <w:bCs/>
                <w:color w:val="000000"/>
                <w:sz w:val="16"/>
                <w:szCs w:val="16"/>
              </w:rPr>
            </w:pPr>
            <w:r>
              <w:rPr>
                <w:rFonts w:ascii="Calibri" w:hAnsi="Calibri"/>
                <w:bCs/>
                <w:color w:val="000000"/>
                <w:sz w:val="16"/>
                <w:szCs w:val="16"/>
              </w:rPr>
              <w:t>{{</w:t>
            </w:r>
            <w:r w:rsidRPr="00F95D00">
              <w:rPr>
                <w:rFonts w:ascii="Calibri" w:hAnsi="Calibri"/>
                <w:bCs/>
                <w:color w:val="000000"/>
                <w:sz w:val="16"/>
                <w:szCs w:val="16"/>
              </w:rPr>
              <w:t>FrontierDate</w:t>
            </w:r>
            <w:r>
              <w:rPr>
                <w:rFonts w:ascii="Calibri" w:hAnsi="Calibri"/>
                <w:bCs/>
                <w:color w:val="000000"/>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60C5E3D9" w:rsidR="006B0555" w:rsidRPr="00AD3917" w:rsidRDefault="00F95D00" w:rsidP="00AE7986">
            <w:pPr>
              <w:rPr>
                <w:rFonts w:ascii="Calibri" w:hAnsi="Calibri"/>
                <w:bCs/>
                <w:color w:val="000000"/>
                <w:sz w:val="16"/>
                <w:szCs w:val="16"/>
              </w:rPr>
            </w:pPr>
            <w:r>
              <w:rPr>
                <w:rFonts w:ascii="Calibri" w:hAnsi="Calibri"/>
                <w:bCs/>
                <w:color w:val="000000"/>
                <w:sz w:val="16"/>
                <w:szCs w:val="16"/>
              </w:rPr>
              <w:t>{{</w:t>
            </w:r>
            <w:r w:rsidRPr="00F95D00">
              <w:rPr>
                <w:rFonts w:ascii="Calibri" w:hAnsi="Calibri"/>
                <w:bCs/>
                <w:color w:val="000000"/>
                <w:sz w:val="16"/>
                <w:szCs w:val="16"/>
              </w:rPr>
              <w:t>ClientDate</w:t>
            </w:r>
            <w:r>
              <w:rPr>
                <w:rFonts w:ascii="Calibri" w:hAnsi="Calibri"/>
                <w:bCs/>
                <w:color w:val="000000"/>
                <w:sz w:val="16"/>
                <w:szCs w:val="16"/>
              </w:rPr>
              <w:t>}}</w:t>
            </w:r>
          </w:p>
        </w:tc>
      </w:tr>
      <w:tr w:rsidR="006B0555" w:rsidRPr="00AD3917" w14:paraId="6F3FB505" w14:textId="77777777" w:rsidTr="00AE7986">
        <w:trPr>
          <w:cantSplit/>
          <w:trHeight w:val="288"/>
        </w:trPr>
        <w:tc>
          <w:tcPr>
            <w:tcW w:w="1530" w:type="dxa"/>
            <w:shd w:val="clear" w:color="auto" w:fill="auto"/>
          </w:tcPr>
          <w:p w14:paraId="53423724" w14:textId="73BF88FD" w:rsidR="006B0555" w:rsidRPr="00AD3917" w:rsidRDefault="006B0555" w:rsidP="00AE7986">
            <w:pPr>
              <w:rPr>
                <w:rFonts w:ascii="Calibri" w:hAnsi="Calibri"/>
                <w:bCs/>
                <w:color w:val="000000"/>
                <w:sz w:val="16"/>
                <w:szCs w:val="16"/>
              </w:rPr>
            </w:pPr>
          </w:p>
        </w:tc>
        <w:tc>
          <w:tcPr>
            <w:tcW w:w="3870" w:type="dxa"/>
            <w:tcBorders>
              <w:top w:val="single" w:sz="4" w:space="0" w:color="auto"/>
            </w:tcBorders>
            <w:shd w:val="clear" w:color="auto" w:fill="auto"/>
            <w:vAlign w:val="bottom"/>
          </w:tcPr>
          <w:p w14:paraId="054AAD4A" w14:textId="4E321E41" w:rsidR="006B0555" w:rsidRPr="00AD3917" w:rsidRDefault="006B0555" w:rsidP="00AE7986">
            <w:pPr>
              <w:rPr>
                <w:rFonts w:ascii="Calibri" w:hAnsi="Calibri"/>
                <w:bCs/>
                <w:color w:val="000000"/>
                <w:sz w:val="16"/>
                <w:szCs w:val="16"/>
              </w:rPr>
            </w:pPr>
          </w:p>
        </w:tc>
        <w:tc>
          <w:tcPr>
            <w:tcW w:w="270" w:type="dxa"/>
            <w:shd w:val="clear" w:color="auto" w:fill="auto"/>
            <w:vAlign w:val="bottom"/>
          </w:tcPr>
          <w:p w14:paraId="1CE69FFD" w14:textId="77777777" w:rsidR="006B0555" w:rsidRPr="00AD3917" w:rsidRDefault="006B0555" w:rsidP="00AE7986">
            <w:pPr>
              <w:rPr>
                <w:rFonts w:ascii="Calibri" w:hAnsi="Calibri"/>
                <w:bCs/>
                <w:color w:val="000000"/>
                <w:sz w:val="16"/>
                <w:szCs w:val="16"/>
              </w:rPr>
            </w:pPr>
          </w:p>
        </w:tc>
        <w:tc>
          <w:tcPr>
            <w:tcW w:w="1530" w:type="dxa"/>
            <w:shd w:val="clear" w:color="auto" w:fill="auto"/>
          </w:tcPr>
          <w:p w14:paraId="569477EA" w14:textId="6BCFCB8C" w:rsidR="006B0555" w:rsidRPr="00AD3917" w:rsidRDefault="006B0555" w:rsidP="00AE7986">
            <w:pPr>
              <w:rPr>
                <w:rFonts w:ascii="Calibri" w:hAnsi="Calibri"/>
                <w:bCs/>
                <w:color w:val="000000"/>
                <w:sz w:val="16"/>
                <w:szCs w:val="16"/>
              </w:rPr>
            </w:pPr>
          </w:p>
        </w:tc>
        <w:tc>
          <w:tcPr>
            <w:tcW w:w="3690" w:type="dxa"/>
            <w:tcBorders>
              <w:top w:val="single" w:sz="4" w:space="0" w:color="auto"/>
            </w:tcBorders>
            <w:shd w:val="clear" w:color="auto" w:fill="auto"/>
            <w:vAlign w:val="bottom"/>
          </w:tcPr>
          <w:p w14:paraId="2966FE8A" w14:textId="47D5B00D" w:rsidR="006B0555" w:rsidRPr="00AD3917" w:rsidRDefault="006B0555" w:rsidP="00AE7986">
            <w:pPr>
              <w:rPr>
                <w:rFonts w:ascii="Calibri" w:hAnsi="Calibri"/>
                <w:bCs/>
                <w:color w:val="000000"/>
                <w:sz w:val="16"/>
                <w:szCs w:val="16"/>
              </w:rPr>
            </w:pPr>
          </w:p>
        </w:tc>
      </w:tr>
    </w:tbl>
    <w:p w14:paraId="7A106631" w14:textId="77777777" w:rsidR="006B0555" w:rsidRPr="007B3E9B" w:rsidRDefault="006B0555" w:rsidP="006B0555">
      <w:pPr>
        <w:pStyle w:val="PlainText"/>
        <w:widowControl w:val="0"/>
        <w:spacing w:line="96" w:lineRule="auto"/>
        <w:ind w:right="-403"/>
        <w:rPr>
          <w:rFonts w:ascii="Calibri" w:hAnsi="Calibri" w:cs="Arial"/>
          <w:sz w:val="16"/>
          <w:szCs w:val="16"/>
        </w:rPr>
      </w:pPr>
    </w:p>
    <w:p w14:paraId="3124E903" w14:textId="7D33FA92" w:rsidR="009F4670" w:rsidRDefault="009F4670">
      <w:pPr>
        <w:spacing w:after="160" w:line="259" w:lineRule="auto"/>
      </w:pPr>
    </w:p>
    <w:p w14:paraId="139DFDFC" w14:textId="77777777" w:rsidR="00F540E2" w:rsidRDefault="00F540E2" w:rsidP="00613E09">
      <w:pPr>
        <w:jc w:val="center"/>
        <w:rPr>
          <w:rFonts w:ascii="Calibri" w:hAnsi="Calibri" w:cs="Calibri"/>
          <w:b/>
          <w:bCs/>
          <w:color w:val="D9272D"/>
        </w:rPr>
      </w:pPr>
    </w:p>
    <w:p w14:paraId="4AB8D722" w14:textId="77777777" w:rsidR="00F540E2" w:rsidRDefault="00F540E2" w:rsidP="00613E09">
      <w:pPr>
        <w:jc w:val="center"/>
        <w:rPr>
          <w:rFonts w:ascii="Calibri" w:hAnsi="Calibri" w:cs="Calibri"/>
          <w:b/>
          <w:bCs/>
          <w:color w:val="D9272D"/>
        </w:rPr>
      </w:pPr>
    </w:p>
    <w:p w14:paraId="244A0F05" w14:textId="77777777" w:rsidR="00F540E2" w:rsidRDefault="00F540E2" w:rsidP="00613E09">
      <w:pPr>
        <w:jc w:val="center"/>
        <w:rPr>
          <w:rFonts w:ascii="Calibri" w:hAnsi="Calibri" w:cs="Calibri"/>
          <w:b/>
          <w:bCs/>
          <w:color w:val="D9272D"/>
        </w:rPr>
      </w:pPr>
    </w:p>
    <w:p w14:paraId="4C9E61E3" w14:textId="77777777" w:rsidR="00F540E2" w:rsidRDefault="00F540E2" w:rsidP="00613E09">
      <w:pPr>
        <w:jc w:val="center"/>
        <w:rPr>
          <w:rFonts w:ascii="Calibri" w:hAnsi="Calibri" w:cs="Calibri"/>
          <w:b/>
          <w:bCs/>
          <w:color w:val="D9272D"/>
        </w:rPr>
      </w:pPr>
    </w:p>
    <w:p w14:paraId="6820CD71" w14:textId="7CF25ADF" w:rsidR="00F540E2" w:rsidRDefault="00F540E2" w:rsidP="00613E09">
      <w:pPr>
        <w:jc w:val="center"/>
        <w:rPr>
          <w:rFonts w:ascii="Calibri" w:hAnsi="Calibri" w:cs="Calibri"/>
          <w:b/>
          <w:bCs/>
          <w:color w:val="D9272D"/>
        </w:rPr>
      </w:pPr>
    </w:p>
    <w:p w14:paraId="78951B0A" w14:textId="0B3B3C8E" w:rsidR="00FD220D" w:rsidRDefault="00FD220D" w:rsidP="00613E09">
      <w:pPr>
        <w:jc w:val="center"/>
        <w:rPr>
          <w:rFonts w:ascii="Calibri" w:hAnsi="Calibri" w:cs="Calibri"/>
          <w:b/>
          <w:bCs/>
          <w:color w:val="D9272D"/>
        </w:rPr>
      </w:pPr>
    </w:p>
    <w:p w14:paraId="7A8ED90B" w14:textId="5C7D3D0D" w:rsidR="00FD220D" w:rsidRDefault="00FD220D" w:rsidP="00613E09">
      <w:pPr>
        <w:jc w:val="center"/>
        <w:rPr>
          <w:rFonts w:ascii="Calibri" w:hAnsi="Calibri" w:cs="Calibri"/>
          <w:b/>
          <w:bCs/>
          <w:color w:val="D9272D"/>
        </w:rPr>
      </w:pPr>
    </w:p>
    <w:p w14:paraId="4B9BF3D7" w14:textId="38E649F6" w:rsidR="000B2AC1" w:rsidRDefault="000B2AC1" w:rsidP="00613E09">
      <w:pPr>
        <w:jc w:val="center"/>
        <w:rPr>
          <w:rFonts w:ascii="Calibri" w:hAnsi="Calibri" w:cs="Calibri"/>
          <w:b/>
          <w:bCs/>
          <w:color w:val="D9272D"/>
        </w:rPr>
      </w:pPr>
    </w:p>
    <w:p w14:paraId="75B02773" w14:textId="5F2DD89A" w:rsidR="000B2AC1" w:rsidRDefault="000B2AC1" w:rsidP="00613E09">
      <w:pPr>
        <w:jc w:val="center"/>
        <w:rPr>
          <w:rFonts w:ascii="Calibri" w:hAnsi="Calibri" w:cs="Calibri"/>
          <w:b/>
          <w:bCs/>
          <w:color w:val="D9272D"/>
        </w:rPr>
      </w:pPr>
    </w:p>
    <w:p w14:paraId="7CDB6A6D" w14:textId="088ED9AD" w:rsidR="004A4EE8" w:rsidRDefault="004A4EE8" w:rsidP="00613E09">
      <w:pPr>
        <w:jc w:val="center"/>
        <w:rPr>
          <w:rFonts w:ascii="Calibri" w:hAnsi="Calibri" w:cs="Calibri"/>
          <w:b/>
          <w:bCs/>
          <w:color w:val="D9272D"/>
        </w:rPr>
      </w:pPr>
    </w:p>
    <w:p w14:paraId="6B4181E9" w14:textId="77777777" w:rsidR="004A4EE8" w:rsidRDefault="004A4EE8" w:rsidP="00613E09">
      <w:pPr>
        <w:jc w:val="center"/>
        <w:rPr>
          <w:rFonts w:ascii="Calibri" w:hAnsi="Calibri" w:cs="Calibri"/>
          <w:b/>
          <w:bCs/>
          <w:color w:val="D9272D"/>
        </w:rPr>
      </w:pPr>
    </w:p>
    <w:p w14:paraId="68F17322" w14:textId="731E2FE8"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43C0D46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bCs/>
          <w:sz w:val="16"/>
          <w:szCs w:val="16"/>
        </w:rPr>
      </w:pPr>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57A1AEAA" w14:textId="77777777" w:rsidR="000B57FD" w:rsidRPr="007A2CAA" w:rsidRDefault="000B57FD" w:rsidP="000B57FD">
      <w:pPr>
        <w:pStyle w:val="List"/>
        <w:tabs>
          <w:tab w:val="left" w:pos="360"/>
        </w:tabs>
        <w:spacing w:before="120"/>
        <w:ind w:left="0" w:right="288" w:firstLine="0"/>
        <w:jc w:val="both"/>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4550B0" w:rsidRPr="007A2CAA" w14:paraId="72C6C18B" w14:textId="77777777" w:rsidTr="00244E98">
        <w:trPr>
          <w:trHeight w:val="53"/>
        </w:trPr>
        <w:tc>
          <w:tcPr>
            <w:tcW w:w="1666" w:type="pct"/>
            <w:shd w:val="clear" w:color="auto" w:fill="C00000"/>
          </w:tcPr>
          <w:p w14:paraId="7A99D034" w14:textId="77777777" w:rsidR="004550B0" w:rsidRPr="007A2CAA" w:rsidRDefault="004550B0" w:rsidP="00244E98">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shd w:val="clear" w:color="auto" w:fill="C00000"/>
          </w:tcPr>
          <w:p w14:paraId="79D56368" w14:textId="77777777" w:rsidR="004550B0" w:rsidRPr="007A2CAA" w:rsidRDefault="004550B0" w:rsidP="00244E98">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shd w:val="clear" w:color="auto" w:fill="C00000"/>
          </w:tcPr>
          <w:p w14:paraId="0A538B30" w14:textId="77777777" w:rsidR="004550B0" w:rsidRPr="007A2CAA" w:rsidRDefault="004550B0" w:rsidP="00244E98">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shd w:val="clear" w:color="auto" w:fill="C00000"/>
          </w:tcPr>
          <w:p w14:paraId="420F7466" w14:textId="77777777" w:rsidR="004550B0" w:rsidRPr="007A2CAA" w:rsidRDefault="004550B0" w:rsidP="00244E98">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shd w:val="clear" w:color="auto" w:fill="C00000"/>
          </w:tcPr>
          <w:p w14:paraId="65F13D3A" w14:textId="77777777" w:rsidR="004550B0" w:rsidRPr="007A2CAA" w:rsidRDefault="004550B0" w:rsidP="00244E98">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4550B0" w:rsidRPr="007A2CAA" w14:paraId="6220B349" w14:textId="77777777" w:rsidTr="00244E98">
        <w:tblPrEx>
          <w:tblBorders>
            <w:bottom w:val="single" w:sz="4" w:space="0" w:color="auto"/>
          </w:tblBorders>
        </w:tblPrEx>
        <w:trPr>
          <w:trHeight w:val="487"/>
        </w:trPr>
        <w:tc>
          <w:tcPr>
            <w:tcW w:w="1666" w:type="pct"/>
          </w:tcPr>
          <w:p w14:paraId="6422F61A" w14:textId="77777777" w:rsidR="00364D65" w:rsidRDefault="000040BC" w:rsidP="00364D65">
            <w:pPr>
              <w:pStyle w:val="List"/>
              <w:tabs>
                <w:tab w:val="left" w:pos="360"/>
              </w:tabs>
              <w:ind w:left="0" w:right="288" w:firstLine="0"/>
              <w:jc w:val="both"/>
              <w:rPr>
                <w:rFonts w:asciiTheme="minorHAnsi" w:hAnsiTheme="minorHAnsi" w:cs="Arial"/>
                <w:b/>
                <w:sz w:val="16"/>
                <w:szCs w:val="16"/>
              </w:rPr>
            </w:pPr>
            <w:r w:rsidRPr="007A2CAA">
              <w:rPr>
                <w:rFonts w:asciiTheme="minorHAnsi" w:hAnsiTheme="minorHAnsi" w:cs="Arial"/>
                <w:b/>
                <w:sz w:val="16"/>
                <w:szCs w:val="16"/>
              </w:rPr>
              <w:t>{{#</w:t>
            </w:r>
            <w:r>
              <w:rPr>
                <w:rFonts w:asciiTheme="minorHAnsi" w:hAnsiTheme="minorHAnsi" w:cs="Arial"/>
                <w:b/>
                <w:sz w:val="16"/>
                <w:szCs w:val="16"/>
              </w:rPr>
              <w:t>DIA</w:t>
            </w:r>
            <w:r w:rsidRPr="007A2CAA">
              <w:rPr>
                <w:rFonts w:asciiTheme="minorHAnsi" w:hAnsiTheme="minorHAnsi" w:cs="Arial"/>
                <w:b/>
                <w:sz w:val="16"/>
                <w:szCs w:val="16"/>
              </w:rPr>
              <w:t>}}</w:t>
            </w:r>
            <w:r w:rsidR="00364D65" w:rsidRPr="007A2CAA">
              <w:rPr>
                <w:rFonts w:asciiTheme="minorHAnsi" w:hAnsiTheme="minorHAnsi" w:cs="Arial"/>
                <w:b/>
                <w:sz w:val="16"/>
                <w:szCs w:val="16"/>
              </w:rPr>
              <w:t>{{#ftr_IsBundle}}</w:t>
            </w:r>
          </w:p>
          <w:p w14:paraId="42B367CA" w14:textId="7EB5E9AD" w:rsidR="004550B0" w:rsidRPr="007A2CAA" w:rsidRDefault="004550B0" w:rsidP="004550B0">
            <w:pPr>
              <w:spacing w:line="360" w:lineRule="auto"/>
              <w:jc w:val="both"/>
              <w:rPr>
                <w:b/>
                <w:sz w:val="16"/>
                <w:szCs w:val="16"/>
                <w:u w:val="single"/>
              </w:rPr>
            </w:pPr>
            <w:r w:rsidRPr="007A2CAA">
              <w:rPr>
                <w:b/>
                <w:sz w:val="16"/>
                <w:szCs w:val="16"/>
                <w:u w:val="single"/>
              </w:rPr>
              <w:t>{{ProductName}}</w:t>
            </w:r>
          </w:p>
          <w:p w14:paraId="451C4533" w14:textId="6E034EE1" w:rsidR="004550B0" w:rsidRPr="007A2CAA" w:rsidRDefault="004550B0" w:rsidP="004D1AED">
            <w:pPr>
              <w:pStyle w:val="List"/>
              <w:tabs>
                <w:tab w:val="left" w:pos="360"/>
              </w:tabs>
              <w:ind w:left="0" w:right="288" w:firstLine="0"/>
              <w:jc w:val="both"/>
              <w:rPr>
                <w:sz w:val="16"/>
                <w:szCs w:val="16"/>
              </w:rPr>
            </w:pPr>
            <w:r w:rsidRPr="007A2CAA">
              <w:rPr>
                <w:sz w:val="16"/>
                <w:szCs w:val="16"/>
              </w:rPr>
              <w:t>{{CoS}}</w:t>
            </w:r>
            <w:r w:rsidR="00E35AB6">
              <w:rPr>
                <w:sz w:val="16"/>
                <w:szCs w:val="16"/>
              </w:rPr>
              <w:t xml:space="preserve"> </w:t>
            </w:r>
            <w:r w:rsidRPr="007A2CAA">
              <w:rPr>
                <w:sz w:val="16"/>
                <w:szCs w:val="16"/>
              </w:rPr>
              <w:t>{{SPEED}}</w:t>
            </w:r>
            <w:r w:rsidR="00E35AB6">
              <w:rPr>
                <w:sz w:val="16"/>
                <w:szCs w:val="16"/>
              </w:rPr>
              <w:t xml:space="preserve"> </w:t>
            </w:r>
            <w:r w:rsidRPr="007A2CAA">
              <w:rPr>
                <w:sz w:val="16"/>
                <w:szCs w:val="16"/>
              </w:rPr>
              <w:t>{{IPBLOCK}} {{SDWANSpeed}} {{IKEv2}} {{HighAvail}} {{CTerm}}</w:t>
            </w:r>
          </w:p>
        </w:tc>
        <w:tc>
          <w:tcPr>
            <w:tcW w:w="1001" w:type="pct"/>
          </w:tcPr>
          <w:p w14:paraId="68979DC0" w14:textId="4E6E5387" w:rsidR="004550B0" w:rsidRPr="00552372" w:rsidRDefault="004550B0" w:rsidP="004550B0">
            <w:pPr>
              <w:shd w:val="clear" w:color="auto" w:fill="FFFFFE"/>
              <w:spacing w:line="285" w:lineRule="atLeast"/>
              <w:jc w:val="center"/>
              <w:rPr>
                <w:b/>
                <w:bCs/>
                <w:sz w:val="16"/>
                <w:szCs w:val="16"/>
              </w:rPr>
            </w:pPr>
            <w:r w:rsidRPr="00552372">
              <w:rPr>
                <w:b/>
                <w:bCs/>
                <w:sz w:val="16"/>
                <w:szCs w:val="16"/>
              </w:rPr>
              <w:t>{{</w:t>
            </w:r>
            <w:r w:rsidR="00CC22F1" w:rsidRPr="00CC22F1">
              <w:rPr>
                <w:b/>
                <w:bCs/>
                <w:sz w:val="16"/>
                <w:szCs w:val="16"/>
              </w:rPr>
              <w:t>Quantity</w:t>
            </w:r>
            <w:r w:rsidRPr="00552372">
              <w:rPr>
                <w:b/>
                <w:bCs/>
                <w:sz w:val="16"/>
                <w:szCs w:val="16"/>
              </w:rPr>
              <w:t>}}</w:t>
            </w:r>
          </w:p>
        </w:tc>
        <w:tc>
          <w:tcPr>
            <w:tcW w:w="834" w:type="pct"/>
          </w:tcPr>
          <w:p w14:paraId="1B8BC1FE" w14:textId="10E2B778" w:rsidR="004550B0" w:rsidRPr="00552372" w:rsidRDefault="004550B0" w:rsidP="004550B0">
            <w:pPr>
              <w:shd w:val="clear" w:color="auto" w:fill="FFFFFE"/>
              <w:spacing w:line="285" w:lineRule="atLeast"/>
              <w:jc w:val="center"/>
              <w:rPr>
                <w:rFonts w:asciiTheme="minorHAnsi" w:hAnsiTheme="minorHAnsi" w:cstheme="minorHAnsi"/>
                <w:b/>
                <w:bCs/>
                <w:sz w:val="16"/>
                <w:szCs w:val="16"/>
              </w:rPr>
            </w:pPr>
            <w:r w:rsidRPr="00552372">
              <w:rPr>
                <w:b/>
                <w:bCs/>
                <w:sz w:val="16"/>
                <w:szCs w:val="16"/>
              </w:rPr>
              <w:t>{{</w:t>
            </w:r>
            <w:r w:rsidR="00676597" w:rsidRPr="00B073EB">
              <w:rPr>
                <w:rFonts w:asciiTheme="minorHAnsi" w:hAnsiTheme="minorHAnsi"/>
                <w:b/>
                <w:bCs/>
                <w:sz w:val="16"/>
                <w:szCs w:val="16"/>
              </w:rPr>
              <w:t>RecurringCharge</w:t>
            </w:r>
            <w:r w:rsidRPr="00552372">
              <w:rPr>
                <w:b/>
                <w:bCs/>
                <w:sz w:val="16"/>
                <w:szCs w:val="16"/>
              </w:rPr>
              <w:t>}}</w:t>
            </w:r>
          </w:p>
        </w:tc>
        <w:tc>
          <w:tcPr>
            <w:tcW w:w="751" w:type="pct"/>
          </w:tcPr>
          <w:p w14:paraId="5B9DEEAF" w14:textId="600FD35E" w:rsidR="004550B0" w:rsidRPr="00552372" w:rsidRDefault="004550B0" w:rsidP="004550B0">
            <w:pPr>
              <w:shd w:val="clear" w:color="auto" w:fill="FFFFFE"/>
              <w:spacing w:line="285" w:lineRule="atLeast"/>
              <w:jc w:val="center"/>
              <w:rPr>
                <w:rFonts w:asciiTheme="minorHAnsi" w:hAnsiTheme="minorHAnsi"/>
                <w:b/>
                <w:bCs/>
                <w:sz w:val="16"/>
                <w:szCs w:val="16"/>
              </w:rPr>
            </w:pPr>
            <w:r w:rsidRPr="00552372">
              <w:rPr>
                <w:rFonts w:asciiTheme="minorHAnsi" w:hAnsiTheme="minorHAnsi"/>
                <w:b/>
                <w:bCs/>
                <w:sz w:val="16"/>
                <w:szCs w:val="16"/>
              </w:rPr>
              <w:t>{{RecurringChargeTotal}}</w:t>
            </w:r>
          </w:p>
        </w:tc>
        <w:tc>
          <w:tcPr>
            <w:tcW w:w="748" w:type="pct"/>
          </w:tcPr>
          <w:p w14:paraId="3498204C" w14:textId="13C04DBD" w:rsidR="00447A57" w:rsidRDefault="004550B0" w:rsidP="00447A57">
            <w:pPr>
              <w:shd w:val="clear" w:color="auto" w:fill="FFFFFE"/>
              <w:spacing w:line="285" w:lineRule="atLeast"/>
              <w:jc w:val="center"/>
              <w:rPr>
                <w:b/>
                <w:bCs/>
                <w:sz w:val="16"/>
                <w:szCs w:val="16"/>
              </w:rPr>
            </w:pPr>
            <w:r w:rsidRPr="00552372">
              <w:rPr>
                <w:b/>
                <w:bCs/>
                <w:sz w:val="16"/>
                <w:szCs w:val="16"/>
              </w:rPr>
              <w:t>{{</w:t>
            </w:r>
            <w:r w:rsidR="00CC22F1" w:rsidRPr="00CC22F1">
              <w:rPr>
                <w:b/>
                <w:bCs/>
                <w:sz w:val="16"/>
                <w:szCs w:val="16"/>
              </w:rPr>
              <w:t>OneTimeCharge</w:t>
            </w:r>
            <w:r w:rsidRPr="00552372">
              <w:rPr>
                <w:b/>
                <w:bCs/>
                <w:sz w:val="16"/>
                <w:szCs w:val="16"/>
              </w:rPr>
              <w:t>}}</w:t>
            </w:r>
          </w:p>
          <w:p w14:paraId="53731311" w14:textId="00AF50FD" w:rsidR="009E5A84" w:rsidRDefault="009E5A84" w:rsidP="00447A57">
            <w:pPr>
              <w:shd w:val="clear" w:color="auto" w:fill="FFFFFE"/>
              <w:spacing w:line="285" w:lineRule="atLeast"/>
              <w:jc w:val="center"/>
              <w:rPr>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54DA9F5E" w14:textId="1DBE9CF5" w:rsidR="00C651EB" w:rsidRPr="00552372" w:rsidRDefault="000040BC" w:rsidP="00447A57">
            <w:pPr>
              <w:shd w:val="clear" w:color="auto" w:fill="FFFFFE"/>
              <w:spacing w:line="285" w:lineRule="atLeast"/>
              <w:jc w:val="center"/>
              <w:rPr>
                <w:rFonts w:asciiTheme="minorHAnsi" w:hAnsiTheme="minorHAnsi" w:cs="Arial"/>
                <w:b/>
                <w:bCs/>
                <w:sz w:val="16"/>
                <w:szCs w:val="16"/>
              </w:rPr>
            </w:pPr>
            <w:r w:rsidRPr="00552372">
              <w:rPr>
                <w:rFonts w:asciiTheme="minorHAnsi" w:hAnsiTheme="minorHAnsi" w:cs="Arial"/>
                <w:b/>
                <w:bCs/>
                <w:sz w:val="16"/>
                <w:szCs w:val="16"/>
              </w:rPr>
              <w:t>{{/DIA}}</w:t>
            </w:r>
          </w:p>
        </w:tc>
      </w:tr>
      <w:tr w:rsidR="00364D65" w:rsidRPr="007A2CAA" w14:paraId="6D143B93" w14:textId="77777777" w:rsidTr="00244E98">
        <w:tblPrEx>
          <w:tblBorders>
            <w:bottom w:val="single" w:sz="4" w:space="0" w:color="auto"/>
          </w:tblBorders>
        </w:tblPrEx>
        <w:trPr>
          <w:trHeight w:val="487"/>
        </w:trPr>
        <w:tc>
          <w:tcPr>
            <w:tcW w:w="1666" w:type="pct"/>
          </w:tcPr>
          <w:p w14:paraId="2E2A3E8B" w14:textId="1EDE43C8" w:rsidR="00364D65" w:rsidRDefault="00364D65" w:rsidP="00364D65">
            <w:pPr>
              <w:pStyle w:val="List"/>
              <w:tabs>
                <w:tab w:val="left" w:pos="360"/>
              </w:tabs>
              <w:ind w:left="0" w:right="288" w:firstLine="0"/>
              <w:jc w:val="both"/>
              <w:rPr>
                <w:rFonts w:asciiTheme="minorHAnsi" w:hAnsiTheme="minorHAnsi" w:cs="Arial"/>
                <w:b/>
                <w:sz w:val="16"/>
                <w:szCs w:val="16"/>
              </w:rPr>
            </w:pPr>
            <w:r w:rsidRPr="007A2CAA">
              <w:rPr>
                <w:rFonts w:asciiTheme="minorHAnsi" w:hAnsiTheme="minorHAnsi" w:cs="Arial"/>
                <w:b/>
                <w:sz w:val="16"/>
                <w:szCs w:val="16"/>
              </w:rPr>
              <w:t>{{#</w:t>
            </w:r>
            <w:r>
              <w:rPr>
                <w:rFonts w:asciiTheme="minorHAnsi" w:hAnsiTheme="minorHAnsi" w:cs="Arial"/>
                <w:b/>
                <w:sz w:val="16"/>
                <w:szCs w:val="16"/>
              </w:rPr>
              <w:t>DIA</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25AE280C" w14:textId="77777777" w:rsidR="00364D65" w:rsidRPr="007A2CAA" w:rsidRDefault="00364D65" w:rsidP="00364D65">
            <w:pPr>
              <w:spacing w:line="360" w:lineRule="auto"/>
              <w:jc w:val="both"/>
              <w:rPr>
                <w:b/>
                <w:sz w:val="16"/>
                <w:szCs w:val="16"/>
                <w:u w:val="single"/>
              </w:rPr>
            </w:pPr>
            <w:r w:rsidRPr="007A2CAA">
              <w:rPr>
                <w:b/>
                <w:sz w:val="16"/>
                <w:szCs w:val="16"/>
                <w:u w:val="single"/>
              </w:rPr>
              <w:t>{{ProductName}}</w:t>
            </w:r>
          </w:p>
          <w:p w14:paraId="049FBB84" w14:textId="25432E20" w:rsidR="00364D65" w:rsidRPr="007A2CAA" w:rsidRDefault="00364D65" w:rsidP="00364D65">
            <w:pPr>
              <w:pStyle w:val="List"/>
              <w:tabs>
                <w:tab w:val="left" w:pos="360"/>
              </w:tabs>
              <w:ind w:left="0" w:right="288" w:firstLine="0"/>
              <w:jc w:val="both"/>
              <w:rPr>
                <w:rFonts w:asciiTheme="minorHAnsi" w:hAnsiTheme="minorHAnsi" w:cs="Arial"/>
                <w:b/>
                <w:sz w:val="16"/>
                <w:szCs w:val="16"/>
              </w:rPr>
            </w:pPr>
            <w:r w:rsidRPr="007A2CAA">
              <w:rPr>
                <w:sz w:val="16"/>
                <w:szCs w:val="16"/>
              </w:rPr>
              <w:t>{{CoS}}</w:t>
            </w:r>
            <w:r>
              <w:rPr>
                <w:sz w:val="16"/>
                <w:szCs w:val="16"/>
              </w:rPr>
              <w:t xml:space="preserve"> </w:t>
            </w:r>
            <w:r w:rsidRPr="007A2CAA">
              <w:rPr>
                <w:sz w:val="16"/>
                <w:szCs w:val="16"/>
              </w:rPr>
              <w:t>{{SPEED}}</w:t>
            </w:r>
            <w:r>
              <w:rPr>
                <w:sz w:val="16"/>
                <w:szCs w:val="16"/>
              </w:rPr>
              <w:t xml:space="preserve"> </w:t>
            </w:r>
            <w:r w:rsidRPr="007A2CAA">
              <w:rPr>
                <w:sz w:val="16"/>
                <w:szCs w:val="16"/>
              </w:rPr>
              <w:t>{{IPBLOCK}} {{SDWANSpeed}} {{IKEv2}} {{HighAvail}} {{CTerm}}</w:t>
            </w:r>
          </w:p>
        </w:tc>
        <w:tc>
          <w:tcPr>
            <w:tcW w:w="1001" w:type="pct"/>
          </w:tcPr>
          <w:p w14:paraId="7EE96089" w14:textId="1D4D4C55" w:rsidR="00364D65" w:rsidRPr="00552372" w:rsidRDefault="00364D65" w:rsidP="00364D65">
            <w:pPr>
              <w:shd w:val="clear" w:color="auto" w:fill="FFFFFE"/>
              <w:spacing w:line="285" w:lineRule="atLeast"/>
              <w:jc w:val="center"/>
              <w:rPr>
                <w:b/>
                <w:bCs/>
                <w:sz w:val="16"/>
                <w:szCs w:val="16"/>
              </w:rPr>
            </w:pPr>
            <w:r w:rsidRPr="00552372">
              <w:rPr>
                <w:b/>
                <w:bCs/>
                <w:sz w:val="16"/>
                <w:szCs w:val="16"/>
              </w:rPr>
              <w:t>{{</w:t>
            </w:r>
            <w:r w:rsidRPr="00CC22F1">
              <w:rPr>
                <w:b/>
                <w:bCs/>
                <w:sz w:val="16"/>
                <w:szCs w:val="16"/>
              </w:rPr>
              <w:t>Quantity</w:t>
            </w:r>
            <w:r w:rsidRPr="00552372">
              <w:rPr>
                <w:b/>
                <w:bCs/>
                <w:sz w:val="16"/>
                <w:szCs w:val="16"/>
              </w:rPr>
              <w:t>}}</w:t>
            </w:r>
          </w:p>
        </w:tc>
        <w:tc>
          <w:tcPr>
            <w:tcW w:w="834" w:type="pct"/>
          </w:tcPr>
          <w:p w14:paraId="5A2960B4" w14:textId="39761007" w:rsidR="00364D65" w:rsidRPr="00552372" w:rsidRDefault="00364D65" w:rsidP="00364D65">
            <w:pPr>
              <w:shd w:val="clear" w:color="auto" w:fill="FFFFFE"/>
              <w:spacing w:line="285" w:lineRule="atLeast"/>
              <w:jc w:val="center"/>
              <w:rPr>
                <w:b/>
                <w:bCs/>
                <w:sz w:val="16"/>
                <w:szCs w:val="16"/>
              </w:rPr>
            </w:pPr>
            <w:r w:rsidRPr="00552372">
              <w:rPr>
                <w:b/>
                <w:bCs/>
                <w:sz w:val="16"/>
                <w:szCs w:val="16"/>
              </w:rPr>
              <w:t>{{</w:t>
            </w:r>
            <w:r w:rsidRPr="00B073EB">
              <w:rPr>
                <w:rFonts w:asciiTheme="minorHAnsi" w:hAnsiTheme="minorHAnsi"/>
                <w:b/>
                <w:bCs/>
                <w:sz w:val="16"/>
                <w:szCs w:val="16"/>
              </w:rPr>
              <w:t>RecurringCharge</w:t>
            </w:r>
            <w:r w:rsidRPr="00552372">
              <w:rPr>
                <w:b/>
                <w:bCs/>
                <w:sz w:val="16"/>
                <w:szCs w:val="16"/>
              </w:rPr>
              <w:t>}}</w:t>
            </w:r>
          </w:p>
        </w:tc>
        <w:tc>
          <w:tcPr>
            <w:tcW w:w="751" w:type="pct"/>
          </w:tcPr>
          <w:p w14:paraId="006FB9D4" w14:textId="0151AA66" w:rsidR="00364D65" w:rsidRPr="00552372" w:rsidRDefault="00364D65" w:rsidP="00364D65">
            <w:pPr>
              <w:shd w:val="clear" w:color="auto" w:fill="FFFFFE"/>
              <w:spacing w:line="285" w:lineRule="atLeast"/>
              <w:jc w:val="center"/>
              <w:rPr>
                <w:rFonts w:asciiTheme="minorHAnsi" w:hAnsiTheme="minorHAnsi"/>
                <w:b/>
                <w:bCs/>
                <w:sz w:val="16"/>
                <w:szCs w:val="16"/>
              </w:rPr>
            </w:pPr>
            <w:r w:rsidRPr="00552372">
              <w:rPr>
                <w:rFonts w:asciiTheme="minorHAnsi" w:hAnsiTheme="minorHAnsi"/>
                <w:b/>
                <w:bCs/>
                <w:sz w:val="16"/>
                <w:szCs w:val="16"/>
              </w:rPr>
              <w:t>{{RecurringChargeTotal}}</w:t>
            </w:r>
          </w:p>
        </w:tc>
        <w:tc>
          <w:tcPr>
            <w:tcW w:w="748" w:type="pct"/>
          </w:tcPr>
          <w:p w14:paraId="3502B3F7" w14:textId="6C6DEDCC" w:rsidR="00364D65" w:rsidRDefault="00364D65" w:rsidP="00364D65">
            <w:pPr>
              <w:shd w:val="clear" w:color="auto" w:fill="FFFFFE"/>
              <w:spacing w:line="285" w:lineRule="atLeast"/>
              <w:jc w:val="center"/>
              <w:rPr>
                <w:b/>
                <w:bCs/>
                <w:sz w:val="16"/>
                <w:szCs w:val="16"/>
              </w:rPr>
            </w:pPr>
            <w:r w:rsidRPr="00552372">
              <w:rPr>
                <w:b/>
                <w:bCs/>
                <w:sz w:val="16"/>
                <w:szCs w:val="16"/>
              </w:rPr>
              <w:t>{{</w:t>
            </w:r>
            <w:r w:rsidRPr="00CC22F1">
              <w:rPr>
                <w:b/>
                <w:bCs/>
                <w:sz w:val="16"/>
                <w:szCs w:val="16"/>
              </w:rPr>
              <w:t>OneTimeCharge</w:t>
            </w:r>
            <w:r w:rsidRPr="00552372">
              <w:rPr>
                <w:b/>
                <w:bCs/>
                <w:sz w:val="16"/>
                <w:szCs w:val="16"/>
              </w:rPr>
              <w:t>}}</w:t>
            </w:r>
          </w:p>
          <w:p w14:paraId="50489B6D" w14:textId="0C7F893B" w:rsidR="009E5A84" w:rsidRDefault="009E5A84" w:rsidP="00364D65">
            <w:pPr>
              <w:shd w:val="clear" w:color="auto" w:fill="FFFFFE"/>
              <w:spacing w:line="285" w:lineRule="atLeast"/>
              <w:jc w:val="center"/>
              <w:rPr>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5938A4B9" w14:textId="43BEEB50" w:rsidR="00364D65" w:rsidRPr="00552372" w:rsidRDefault="00364D65" w:rsidP="00364D65">
            <w:pPr>
              <w:shd w:val="clear" w:color="auto" w:fill="FFFFFE"/>
              <w:spacing w:line="285" w:lineRule="atLeast"/>
              <w:jc w:val="center"/>
              <w:rPr>
                <w:b/>
                <w:bCs/>
                <w:sz w:val="16"/>
                <w:szCs w:val="16"/>
              </w:rPr>
            </w:pPr>
            <w:r w:rsidRPr="00552372">
              <w:rPr>
                <w:rFonts w:asciiTheme="minorHAnsi" w:hAnsiTheme="minorHAnsi" w:cs="Arial"/>
                <w:b/>
                <w:bCs/>
                <w:sz w:val="16"/>
                <w:szCs w:val="16"/>
              </w:rPr>
              <w:t>{{/DIA}}</w:t>
            </w:r>
          </w:p>
        </w:tc>
      </w:tr>
      <w:tr w:rsidR="00364D65" w:rsidRPr="007A2CAA" w14:paraId="13A45810" w14:textId="77777777" w:rsidTr="00244E98">
        <w:tblPrEx>
          <w:tblBorders>
            <w:bottom w:val="single" w:sz="4" w:space="0" w:color="auto"/>
          </w:tblBorders>
        </w:tblPrEx>
        <w:trPr>
          <w:trHeight w:val="487"/>
        </w:trPr>
        <w:tc>
          <w:tcPr>
            <w:tcW w:w="1666" w:type="pct"/>
          </w:tcPr>
          <w:p w14:paraId="1D8E5E24" w14:textId="77777777"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b/>
                <w:bCs/>
                <w:sz w:val="16"/>
                <w:szCs w:val="16"/>
              </w:rPr>
              <w:t>{{#SIP}}</w:t>
            </w:r>
            <w:r w:rsidRPr="007A2CAA">
              <w:rPr>
                <w:rFonts w:asciiTheme="minorHAnsi" w:hAnsiTheme="minorHAnsi" w:cs="Arial"/>
                <w:b/>
                <w:sz w:val="16"/>
                <w:szCs w:val="16"/>
              </w:rPr>
              <w:t>{{#ftr_IsBundle}}</w:t>
            </w:r>
          </w:p>
          <w:p w14:paraId="48F8B649" w14:textId="79BE3D0D" w:rsidR="00364D65" w:rsidRPr="00B073EB" w:rsidRDefault="00364D65" w:rsidP="00364D65">
            <w:pPr>
              <w:shd w:val="clear" w:color="auto" w:fill="FFFFFE"/>
              <w:rPr>
                <w:rFonts w:ascii="Calibri" w:hAnsi="Calibri"/>
                <w:b/>
                <w:bCs/>
                <w:sz w:val="16"/>
                <w:szCs w:val="16"/>
              </w:rPr>
            </w:pPr>
            <w:r w:rsidRPr="00B073EB">
              <w:rPr>
                <w:rFonts w:asciiTheme="minorHAnsi" w:hAnsiTheme="minorHAnsi"/>
                <w:b/>
                <w:bCs/>
                <w:sz w:val="16"/>
                <w:szCs w:val="16"/>
              </w:rPr>
              <w:t>{{ProductName}} (Concurrent Call Session)</w:t>
            </w:r>
          </w:p>
          <w:p w14:paraId="7A79A999" w14:textId="0875EE95" w:rsidR="00364D65" w:rsidRPr="007A2CAA"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sz w:val="16"/>
                <w:szCs w:val="16"/>
              </w:rPr>
              <w:t>Service Type: {{</w:t>
            </w:r>
            <w:r w:rsidRPr="00B073EB">
              <w:rPr>
                <w:rFonts w:ascii="Calibri" w:hAnsi="Calibri"/>
                <w:b/>
                <w:bCs/>
                <w:sz w:val="16"/>
                <w:szCs w:val="16"/>
              </w:rPr>
              <w:t>HandOff</w:t>
            </w:r>
            <w:r w:rsidRPr="00B073EB">
              <w:rPr>
                <w:rFonts w:ascii="Calibri" w:hAnsi="Calibri"/>
                <w:sz w:val="16"/>
                <w:szCs w:val="16"/>
              </w:rPr>
              <w:t>}} – Hand Off</w:t>
            </w:r>
          </w:p>
        </w:tc>
        <w:tc>
          <w:tcPr>
            <w:tcW w:w="1001" w:type="pct"/>
          </w:tcPr>
          <w:p w14:paraId="286C3F4E" w14:textId="2F4E785C" w:rsidR="00364D65" w:rsidRPr="007A2CAA" w:rsidRDefault="00364D65" w:rsidP="00364D65">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4" w:type="pct"/>
          </w:tcPr>
          <w:p w14:paraId="5BC55C64" w14:textId="706C3E08" w:rsidR="00364D65" w:rsidRPr="007A2CAA" w:rsidRDefault="00364D65" w:rsidP="00364D65">
            <w:pPr>
              <w:shd w:val="clear" w:color="auto" w:fill="FFFFFE"/>
              <w:spacing w:line="285" w:lineRule="atLeast"/>
              <w:jc w:val="center"/>
              <w:rPr>
                <w:sz w:val="16"/>
                <w:szCs w:val="16"/>
              </w:rPr>
            </w:pPr>
            <w:r w:rsidRPr="00B073EB">
              <w:rPr>
                <w:rFonts w:asciiTheme="minorHAnsi" w:hAnsiTheme="minorHAnsi"/>
                <w:b/>
                <w:bCs/>
                <w:sz w:val="16"/>
                <w:szCs w:val="16"/>
              </w:rPr>
              <w:t>{{RecurringCharge}}</w:t>
            </w:r>
          </w:p>
        </w:tc>
        <w:tc>
          <w:tcPr>
            <w:tcW w:w="751" w:type="pct"/>
          </w:tcPr>
          <w:p w14:paraId="3D7645FD" w14:textId="0394A63B" w:rsidR="00364D65" w:rsidRPr="007A2CAA" w:rsidRDefault="00364D65" w:rsidP="00364D65">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48" w:type="pct"/>
          </w:tcPr>
          <w:p w14:paraId="38C0CCB2" w14:textId="77777777" w:rsidR="009E5A84"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 xml:space="preserve">{{OneTimeCharge}} </w:t>
            </w:r>
          </w:p>
          <w:p w14:paraId="7D67D6B2" w14:textId="57798847" w:rsidR="00364D65" w:rsidRPr="007A2CAA" w:rsidRDefault="009E5A84" w:rsidP="00364D65">
            <w:pPr>
              <w:shd w:val="clear" w:color="auto" w:fill="FFFFFE"/>
              <w:spacing w:line="285" w:lineRule="atLeast"/>
              <w:jc w:val="center"/>
              <w:rPr>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r w:rsidR="00364D65" w:rsidRPr="00B073EB">
              <w:rPr>
                <w:rFonts w:asciiTheme="minorHAnsi" w:hAnsiTheme="minorHAnsi"/>
                <w:b/>
                <w:bCs/>
                <w:sz w:val="16"/>
                <w:szCs w:val="16"/>
              </w:rPr>
              <w:t>{{/SIP}}</w:t>
            </w:r>
          </w:p>
        </w:tc>
      </w:tr>
      <w:tr w:rsidR="00364D65" w:rsidRPr="007A2CAA" w14:paraId="5D3A27C5" w14:textId="77777777" w:rsidTr="00244E98">
        <w:tblPrEx>
          <w:tblBorders>
            <w:bottom w:val="single" w:sz="4" w:space="0" w:color="auto"/>
          </w:tblBorders>
        </w:tblPrEx>
        <w:trPr>
          <w:trHeight w:val="487"/>
        </w:trPr>
        <w:tc>
          <w:tcPr>
            <w:tcW w:w="1666" w:type="pct"/>
          </w:tcPr>
          <w:p w14:paraId="7F00B5AA" w14:textId="232B6EB9"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b/>
                <w:bCs/>
                <w:sz w:val="16"/>
                <w:szCs w:val="16"/>
              </w:rPr>
              <w:t>{{#SIP}}</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59462681" w14:textId="77777777" w:rsidR="00364D65" w:rsidRPr="00B073EB" w:rsidRDefault="00364D65" w:rsidP="00364D65">
            <w:pPr>
              <w:shd w:val="clear" w:color="auto" w:fill="FFFFFE"/>
              <w:rPr>
                <w:rFonts w:ascii="Calibri" w:hAnsi="Calibri"/>
                <w:b/>
                <w:bCs/>
                <w:sz w:val="16"/>
                <w:szCs w:val="16"/>
              </w:rPr>
            </w:pPr>
            <w:r w:rsidRPr="00B073EB">
              <w:rPr>
                <w:rFonts w:asciiTheme="minorHAnsi" w:hAnsiTheme="minorHAnsi"/>
                <w:b/>
                <w:bCs/>
                <w:sz w:val="16"/>
                <w:szCs w:val="16"/>
              </w:rPr>
              <w:t>{{ProductName}} (Concurrent Call Session)</w:t>
            </w:r>
          </w:p>
          <w:p w14:paraId="53BA4DAB" w14:textId="7340047E" w:rsidR="00364D65" w:rsidRPr="00B073EB" w:rsidRDefault="00364D65" w:rsidP="00364D65">
            <w:pPr>
              <w:pStyle w:val="List"/>
              <w:tabs>
                <w:tab w:val="left" w:pos="360"/>
              </w:tabs>
              <w:ind w:left="0" w:right="288" w:firstLine="0"/>
              <w:jc w:val="both"/>
              <w:rPr>
                <w:rFonts w:ascii="Calibri" w:hAnsi="Calibri"/>
                <w:b/>
                <w:bCs/>
                <w:sz w:val="16"/>
                <w:szCs w:val="16"/>
              </w:rPr>
            </w:pPr>
            <w:r w:rsidRPr="00B073EB">
              <w:rPr>
                <w:rFonts w:ascii="Calibri" w:hAnsi="Calibri"/>
                <w:sz w:val="16"/>
                <w:szCs w:val="16"/>
              </w:rPr>
              <w:t>Service Type: {{</w:t>
            </w:r>
            <w:r w:rsidRPr="00B073EB">
              <w:rPr>
                <w:rFonts w:ascii="Calibri" w:hAnsi="Calibri"/>
                <w:b/>
                <w:bCs/>
                <w:sz w:val="16"/>
                <w:szCs w:val="16"/>
              </w:rPr>
              <w:t>HandOff</w:t>
            </w:r>
            <w:r w:rsidRPr="00B073EB">
              <w:rPr>
                <w:rFonts w:ascii="Calibri" w:hAnsi="Calibri"/>
                <w:sz w:val="16"/>
                <w:szCs w:val="16"/>
              </w:rPr>
              <w:t>}} – Hand Off</w:t>
            </w:r>
          </w:p>
        </w:tc>
        <w:tc>
          <w:tcPr>
            <w:tcW w:w="1001" w:type="pct"/>
          </w:tcPr>
          <w:p w14:paraId="2D427642" w14:textId="79F9499C"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4" w:type="pct"/>
          </w:tcPr>
          <w:p w14:paraId="69BF9359" w14:textId="6B89DEF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Pr>
          <w:p w14:paraId="7584A135" w14:textId="233C2006"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48" w:type="pct"/>
          </w:tcPr>
          <w:p w14:paraId="33BAA011" w14:textId="77777777" w:rsidR="009E5A84"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 xml:space="preserve">{{OneTimeCharge}} </w:t>
            </w:r>
          </w:p>
          <w:p w14:paraId="7C297353" w14:textId="199B73BC" w:rsidR="00364D65" w:rsidRPr="00B073EB" w:rsidRDefault="009E5A84" w:rsidP="00364D65">
            <w:pPr>
              <w:shd w:val="clear" w:color="auto" w:fill="FFFFFE"/>
              <w:spacing w:line="285" w:lineRule="atLeast"/>
              <w:jc w:val="center"/>
              <w:rPr>
                <w:rFonts w:asciiTheme="minorHAnsi" w:hAnsiTheme="minorHAnsi"/>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r w:rsidR="00364D65" w:rsidRPr="00B073EB">
              <w:rPr>
                <w:rFonts w:asciiTheme="minorHAnsi" w:hAnsiTheme="minorHAnsi"/>
                <w:b/>
                <w:bCs/>
                <w:sz w:val="16"/>
                <w:szCs w:val="16"/>
              </w:rPr>
              <w:t>{{/SIP}}</w:t>
            </w:r>
          </w:p>
        </w:tc>
      </w:tr>
      <w:tr w:rsidR="00364D65" w:rsidRPr="007A2CAA" w14:paraId="479C4830" w14:textId="77777777" w:rsidTr="00244E98">
        <w:tblPrEx>
          <w:tblBorders>
            <w:bottom w:val="single" w:sz="4" w:space="0" w:color="auto"/>
          </w:tblBorders>
        </w:tblPrEx>
        <w:trPr>
          <w:trHeight w:val="487"/>
        </w:trPr>
        <w:tc>
          <w:tcPr>
            <w:tcW w:w="1666" w:type="pct"/>
          </w:tcPr>
          <w:p w14:paraId="4CDCE00F" w14:textId="77777777"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b/>
                <w:bCs/>
                <w:sz w:val="16"/>
                <w:szCs w:val="16"/>
              </w:rPr>
              <w:t>{{#Line}}</w:t>
            </w:r>
            <w:r w:rsidRPr="007A2CAA">
              <w:rPr>
                <w:rFonts w:asciiTheme="minorHAnsi" w:hAnsiTheme="minorHAnsi" w:cs="Arial"/>
                <w:b/>
                <w:sz w:val="16"/>
                <w:szCs w:val="16"/>
              </w:rPr>
              <w:t>{{#ftr_IsBundle}}</w:t>
            </w:r>
          </w:p>
          <w:p w14:paraId="0CDA3349" w14:textId="508C8307" w:rsidR="00364D65" w:rsidRPr="00B073EB" w:rsidRDefault="00364D65" w:rsidP="00364D65">
            <w:pPr>
              <w:shd w:val="clear" w:color="auto" w:fill="FFFFFE"/>
              <w:rPr>
                <w:rFonts w:ascii="Calibri" w:hAnsi="Calibri"/>
                <w:sz w:val="16"/>
                <w:szCs w:val="16"/>
              </w:rPr>
            </w:pPr>
            <w:r w:rsidRPr="00B073EB">
              <w:rPr>
                <w:rFonts w:ascii="Calibri" w:hAnsi="Calibri"/>
                <w:b/>
                <w:bCs/>
                <w:sz w:val="16"/>
                <w:szCs w:val="16"/>
              </w:rPr>
              <w:t>{{ProductName}}</w:t>
            </w:r>
            <w:r w:rsidRPr="00B073EB">
              <w:rPr>
                <w:rFonts w:ascii="Calibri" w:hAnsi="Calibri"/>
                <w:sz w:val="16"/>
                <w:szCs w:val="16"/>
              </w:rPr>
              <w:t xml:space="preserve"> </w:t>
            </w:r>
          </w:p>
          <w:p w14:paraId="29EE3018"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{{#ID}}Included DID {{ATTR_DID_INC_NUMBER}}{{/ID}}</w:t>
            </w:r>
          </w:p>
          <w:p w14:paraId="31B7C184"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{{#LD}}{{ATTR_INC_LD_BOT}} minutes @ $0/mo.,{{/LD}}</w:t>
            </w:r>
          </w:p>
          <w:p w14:paraId="6DB3713B" w14:textId="7187B2A7" w:rsidR="00364D65" w:rsidRPr="007A2CAA"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sz w:val="16"/>
                <w:szCs w:val="16"/>
              </w:rPr>
              <w:t>{{#OR}}${{ATTR_OVERAGE_RATE}}/min{{/OR}}</w:t>
            </w:r>
          </w:p>
        </w:tc>
        <w:tc>
          <w:tcPr>
            <w:tcW w:w="1001" w:type="pct"/>
          </w:tcPr>
          <w:p w14:paraId="180BC7CB" w14:textId="2A882B0D" w:rsidR="00364D65" w:rsidRPr="007A2CAA" w:rsidRDefault="00364D65" w:rsidP="00364D65">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4" w:type="pct"/>
          </w:tcPr>
          <w:p w14:paraId="16FC64D4" w14:textId="44E85E26" w:rsidR="00364D65" w:rsidRPr="007A2CAA" w:rsidRDefault="00364D65" w:rsidP="00364D65">
            <w:pPr>
              <w:shd w:val="clear" w:color="auto" w:fill="FFFFFE"/>
              <w:spacing w:line="285" w:lineRule="atLeast"/>
              <w:jc w:val="center"/>
              <w:rPr>
                <w:sz w:val="16"/>
                <w:szCs w:val="16"/>
              </w:rPr>
            </w:pPr>
            <w:r w:rsidRPr="00B073EB">
              <w:rPr>
                <w:rFonts w:asciiTheme="minorHAnsi" w:hAnsiTheme="minorHAnsi"/>
                <w:b/>
                <w:bCs/>
                <w:sz w:val="16"/>
                <w:szCs w:val="16"/>
              </w:rPr>
              <w:t>{{RecurringCharge}}</w:t>
            </w:r>
          </w:p>
        </w:tc>
        <w:tc>
          <w:tcPr>
            <w:tcW w:w="751" w:type="pct"/>
          </w:tcPr>
          <w:p w14:paraId="6BB4E7B0" w14:textId="2170BC23" w:rsidR="00364D65" w:rsidRPr="007A2CAA" w:rsidRDefault="00364D65" w:rsidP="00364D65">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48" w:type="pct"/>
          </w:tcPr>
          <w:p w14:paraId="31B4138C" w14:textId="66D06F22" w:rsidR="00364D65"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p>
          <w:p w14:paraId="65445DC4" w14:textId="0ACE100F" w:rsidR="009E5A84" w:rsidRDefault="009E5A84" w:rsidP="00364D65">
            <w:pPr>
              <w:shd w:val="clear" w:color="auto" w:fill="FFFFFE"/>
              <w:spacing w:line="285" w:lineRule="atLeast"/>
              <w:jc w:val="center"/>
              <w:rPr>
                <w:rFonts w:asciiTheme="minorHAnsi" w:hAnsiTheme="minorHAnsi"/>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16294081" w14:textId="1988D730" w:rsidR="00364D65" w:rsidRPr="007A2CAA" w:rsidRDefault="00364D65" w:rsidP="00364D65">
            <w:pPr>
              <w:shd w:val="clear" w:color="auto" w:fill="FFFFFE"/>
              <w:spacing w:line="285" w:lineRule="atLeast"/>
              <w:jc w:val="center"/>
              <w:rPr>
                <w:sz w:val="16"/>
                <w:szCs w:val="16"/>
              </w:rPr>
            </w:pPr>
            <w:r w:rsidRPr="00B073EB">
              <w:rPr>
                <w:rFonts w:asciiTheme="minorHAnsi" w:hAnsiTheme="minorHAnsi"/>
                <w:b/>
                <w:bCs/>
                <w:sz w:val="16"/>
                <w:szCs w:val="16"/>
              </w:rPr>
              <w:t>{{/Line}}</w:t>
            </w:r>
          </w:p>
        </w:tc>
      </w:tr>
      <w:tr w:rsidR="008B2A7C" w:rsidRPr="007A2CAA" w14:paraId="09C3BEFA" w14:textId="77777777" w:rsidTr="00244E98">
        <w:tblPrEx>
          <w:tblBorders>
            <w:bottom w:val="single" w:sz="4" w:space="0" w:color="auto"/>
          </w:tblBorders>
        </w:tblPrEx>
        <w:trPr>
          <w:trHeight w:val="487"/>
        </w:trPr>
        <w:tc>
          <w:tcPr>
            <w:tcW w:w="1666" w:type="pct"/>
          </w:tcPr>
          <w:p w14:paraId="66EA8A12" w14:textId="4EEAC423" w:rsidR="008B2A7C" w:rsidRDefault="008B2A7C" w:rsidP="008B2A7C">
            <w:pPr>
              <w:pStyle w:val="List"/>
              <w:tabs>
                <w:tab w:val="left" w:pos="360"/>
              </w:tabs>
              <w:ind w:left="0" w:right="288" w:firstLine="0"/>
              <w:jc w:val="both"/>
              <w:rPr>
                <w:rFonts w:asciiTheme="minorHAnsi" w:hAnsiTheme="minorHAnsi" w:cs="Arial"/>
                <w:b/>
                <w:sz w:val="16"/>
                <w:szCs w:val="16"/>
              </w:rPr>
            </w:pPr>
            <w:r w:rsidRPr="00B073EB">
              <w:rPr>
                <w:rFonts w:ascii="Calibri" w:hAnsi="Calibri"/>
                <w:b/>
                <w:bCs/>
                <w:sz w:val="16"/>
                <w:szCs w:val="16"/>
              </w:rPr>
              <w:t>{{#Line}}</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EBFC0E3" w14:textId="77777777" w:rsidR="008B2A7C" w:rsidRPr="00B073EB" w:rsidRDefault="008B2A7C" w:rsidP="008B2A7C">
            <w:pPr>
              <w:shd w:val="clear" w:color="auto" w:fill="FFFFFE"/>
              <w:rPr>
                <w:rFonts w:ascii="Calibri" w:hAnsi="Calibri"/>
                <w:sz w:val="16"/>
                <w:szCs w:val="16"/>
              </w:rPr>
            </w:pPr>
            <w:r w:rsidRPr="00B073EB">
              <w:rPr>
                <w:rFonts w:ascii="Calibri" w:hAnsi="Calibri"/>
                <w:b/>
                <w:bCs/>
                <w:sz w:val="16"/>
                <w:szCs w:val="16"/>
              </w:rPr>
              <w:t>{{ProductName}}</w:t>
            </w:r>
            <w:r w:rsidRPr="00B073EB">
              <w:rPr>
                <w:rFonts w:ascii="Calibri" w:hAnsi="Calibri"/>
                <w:sz w:val="16"/>
                <w:szCs w:val="16"/>
              </w:rPr>
              <w:t xml:space="preserve"> </w:t>
            </w:r>
          </w:p>
          <w:p w14:paraId="2D5790F8" w14:textId="77777777" w:rsidR="008B2A7C" w:rsidRPr="00B073EB" w:rsidRDefault="008B2A7C" w:rsidP="008B2A7C">
            <w:pPr>
              <w:shd w:val="clear" w:color="auto" w:fill="FFFFFE"/>
              <w:rPr>
                <w:rFonts w:ascii="Calibri" w:hAnsi="Calibri"/>
                <w:sz w:val="16"/>
                <w:szCs w:val="16"/>
              </w:rPr>
            </w:pPr>
            <w:r w:rsidRPr="00B073EB">
              <w:rPr>
                <w:rFonts w:ascii="Calibri" w:hAnsi="Calibri"/>
                <w:sz w:val="16"/>
                <w:szCs w:val="16"/>
              </w:rPr>
              <w:t>{{#ID}}Included DID {{ATTR_DID_INC_NUMBER}}{{/ID}}</w:t>
            </w:r>
          </w:p>
          <w:p w14:paraId="13613F08" w14:textId="77777777" w:rsidR="008B2A7C" w:rsidRPr="00B073EB" w:rsidRDefault="008B2A7C" w:rsidP="008B2A7C">
            <w:pPr>
              <w:shd w:val="clear" w:color="auto" w:fill="FFFFFE"/>
              <w:rPr>
                <w:rFonts w:ascii="Calibri" w:hAnsi="Calibri"/>
                <w:sz w:val="16"/>
                <w:szCs w:val="16"/>
              </w:rPr>
            </w:pPr>
            <w:r w:rsidRPr="00B073EB">
              <w:rPr>
                <w:rFonts w:ascii="Calibri" w:hAnsi="Calibri"/>
                <w:sz w:val="16"/>
                <w:szCs w:val="16"/>
              </w:rPr>
              <w:t>{{#LD}}{{ATTR_INC_LD_BOT}} minutes @ $0/mo.,{{/LD}}</w:t>
            </w:r>
          </w:p>
          <w:p w14:paraId="63F886FD" w14:textId="14BBCD95" w:rsidR="008B2A7C" w:rsidRPr="00B073EB" w:rsidRDefault="008B2A7C" w:rsidP="008B2A7C">
            <w:pPr>
              <w:pStyle w:val="List"/>
              <w:tabs>
                <w:tab w:val="left" w:pos="360"/>
              </w:tabs>
              <w:ind w:left="0" w:right="288" w:firstLine="0"/>
              <w:jc w:val="both"/>
              <w:rPr>
                <w:rFonts w:ascii="Calibri" w:hAnsi="Calibri"/>
                <w:b/>
                <w:bCs/>
                <w:sz w:val="16"/>
                <w:szCs w:val="16"/>
              </w:rPr>
            </w:pPr>
            <w:r w:rsidRPr="00B073EB">
              <w:rPr>
                <w:rFonts w:ascii="Calibri" w:hAnsi="Calibri"/>
                <w:sz w:val="16"/>
                <w:szCs w:val="16"/>
              </w:rPr>
              <w:t>{{#OR}}${{ATTR_OVERAGE_RATE}}/min{{/OR}}</w:t>
            </w:r>
          </w:p>
        </w:tc>
        <w:tc>
          <w:tcPr>
            <w:tcW w:w="1001" w:type="pct"/>
          </w:tcPr>
          <w:p w14:paraId="505F8288" w14:textId="03CA7F09"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4" w:type="pct"/>
          </w:tcPr>
          <w:p w14:paraId="7B1F8773" w14:textId="0A782EB3"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Pr>
          <w:p w14:paraId="039C4423" w14:textId="3FA445DF"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48" w:type="pct"/>
          </w:tcPr>
          <w:p w14:paraId="1C19425F" w14:textId="6C7CBB4F" w:rsidR="008B2A7C"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p>
          <w:p w14:paraId="082AAF47" w14:textId="6892E7B8" w:rsidR="009E5A84" w:rsidRDefault="009E5A84" w:rsidP="008B2A7C">
            <w:pPr>
              <w:shd w:val="clear" w:color="auto" w:fill="FFFFFE"/>
              <w:spacing w:line="285" w:lineRule="atLeast"/>
              <w:jc w:val="center"/>
              <w:rPr>
                <w:rFonts w:asciiTheme="minorHAnsi" w:hAnsiTheme="minorHAnsi"/>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1CEEA1D9" w14:textId="1013FF7F"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{{/Line}}</w:t>
            </w:r>
          </w:p>
        </w:tc>
      </w:tr>
      <w:tr w:rsidR="008B2A7C" w:rsidRPr="007A2CAA" w14:paraId="3D4F6691" w14:textId="77777777" w:rsidTr="00244E98">
        <w:tblPrEx>
          <w:tblBorders>
            <w:bottom w:val="single" w:sz="4" w:space="0" w:color="auto"/>
          </w:tblBorders>
        </w:tblPrEx>
        <w:trPr>
          <w:trHeight w:val="487"/>
        </w:trPr>
        <w:tc>
          <w:tcPr>
            <w:tcW w:w="1666" w:type="pct"/>
          </w:tcPr>
          <w:p w14:paraId="446C2468" w14:textId="77777777" w:rsidR="008B2A7C" w:rsidRDefault="008B2A7C" w:rsidP="008B2A7C">
            <w:pPr>
              <w:pStyle w:val="List"/>
              <w:tabs>
                <w:tab w:val="left" w:pos="360"/>
              </w:tabs>
              <w:ind w:left="0" w:right="288" w:firstLine="0"/>
              <w:jc w:val="both"/>
              <w:rPr>
                <w:rFonts w:asciiTheme="minorHAnsi" w:hAnsiTheme="minorHAnsi" w:cs="Arial"/>
                <w:b/>
                <w:sz w:val="16"/>
                <w:szCs w:val="16"/>
              </w:rPr>
            </w:pPr>
            <w:r w:rsidRPr="00B073EB">
              <w:rPr>
                <w:rFonts w:ascii="Calibri" w:hAnsi="Calibri"/>
                <w:b/>
                <w:bCs/>
                <w:sz w:val="16"/>
                <w:szCs w:val="16"/>
              </w:rPr>
              <w:t>{{#DID}}</w:t>
            </w:r>
            <w:r w:rsidRPr="007A2CAA">
              <w:rPr>
                <w:rFonts w:asciiTheme="minorHAnsi" w:hAnsiTheme="minorHAnsi" w:cs="Arial"/>
                <w:b/>
                <w:sz w:val="16"/>
                <w:szCs w:val="16"/>
              </w:rPr>
              <w:t>{{#ftr_IsBundle}}</w:t>
            </w:r>
          </w:p>
          <w:p w14:paraId="392B36F9" w14:textId="03BD7816" w:rsidR="008B2A7C" w:rsidRPr="00B073EB" w:rsidRDefault="008B2A7C" w:rsidP="008B2A7C">
            <w:pPr>
              <w:shd w:val="clear" w:color="auto" w:fill="FFFFFE"/>
              <w:rPr>
                <w:rFonts w:ascii="Calibri" w:hAnsi="Calibri"/>
                <w:b/>
                <w:bCs/>
                <w:sz w:val="16"/>
                <w:szCs w:val="16"/>
              </w:rPr>
            </w:pPr>
            <w:r w:rsidRPr="00B073EB">
              <w:rPr>
                <w:rFonts w:ascii="Calibri" w:hAnsi="Calibri"/>
                <w:b/>
                <w:bCs/>
                <w:sz w:val="16"/>
                <w:szCs w:val="16"/>
              </w:rPr>
              <w:t>{{ProductName}}</w:t>
            </w:r>
          </w:p>
          <w:p w14:paraId="17E65F70" w14:textId="77777777" w:rsidR="008B2A7C" w:rsidRPr="007A2CAA" w:rsidRDefault="008B2A7C" w:rsidP="008B2A7C">
            <w:pPr>
              <w:pStyle w:val="List"/>
              <w:tabs>
                <w:tab w:val="left" w:pos="360"/>
              </w:tabs>
              <w:ind w:left="0" w:right="288" w:firstLine="0"/>
              <w:jc w:val="both"/>
              <w:rPr>
                <w:rFonts w:asciiTheme="minorHAnsi" w:hAnsiTheme="minorHAnsi" w:cs="Arial"/>
                <w:b/>
                <w:sz w:val="16"/>
                <w:szCs w:val="16"/>
              </w:rPr>
            </w:pPr>
          </w:p>
        </w:tc>
        <w:tc>
          <w:tcPr>
            <w:tcW w:w="1001" w:type="pct"/>
          </w:tcPr>
          <w:p w14:paraId="7BE813FD" w14:textId="49E8CCCB" w:rsidR="008B2A7C" w:rsidRPr="007A2CAA" w:rsidRDefault="008B2A7C" w:rsidP="008B2A7C">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4" w:type="pct"/>
          </w:tcPr>
          <w:p w14:paraId="1153DBFB" w14:textId="03055587" w:rsidR="008B2A7C" w:rsidRPr="007A2CAA" w:rsidRDefault="008B2A7C" w:rsidP="008B2A7C">
            <w:pPr>
              <w:shd w:val="clear" w:color="auto" w:fill="FFFFFE"/>
              <w:spacing w:line="285" w:lineRule="atLeast"/>
              <w:jc w:val="center"/>
              <w:rPr>
                <w:sz w:val="16"/>
                <w:szCs w:val="16"/>
              </w:rPr>
            </w:pPr>
            <w:r w:rsidRPr="00B073EB">
              <w:rPr>
                <w:rFonts w:asciiTheme="minorHAnsi" w:hAnsiTheme="minorHAnsi"/>
                <w:b/>
                <w:bCs/>
                <w:sz w:val="16"/>
                <w:szCs w:val="16"/>
              </w:rPr>
              <w:t>{{RecurringCharge}}</w:t>
            </w:r>
          </w:p>
        </w:tc>
        <w:tc>
          <w:tcPr>
            <w:tcW w:w="751" w:type="pct"/>
          </w:tcPr>
          <w:p w14:paraId="592AE474" w14:textId="7EAEBDFB" w:rsidR="008B2A7C" w:rsidRPr="007A2CAA" w:rsidRDefault="008B2A7C" w:rsidP="008B2A7C">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48" w:type="pct"/>
          </w:tcPr>
          <w:p w14:paraId="3E7E978D" w14:textId="7C9BF7EB" w:rsidR="008B2A7C"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p>
          <w:p w14:paraId="0682F80C" w14:textId="697299A2" w:rsidR="009E5A84" w:rsidRDefault="009E5A84" w:rsidP="008B2A7C">
            <w:pPr>
              <w:shd w:val="clear" w:color="auto" w:fill="FFFFFE"/>
              <w:spacing w:line="285" w:lineRule="atLeast"/>
              <w:jc w:val="center"/>
              <w:rPr>
                <w:rFonts w:asciiTheme="minorHAnsi" w:hAnsiTheme="minorHAnsi"/>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5D8B1FCA" w14:textId="63E760EF" w:rsidR="008B2A7C" w:rsidRPr="007A2CAA" w:rsidRDefault="008B2A7C" w:rsidP="008B2A7C">
            <w:pPr>
              <w:shd w:val="clear" w:color="auto" w:fill="FFFFFE"/>
              <w:spacing w:line="285" w:lineRule="atLeast"/>
              <w:jc w:val="center"/>
              <w:rPr>
                <w:sz w:val="16"/>
                <w:szCs w:val="16"/>
              </w:rPr>
            </w:pPr>
            <w:r w:rsidRPr="00B073EB">
              <w:rPr>
                <w:rFonts w:asciiTheme="minorHAnsi" w:hAnsiTheme="minorHAnsi"/>
                <w:b/>
                <w:bCs/>
                <w:sz w:val="16"/>
                <w:szCs w:val="16"/>
              </w:rPr>
              <w:t>{{/DID}}</w:t>
            </w:r>
          </w:p>
        </w:tc>
      </w:tr>
      <w:tr w:rsidR="008B2A7C" w:rsidRPr="007A2CAA" w14:paraId="4C8EF19A" w14:textId="77777777" w:rsidTr="00244E98">
        <w:tblPrEx>
          <w:tblBorders>
            <w:bottom w:val="single" w:sz="4" w:space="0" w:color="auto"/>
          </w:tblBorders>
        </w:tblPrEx>
        <w:trPr>
          <w:trHeight w:val="487"/>
        </w:trPr>
        <w:tc>
          <w:tcPr>
            <w:tcW w:w="1666" w:type="pct"/>
          </w:tcPr>
          <w:p w14:paraId="23A07842" w14:textId="28D88EE7" w:rsidR="008B2A7C" w:rsidRDefault="008B2A7C" w:rsidP="008B2A7C">
            <w:pPr>
              <w:pStyle w:val="List"/>
              <w:tabs>
                <w:tab w:val="left" w:pos="360"/>
              </w:tabs>
              <w:ind w:left="0" w:right="288" w:firstLine="0"/>
              <w:jc w:val="both"/>
              <w:rPr>
                <w:rFonts w:asciiTheme="minorHAnsi" w:hAnsiTheme="minorHAnsi" w:cs="Arial"/>
                <w:b/>
                <w:sz w:val="16"/>
                <w:szCs w:val="16"/>
              </w:rPr>
            </w:pPr>
            <w:r w:rsidRPr="00B073EB">
              <w:rPr>
                <w:rFonts w:ascii="Calibri" w:hAnsi="Calibri"/>
                <w:b/>
                <w:bCs/>
                <w:sz w:val="16"/>
                <w:szCs w:val="16"/>
              </w:rPr>
              <w:t>{{#DID}}</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5E3245A1" w14:textId="77777777" w:rsidR="008B2A7C" w:rsidRPr="00B073EB" w:rsidRDefault="008B2A7C" w:rsidP="008B2A7C">
            <w:pPr>
              <w:shd w:val="clear" w:color="auto" w:fill="FFFFFE"/>
              <w:rPr>
                <w:rFonts w:ascii="Calibri" w:hAnsi="Calibri"/>
                <w:b/>
                <w:bCs/>
                <w:sz w:val="16"/>
                <w:szCs w:val="16"/>
              </w:rPr>
            </w:pPr>
            <w:r w:rsidRPr="00B073EB">
              <w:rPr>
                <w:rFonts w:ascii="Calibri" w:hAnsi="Calibri"/>
                <w:b/>
                <w:bCs/>
                <w:sz w:val="16"/>
                <w:szCs w:val="16"/>
              </w:rPr>
              <w:t>{{ProductName}}</w:t>
            </w:r>
          </w:p>
          <w:p w14:paraId="65EACE51" w14:textId="77777777" w:rsidR="008B2A7C" w:rsidRPr="00B073EB" w:rsidRDefault="008B2A7C" w:rsidP="008B2A7C">
            <w:pPr>
              <w:pStyle w:val="List"/>
              <w:tabs>
                <w:tab w:val="left" w:pos="360"/>
              </w:tabs>
              <w:ind w:left="0" w:right="288" w:firstLine="0"/>
              <w:jc w:val="both"/>
              <w:rPr>
                <w:rFonts w:ascii="Calibri" w:hAnsi="Calibri"/>
                <w:b/>
                <w:bCs/>
                <w:sz w:val="16"/>
                <w:szCs w:val="16"/>
              </w:rPr>
            </w:pPr>
          </w:p>
        </w:tc>
        <w:tc>
          <w:tcPr>
            <w:tcW w:w="1001" w:type="pct"/>
          </w:tcPr>
          <w:p w14:paraId="7BF9EA7D" w14:textId="49A62088"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4" w:type="pct"/>
          </w:tcPr>
          <w:p w14:paraId="3DA5C149" w14:textId="053AE298"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Pr>
          <w:p w14:paraId="1AF4DB5F" w14:textId="3F1384E3"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48" w:type="pct"/>
          </w:tcPr>
          <w:p w14:paraId="2A363500" w14:textId="77777777" w:rsidR="009E5A84"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p>
          <w:p w14:paraId="6ADDBD9F" w14:textId="73A8B50A" w:rsidR="008B2A7C" w:rsidRDefault="009E5A84" w:rsidP="008B2A7C">
            <w:pPr>
              <w:shd w:val="clear" w:color="auto" w:fill="FFFFFE"/>
              <w:spacing w:line="285" w:lineRule="atLeast"/>
              <w:jc w:val="center"/>
              <w:rPr>
                <w:rFonts w:asciiTheme="minorHAnsi" w:hAnsiTheme="minorHAnsi"/>
                <w:b/>
                <w:bCs/>
                <w:sz w:val="16"/>
                <w:szCs w:val="16"/>
              </w:rPr>
            </w:pP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3E909AC9" w14:textId="57C06FB3" w:rsidR="008B2A7C" w:rsidRPr="00B073EB" w:rsidRDefault="008B2A7C" w:rsidP="008B2A7C">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{{/DID}}</w:t>
            </w:r>
          </w:p>
        </w:tc>
      </w:tr>
    </w:tbl>
    <w:p w14:paraId="52C54834" w14:textId="1C2E6193" w:rsidR="00067713" w:rsidRPr="00DC3DD6" w:rsidRDefault="00067713" w:rsidP="00067713">
      <w:pPr>
        <w:rPr>
          <w:rFonts w:ascii="Calibri" w:hAnsi="Calibri" w:cs="Arial"/>
          <w:sz w:val="16"/>
          <w:szCs w:val="16"/>
        </w:rPr>
      </w:pPr>
      <w:r w:rsidRPr="00B073EB">
        <w:rPr>
          <w:rFonts w:ascii="Calibri" w:hAnsi="Calibri" w:cs="Arial"/>
          <w:b/>
          <w:bCs/>
          <w:sz w:val="16"/>
          <w:szCs w:val="16"/>
        </w:rPr>
        <w:lastRenderedPageBreak/>
        <w:t>{{#ADD}}</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B17CA" w:rsidRPr="00B073EB" w14:paraId="0EC79319" w14:textId="77777777" w:rsidTr="007B163F">
        <w:trPr>
          <w:trHeight w:val="50"/>
        </w:trPr>
        <w:tc>
          <w:tcPr>
            <w:tcW w:w="1665" w:type="pct"/>
            <w:shd w:val="clear" w:color="auto" w:fill="C00000"/>
          </w:tcPr>
          <w:p w14:paraId="52F63639" w14:textId="77777777" w:rsidR="000B17CA" w:rsidRPr="00B073EB" w:rsidRDefault="000B17CA" w:rsidP="007B163F">
            <w:pPr>
              <w:pStyle w:val="List"/>
              <w:tabs>
                <w:tab w:val="left" w:pos="360"/>
              </w:tabs>
              <w:ind w:left="0" w:right="288" w:firstLine="0"/>
              <w:rPr>
                <w:rFonts w:asciiTheme="minorHAnsi" w:hAnsiTheme="minorHAnsi" w:cs="Arial"/>
                <w:b/>
                <w:bCs/>
                <w:sz w:val="16"/>
                <w:szCs w:val="16"/>
              </w:rPr>
            </w:pPr>
            <w:r w:rsidRPr="00B073EB">
              <w:rPr>
                <w:rFonts w:asciiTheme="minorHAnsi" w:hAnsiTheme="minorHAnsi" w:cs="Arial"/>
                <w:b/>
                <w:bCs/>
                <w:sz w:val="16"/>
                <w:szCs w:val="16"/>
              </w:rPr>
              <w:t>Additional Block of Time and Toll Free</w:t>
            </w:r>
          </w:p>
        </w:tc>
        <w:tc>
          <w:tcPr>
            <w:tcW w:w="1000" w:type="pct"/>
            <w:shd w:val="clear" w:color="auto" w:fill="C00000"/>
          </w:tcPr>
          <w:p w14:paraId="4A8B0F5C"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Quantity</w:t>
            </w:r>
          </w:p>
        </w:tc>
        <w:tc>
          <w:tcPr>
            <w:tcW w:w="833" w:type="pct"/>
            <w:shd w:val="clear" w:color="auto" w:fill="C00000"/>
          </w:tcPr>
          <w:p w14:paraId="53D9106A"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MRC</w:t>
            </w:r>
          </w:p>
        </w:tc>
        <w:tc>
          <w:tcPr>
            <w:tcW w:w="751" w:type="pct"/>
            <w:shd w:val="clear" w:color="auto" w:fill="C00000"/>
          </w:tcPr>
          <w:p w14:paraId="4957A419"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Total MRC</w:t>
            </w:r>
          </w:p>
        </w:tc>
        <w:tc>
          <w:tcPr>
            <w:tcW w:w="750" w:type="pct"/>
            <w:shd w:val="clear" w:color="auto" w:fill="C00000"/>
          </w:tcPr>
          <w:p w14:paraId="423F3B02" w14:textId="77777777" w:rsidR="000B17CA" w:rsidRPr="00B073EB" w:rsidRDefault="000B17CA" w:rsidP="007B163F">
            <w:pPr>
              <w:pStyle w:val="List"/>
              <w:tabs>
                <w:tab w:val="left" w:pos="360"/>
              </w:tabs>
              <w:ind w:left="0" w:right="288" w:firstLine="0"/>
              <w:jc w:val="center"/>
              <w:rPr>
                <w:rFonts w:asciiTheme="minorHAnsi" w:hAnsiTheme="minorHAnsi" w:cs="Arial"/>
                <w:b/>
                <w:bCs/>
                <w:sz w:val="16"/>
                <w:szCs w:val="16"/>
              </w:rPr>
            </w:pPr>
            <w:r w:rsidRPr="00B073EB">
              <w:rPr>
                <w:rFonts w:asciiTheme="minorHAnsi" w:hAnsiTheme="minorHAnsi" w:cs="Arial"/>
                <w:b/>
                <w:bCs/>
                <w:sz w:val="16"/>
                <w:szCs w:val="16"/>
              </w:rPr>
              <w:t>NRC</w:t>
            </w:r>
          </w:p>
        </w:tc>
      </w:tr>
      <w:tr w:rsidR="000B17CA" w:rsidRPr="007A2CAA" w14:paraId="0160CC7C" w14:textId="77777777" w:rsidTr="000B1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6BD9C67A" w14:textId="77777777" w:rsidR="00364D65" w:rsidRDefault="000B17CA"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r w:rsidR="00364D65" w:rsidRPr="007A2CAA">
              <w:rPr>
                <w:rFonts w:asciiTheme="minorHAnsi" w:hAnsiTheme="minorHAnsi" w:cs="Arial"/>
                <w:b/>
                <w:sz w:val="16"/>
                <w:szCs w:val="16"/>
              </w:rPr>
              <w:t>{{#ftr_IsBundle}}</w:t>
            </w:r>
          </w:p>
          <w:p w14:paraId="1E0820AF" w14:textId="519F0208" w:rsidR="000B17CA" w:rsidRPr="00B073EB" w:rsidRDefault="000B17CA" w:rsidP="000B17CA">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38DA93DF" w14:textId="77777777" w:rsidR="000B17CA" w:rsidRPr="00B073EB" w:rsidRDefault="000B17CA" w:rsidP="000B17CA">
            <w:pPr>
              <w:shd w:val="clear" w:color="auto" w:fill="FFFFFE"/>
              <w:rPr>
                <w:rFonts w:ascii="Calibri" w:hAnsi="Calibri"/>
                <w:sz w:val="16"/>
                <w:szCs w:val="16"/>
              </w:rPr>
            </w:pPr>
            <w:r w:rsidRPr="00B073EB">
              <w:rPr>
                <w:rFonts w:ascii="Calibri" w:hAnsi="Calibri"/>
                <w:sz w:val="16"/>
                <w:szCs w:val="16"/>
              </w:rPr>
              <w:t>{{#MB}}{{ATTR_MIN_BLOCKS}} minutes @ {{RecurringCharge}}/mo., {{/MB}}</w:t>
            </w:r>
          </w:p>
          <w:p w14:paraId="082E6DF0" w14:textId="346791A0" w:rsidR="000B17CA" w:rsidRPr="007A2CAA" w:rsidRDefault="000B17CA" w:rsidP="000B17CA">
            <w:pPr>
              <w:pStyle w:val="List"/>
              <w:tabs>
                <w:tab w:val="left" w:pos="360"/>
              </w:tabs>
              <w:ind w:left="0" w:right="288" w:firstLine="0"/>
              <w:jc w:val="both"/>
              <w:rPr>
                <w:sz w:val="16"/>
                <w:szCs w:val="16"/>
              </w:rPr>
            </w:pPr>
            <w:r w:rsidRPr="00B073EB">
              <w:rPr>
                <w:rFonts w:ascii="Calibri" w:hAnsi="Calibri"/>
                <w:sz w:val="16"/>
                <w:szCs w:val="16"/>
              </w:rPr>
              <w:t>{{#AOR}}${{ATTR_OVERAGE_RATE}}/min{{/AOR}}</w:t>
            </w:r>
          </w:p>
        </w:tc>
        <w:tc>
          <w:tcPr>
            <w:tcW w:w="1000" w:type="pct"/>
          </w:tcPr>
          <w:p w14:paraId="783C37BF" w14:textId="3A7BA74E" w:rsidR="000B17CA" w:rsidRPr="007A2CAA" w:rsidRDefault="000B17CA" w:rsidP="000B17CA">
            <w:pPr>
              <w:shd w:val="clear" w:color="auto" w:fill="FFFFFE"/>
              <w:spacing w:line="285" w:lineRule="atLeast"/>
              <w:jc w:val="center"/>
              <w:rPr>
                <w:sz w:val="16"/>
                <w:szCs w:val="16"/>
              </w:rPr>
            </w:pPr>
            <w:r w:rsidRPr="00B073EB">
              <w:rPr>
                <w:rFonts w:asciiTheme="minorHAnsi" w:hAnsiTheme="minorHAnsi"/>
                <w:b/>
                <w:bCs/>
                <w:sz w:val="16"/>
                <w:szCs w:val="16"/>
              </w:rPr>
              <w:t>{{Quantity}}</w:t>
            </w:r>
          </w:p>
        </w:tc>
        <w:tc>
          <w:tcPr>
            <w:tcW w:w="833" w:type="pct"/>
          </w:tcPr>
          <w:p w14:paraId="3933A27F" w14:textId="6775DE86" w:rsidR="000B17CA" w:rsidRPr="007A2CAA" w:rsidRDefault="000B17CA" w:rsidP="000B17CA">
            <w:pPr>
              <w:shd w:val="clear" w:color="auto" w:fill="FFFFFE"/>
              <w:spacing w:line="285" w:lineRule="atLeast"/>
              <w:jc w:val="center"/>
              <w:rPr>
                <w:rFonts w:asciiTheme="minorHAnsi" w:hAnsiTheme="minorHAnsi" w:cstheme="minorHAnsi"/>
                <w:sz w:val="16"/>
                <w:szCs w:val="16"/>
              </w:rPr>
            </w:pPr>
            <w:r w:rsidRPr="00B073EB">
              <w:rPr>
                <w:rFonts w:asciiTheme="minorHAnsi" w:hAnsiTheme="minorHAnsi"/>
                <w:b/>
                <w:bCs/>
                <w:sz w:val="16"/>
                <w:szCs w:val="16"/>
              </w:rPr>
              <w:t>{{RecurringCharge}}</w:t>
            </w:r>
          </w:p>
        </w:tc>
        <w:tc>
          <w:tcPr>
            <w:tcW w:w="751" w:type="pct"/>
          </w:tcPr>
          <w:p w14:paraId="0CEDA700" w14:textId="3F773A7A" w:rsidR="000B17CA" w:rsidRPr="007A2CAA" w:rsidRDefault="000B17CA" w:rsidP="000B17CA">
            <w:pPr>
              <w:shd w:val="clear" w:color="auto" w:fill="FFFFFE"/>
              <w:spacing w:line="285" w:lineRule="atLeast"/>
              <w:jc w:val="center"/>
              <w:rPr>
                <w:rFonts w:asciiTheme="minorHAnsi" w:hAnsiTheme="minorHAnsi"/>
                <w:sz w:val="16"/>
                <w:szCs w:val="16"/>
              </w:rPr>
            </w:pPr>
            <w:r w:rsidRPr="00B073EB">
              <w:rPr>
                <w:rFonts w:asciiTheme="minorHAnsi" w:hAnsiTheme="minorHAnsi"/>
                <w:b/>
                <w:bCs/>
                <w:sz w:val="16"/>
                <w:szCs w:val="16"/>
              </w:rPr>
              <w:t>{{RecurringChargeTotal}}</w:t>
            </w:r>
          </w:p>
        </w:tc>
        <w:tc>
          <w:tcPr>
            <w:tcW w:w="750" w:type="pct"/>
          </w:tcPr>
          <w:p w14:paraId="5D437EB5" w14:textId="2467FB22" w:rsidR="000B17CA" w:rsidRPr="007A2CAA" w:rsidRDefault="000B17CA" w:rsidP="000B17CA">
            <w:pPr>
              <w:shd w:val="clear" w:color="auto" w:fill="FFFFFE"/>
              <w:spacing w:line="285" w:lineRule="atLeast"/>
              <w:jc w:val="center"/>
              <w:rPr>
                <w:rFonts w:asciiTheme="minorHAnsi" w:hAnsiTheme="minorHAnsi" w:cstheme="minorHAnsi"/>
                <w:bCs/>
                <w:sz w:val="16"/>
                <w:szCs w:val="16"/>
              </w:rPr>
            </w:pPr>
            <w:r w:rsidRPr="00B073EB">
              <w:rPr>
                <w:rFonts w:asciiTheme="minorHAnsi" w:hAnsiTheme="minorHAnsi"/>
                <w:b/>
                <w:bCs/>
                <w:sz w:val="16"/>
                <w:szCs w:val="16"/>
              </w:rPr>
              <w:t>{{OneTimeCharge}}</w:t>
            </w:r>
            <w:r w:rsidR="00C262BF" w:rsidRPr="007A2CAA">
              <w:rPr>
                <w:rFonts w:asciiTheme="minorHAnsi" w:hAnsiTheme="minorHAnsi" w:cs="Arial"/>
                <w:b/>
                <w:sz w:val="16"/>
                <w:szCs w:val="16"/>
              </w:rPr>
              <w:t>{{</w:t>
            </w:r>
            <w:r w:rsidR="00C262BF">
              <w:rPr>
                <w:rFonts w:asciiTheme="minorHAnsi" w:hAnsiTheme="minorHAnsi" w:cs="Arial"/>
                <w:b/>
                <w:sz w:val="16"/>
                <w:szCs w:val="16"/>
              </w:rPr>
              <w:t>/</w:t>
            </w:r>
            <w:r w:rsidR="00C262BF" w:rsidRPr="007A2CAA">
              <w:rPr>
                <w:rFonts w:asciiTheme="minorHAnsi" w:hAnsiTheme="minorHAnsi" w:cs="Arial"/>
                <w:b/>
                <w:sz w:val="16"/>
                <w:szCs w:val="16"/>
              </w:rPr>
              <w:t>ftr_IsBundle}}</w:t>
            </w:r>
            <w:r w:rsidRPr="00B073EB">
              <w:rPr>
                <w:rFonts w:ascii="Calibri" w:hAnsi="Calibri" w:cs="Arial"/>
                <w:b/>
                <w:bCs/>
                <w:sz w:val="16"/>
                <w:szCs w:val="16"/>
              </w:rPr>
              <w:t>{{/ADDON}}</w:t>
            </w:r>
          </w:p>
        </w:tc>
      </w:tr>
      <w:tr w:rsidR="00364D65" w:rsidRPr="007A2CAA" w14:paraId="0D9303B2" w14:textId="77777777" w:rsidTr="000B17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4BDBCD50" w14:textId="747007AA" w:rsidR="00364D65" w:rsidRDefault="00364D65" w:rsidP="00364D65">
            <w:pPr>
              <w:pStyle w:val="List"/>
              <w:tabs>
                <w:tab w:val="left" w:pos="360"/>
              </w:tabs>
              <w:ind w:left="0" w:right="288" w:firstLine="0"/>
              <w:jc w:val="both"/>
              <w:rPr>
                <w:rFonts w:asciiTheme="minorHAnsi" w:hAnsiTheme="minorHAnsi" w:cs="Arial"/>
                <w:b/>
                <w:sz w:val="16"/>
                <w:szCs w:val="16"/>
              </w:rPr>
            </w:pPr>
            <w:r w:rsidRPr="00B073EB">
              <w:rPr>
                <w:rFonts w:ascii="Calibri" w:hAnsi="Calibri" w:cs="Arial"/>
                <w:b/>
                <w:bCs/>
                <w:sz w:val="16"/>
                <w:szCs w:val="16"/>
              </w:rPr>
              <w:t>{{#ADDON}}</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p>
          <w:p w14:paraId="4A604D47" w14:textId="77777777" w:rsidR="00364D65" w:rsidRPr="00B073EB" w:rsidRDefault="00364D65" w:rsidP="00364D65">
            <w:pPr>
              <w:shd w:val="clear" w:color="auto" w:fill="FFFFFE"/>
              <w:rPr>
                <w:rFonts w:ascii="Calibri" w:hAnsi="Calibri" w:cs="Arial"/>
                <w:b/>
                <w:bCs/>
                <w:sz w:val="16"/>
                <w:szCs w:val="16"/>
              </w:rPr>
            </w:pPr>
            <w:r w:rsidRPr="00B073EB">
              <w:rPr>
                <w:rFonts w:asciiTheme="minorHAnsi" w:hAnsiTheme="minorHAnsi"/>
                <w:b/>
                <w:bCs/>
                <w:sz w:val="16"/>
                <w:szCs w:val="16"/>
              </w:rPr>
              <w:t>{{ProductName}}</w:t>
            </w:r>
            <w:r w:rsidRPr="00B073EB">
              <w:rPr>
                <w:rFonts w:asciiTheme="minorHAnsi" w:hAnsiTheme="minorHAnsi"/>
                <w:sz w:val="16"/>
                <w:szCs w:val="16"/>
              </w:rPr>
              <w:t xml:space="preserve"> </w:t>
            </w:r>
          </w:p>
          <w:p w14:paraId="6B81871D" w14:textId="77777777" w:rsidR="00364D65" w:rsidRPr="00B073EB" w:rsidRDefault="00364D65" w:rsidP="00364D65">
            <w:pPr>
              <w:shd w:val="clear" w:color="auto" w:fill="FFFFFE"/>
              <w:rPr>
                <w:rFonts w:ascii="Calibri" w:hAnsi="Calibri"/>
                <w:sz w:val="16"/>
                <w:szCs w:val="16"/>
              </w:rPr>
            </w:pPr>
            <w:r w:rsidRPr="00B073EB">
              <w:rPr>
                <w:rFonts w:ascii="Calibri" w:hAnsi="Calibri"/>
                <w:sz w:val="16"/>
                <w:szCs w:val="16"/>
              </w:rPr>
              <w:t>{{#MB}}{{ATTR_MIN_BLOCKS}} minutes @ {{RecurringCharge}}/mo., {{/MB}}</w:t>
            </w:r>
          </w:p>
          <w:p w14:paraId="3AD7B1BB" w14:textId="63295A12" w:rsidR="00364D65" w:rsidRPr="00B073EB" w:rsidRDefault="00364D65" w:rsidP="00364D65">
            <w:pPr>
              <w:pStyle w:val="List"/>
              <w:tabs>
                <w:tab w:val="left" w:pos="360"/>
              </w:tabs>
              <w:ind w:left="0" w:right="288" w:firstLine="0"/>
              <w:jc w:val="both"/>
              <w:rPr>
                <w:rFonts w:ascii="Calibri" w:hAnsi="Calibri" w:cs="Arial"/>
                <w:b/>
                <w:bCs/>
                <w:sz w:val="16"/>
                <w:szCs w:val="16"/>
              </w:rPr>
            </w:pPr>
            <w:r w:rsidRPr="00B073EB">
              <w:rPr>
                <w:rFonts w:ascii="Calibri" w:hAnsi="Calibri"/>
                <w:sz w:val="16"/>
                <w:szCs w:val="16"/>
              </w:rPr>
              <w:t>{{#AOR}}${{ATTR_OVERAGE_RATE}}/min{{/AOR}}</w:t>
            </w:r>
          </w:p>
        </w:tc>
        <w:tc>
          <w:tcPr>
            <w:tcW w:w="1000" w:type="pct"/>
          </w:tcPr>
          <w:p w14:paraId="7FCA1C36" w14:textId="44714C2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{{Quantity}}</w:t>
            </w:r>
          </w:p>
        </w:tc>
        <w:tc>
          <w:tcPr>
            <w:tcW w:w="833" w:type="pct"/>
          </w:tcPr>
          <w:p w14:paraId="07A93630" w14:textId="4983C91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w:t>
            </w:r>
          </w:p>
        </w:tc>
        <w:tc>
          <w:tcPr>
            <w:tcW w:w="751" w:type="pct"/>
          </w:tcPr>
          <w:p w14:paraId="01907894" w14:textId="5FC73FEA"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{{RecurringChargeTotal}}</w:t>
            </w:r>
          </w:p>
        </w:tc>
        <w:tc>
          <w:tcPr>
            <w:tcW w:w="750" w:type="pct"/>
          </w:tcPr>
          <w:p w14:paraId="1E6E6E87" w14:textId="79EBE0CD" w:rsidR="00364D65" w:rsidRPr="00B073EB" w:rsidRDefault="00364D65" w:rsidP="00364D65">
            <w:pPr>
              <w:shd w:val="clear" w:color="auto" w:fill="FFFFFE"/>
              <w:spacing w:line="285" w:lineRule="atLeast"/>
              <w:jc w:val="center"/>
              <w:rPr>
                <w:rFonts w:asciiTheme="minorHAnsi" w:hAnsiTheme="minorHAnsi"/>
                <w:b/>
                <w:bCs/>
                <w:sz w:val="16"/>
                <w:szCs w:val="16"/>
              </w:rPr>
            </w:pPr>
            <w:r w:rsidRPr="00B073EB">
              <w:rPr>
                <w:rFonts w:asciiTheme="minorHAnsi" w:hAnsiTheme="minorHAnsi"/>
                <w:b/>
                <w:bCs/>
                <w:sz w:val="16"/>
                <w:szCs w:val="16"/>
              </w:rPr>
              <w:t>{{OneTimeCharge}}</w:t>
            </w:r>
            <w:r w:rsidRPr="007A2CAA">
              <w:rPr>
                <w:rFonts w:asciiTheme="minorHAnsi" w:hAnsiTheme="minorHAnsi" w:cs="Arial"/>
                <w:b/>
                <w:sz w:val="16"/>
                <w:szCs w:val="16"/>
              </w:rPr>
              <w:t>{{</w:t>
            </w:r>
            <w:r>
              <w:rPr>
                <w:rFonts w:asciiTheme="minorHAnsi" w:hAnsiTheme="minorHAnsi" w:cs="Arial"/>
                <w:b/>
                <w:sz w:val="16"/>
                <w:szCs w:val="16"/>
              </w:rPr>
              <w:t>/</w:t>
            </w:r>
            <w:r w:rsidRPr="007A2CAA">
              <w:rPr>
                <w:rFonts w:asciiTheme="minorHAnsi" w:hAnsiTheme="minorHAnsi" w:cs="Arial"/>
                <w:b/>
                <w:sz w:val="16"/>
                <w:szCs w:val="16"/>
              </w:rPr>
              <w:t>ftr_IsBundle}}</w:t>
            </w:r>
            <w:r w:rsidRPr="00B073EB">
              <w:rPr>
                <w:rFonts w:ascii="Calibri" w:hAnsi="Calibri" w:cs="Arial"/>
                <w:b/>
                <w:bCs/>
                <w:sz w:val="16"/>
                <w:szCs w:val="16"/>
              </w:rPr>
              <w:t>{{/ADDON}}</w:t>
            </w:r>
          </w:p>
        </w:tc>
      </w:tr>
    </w:tbl>
    <w:p w14:paraId="7D6C78F9" w14:textId="062B3BC6" w:rsidR="00067713" w:rsidRPr="00B073EB" w:rsidRDefault="00067713" w:rsidP="00067713">
      <w:pPr>
        <w:rPr>
          <w:rFonts w:ascii="Calibri" w:hAnsi="Calibri" w:cs="Arial"/>
          <w:b/>
          <w:bCs/>
          <w:sz w:val="16"/>
          <w:szCs w:val="16"/>
        </w:rPr>
      </w:pPr>
      <w:r w:rsidRPr="00B073EB">
        <w:rPr>
          <w:rFonts w:ascii="Calibri" w:hAnsi="Calibri" w:cs="Arial"/>
          <w:b/>
          <w:bCs/>
          <w:sz w:val="16"/>
          <w:szCs w:val="16"/>
        </w:rPr>
        <w:t>{{</w:t>
      </w:r>
      <w:r>
        <w:rPr>
          <w:rFonts w:ascii="Calibri" w:hAnsi="Calibri" w:cs="Arial"/>
          <w:b/>
          <w:bCs/>
          <w:sz w:val="16"/>
          <w:szCs w:val="16"/>
        </w:rPr>
        <w:t>/</w:t>
      </w:r>
      <w:r w:rsidRPr="00B073EB">
        <w:rPr>
          <w:rFonts w:ascii="Calibri" w:hAnsi="Calibri" w:cs="Arial"/>
          <w:b/>
          <w:bCs/>
          <w:sz w:val="16"/>
          <w:szCs w:val="16"/>
        </w:rPr>
        <w:t>ADD}}</w:t>
      </w:r>
    </w:p>
    <w:p w14:paraId="74DD11E4" w14:textId="718B1B8B" w:rsidR="00DD56BF" w:rsidRPr="007A2CAA" w:rsidRDefault="00047DC5" w:rsidP="00047DC5">
      <w:pPr>
        <w:rPr>
          <w:rFonts w:asciiTheme="minorHAnsi" w:hAnsiTheme="minorHAnsi" w:cs="Arial"/>
          <w:b/>
          <w:sz w:val="16"/>
          <w:szCs w:val="16"/>
        </w:rPr>
      </w:pPr>
      <w:r w:rsidRPr="007A2CAA">
        <w:rPr>
          <w:rFonts w:asciiTheme="minorHAnsi" w:hAnsiTheme="minorHAnsi" w:cs="Arial"/>
          <w:b/>
          <w:sz w:val="16"/>
          <w:szCs w:val="16"/>
        </w:rPr>
        <w:t>{{/SA}}</w:t>
      </w:r>
    </w:p>
    <w:tbl>
      <w:tblPr>
        <w:tblStyle w:val="TableGrid"/>
        <w:tblW w:w="10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10"/>
        <w:gridCol w:w="2207"/>
        <w:gridCol w:w="1716"/>
        <w:gridCol w:w="1716"/>
        <w:gridCol w:w="1634"/>
      </w:tblGrid>
      <w:tr w:rsidR="00C435F3" w:rsidRPr="0074661B" w14:paraId="0487E831" w14:textId="77777777" w:rsidTr="00C435F3">
        <w:trPr>
          <w:trHeight w:val="271"/>
        </w:trPr>
        <w:tc>
          <w:tcPr>
            <w:tcW w:w="3510" w:type="dxa"/>
          </w:tcPr>
          <w:p w14:paraId="5188915A" w14:textId="77777777" w:rsidR="00C435F3" w:rsidRPr="0074661B" w:rsidRDefault="00C435F3" w:rsidP="00637ADE">
            <w:pPr>
              <w:pStyle w:val="List"/>
              <w:tabs>
                <w:tab w:val="left" w:pos="360"/>
              </w:tabs>
              <w:ind w:left="0" w:right="288" w:firstLine="0"/>
              <w:rPr>
                <w:rFonts w:asciiTheme="minorHAnsi" w:hAnsiTheme="minorHAnsi" w:cs="Arial"/>
                <w:b/>
                <w:bCs/>
                <w:color w:val="C45911" w:themeColor="accent2" w:themeShade="BF"/>
                <w:sz w:val="16"/>
                <w:szCs w:val="16"/>
              </w:rPr>
            </w:pPr>
            <w:r w:rsidRPr="0074661B">
              <w:rPr>
                <w:b/>
                <w:bCs/>
                <w:color w:val="C45911" w:themeColor="accent2" w:themeShade="BF"/>
                <w:sz w:val="16"/>
                <w:szCs w:val="16"/>
              </w:rPr>
              <w:t>Total:</w:t>
            </w:r>
          </w:p>
        </w:tc>
        <w:tc>
          <w:tcPr>
            <w:tcW w:w="2207" w:type="dxa"/>
            <w:vAlign w:val="center"/>
          </w:tcPr>
          <w:p w14:paraId="7F3D04A8" w14:textId="77777777" w:rsidR="00C435F3" w:rsidRPr="0074661B" w:rsidRDefault="00C435F3" w:rsidP="00637ADE">
            <w:pPr>
              <w:pStyle w:val="List"/>
              <w:tabs>
                <w:tab w:val="left" w:pos="360"/>
              </w:tabs>
              <w:ind w:left="0" w:right="288" w:firstLine="0"/>
              <w:rPr>
                <w:rFonts w:asciiTheme="minorHAnsi" w:hAnsiTheme="minorHAnsi" w:cs="Arial"/>
                <w:bCs/>
                <w:color w:val="C45911" w:themeColor="accent2" w:themeShade="BF"/>
                <w:sz w:val="16"/>
                <w:szCs w:val="16"/>
              </w:rPr>
            </w:pPr>
          </w:p>
        </w:tc>
        <w:tc>
          <w:tcPr>
            <w:tcW w:w="1716" w:type="dxa"/>
          </w:tcPr>
          <w:p w14:paraId="6F9B5BAC" w14:textId="77777777" w:rsidR="00C435F3" w:rsidRPr="0074661B" w:rsidRDefault="00C435F3" w:rsidP="00637ADE">
            <w:pPr>
              <w:pStyle w:val="List"/>
              <w:tabs>
                <w:tab w:val="left" w:pos="360"/>
              </w:tabs>
              <w:ind w:left="0" w:right="288" w:firstLine="0"/>
              <w:rPr>
                <w:b/>
                <w:bCs/>
                <w:color w:val="C45911" w:themeColor="accent2" w:themeShade="BF"/>
                <w:sz w:val="16"/>
                <w:szCs w:val="16"/>
              </w:rPr>
            </w:pPr>
          </w:p>
        </w:tc>
        <w:tc>
          <w:tcPr>
            <w:tcW w:w="1716" w:type="dxa"/>
          </w:tcPr>
          <w:p w14:paraId="2B74D5CD" w14:textId="396B9762" w:rsidR="00C435F3" w:rsidRPr="00637ADE" w:rsidRDefault="00C435F3" w:rsidP="00637ADE">
            <w:pPr>
              <w:pStyle w:val="List"/>
              <w:tabs>
                <w:tab w:val="left" w:pos="360"/>
              </w:tabs>
              <w:ind w:left="0" w:right="288" w:firstLine="0"/>
              <w:rPr>
                <w:b/>
                <w:bCs/>
                <w:color w:val="C45911" w:themeColor="accent2" w:themeShade="BF"/>
                <w:sz w:val="14"/>
                <w:szCs w:val="14"/>
              </w:rPr>
            </w:pPr>
            <w:r w:rsidRPr="00637ADE">
              <w:rPr>
                <w:b/>
                <w:bCs/>
                <w:color w:val="C45911" w:themeColor="accent2" w:themeShade="BF"/>
                <w:sz w:val="14"/>
                <w:szCs w:val="14"/>
              </w:rPr>
              <w:t>{{RecurringTotal}}</w:t>
            </w:r>
          </w:p>
        </w:tc>
        <w:tc>
          <w:tcPr>
            <w:tcW w:w="1634" w:type="dxa"/>
            <w:vAlign w:val="center"/>
          </w:tcPr>
          <w:p w14:paraId="0EAFACE1" w14:textId="77777777" w:rsidR="00C435F3" w:rsidRPr="00637ADE" w:rsidRDefault="00C435F3" w:rsidP="00637ADE">
            <w:pPr>
              <w:pStyle w:val="List"/>
              <w:tabs>
                <w:tab w:val="left" w:pos="360"/>
              </w:tabs>
              <w:ind w:left="0" w:right="288" w:firstLine="0"/>
              <w:rPr>
                <w:rFonts w:asciiTheme="minorHAnsi" w:hAnsiTheme="minorHAnsi" w:cs="Arial"/>
                <w:b/>
                <w:bCs/>
                <w:color w:val="C45911" w:themeColor="accent2" w:themeShade="BF"/>
                <w:sz w:val="14"/>
                <w:szCs w:val="14"/>
              </w:rPr>
            </w:pPr>
            <w:r w:rsidRPr="00637ADE">
              <w:rPr>
                <w:b/>
                <w:bCs/>
                <w:color w:val="C45911" w:themeColor="accent2" w:themeShade="BF"/>
                <w:sz w:val="14"/>
                <w:szCs w:val="14"/>
              </w:rPr>
              <w:t>{{OneTimeTotal}}</w:t>
            </w:r>
          </w:p>
        </w:tc>
      </w:tr>
    </w:tbl>
    <w:p w14:paraId="6CE358F8" w14:textId="77777777" w:rsidR="00DD56BF" w:rsidRDefault="00DD56BF" w:rsidP="00DD56BF">
      <w:pPr>
        <w:tabs>
          <w:tab w:val="left" w:pos="1170"/>
        </w:tabs>
        <w:rPr>
          <w:rFonts w:asciiTheme="minorHAnsi" w:hAnsiTheme="minorHAnsi" w:cs="Arial"/>
          <w:bCs/>
          <w:sz w:val="4"/>
          <w:szCs w:val="4"/>
        </w:rPr>
      </w:pPr>
      <w:r w:rsidRPr="0074661B">
        <w:rPr>
          <w:rFonts w:asciiTheme="minorHAnsi" w:hAnsiTheme="minorHAnsi" w:cs="Arial"/>
          <w:bCs/>
          <w:sz w:val="16"/>
          <w:szCs w:val="16"/>
        </w:rPr>
        <w:t xml:space="preserve"> </w:t>
      </w:r>
      <w:r>
        <w:rPr>
          <w:rFonts w:asciiTheme="minorHAnsi" w:hAnsiTheme="minorHAnsi" w:cs="Arial"/>
          <w:bCs/>
          <w:sz w:val="4"/>
          <w:szCs w:val="4"/>
        </w:rPr>
        <w:t xml:space="preserve">  </w:t>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06DEA21C" w14:textId="77777777" w:rsidR="00613E09" w:rsidRDefault="00613E09">
      <w:pPr>
        <w:spacing w:after="160" w:line="259" w:lineRule="auto"/>
        <w:rPr>
          <w:rFonts w:asciiTheme="minorHAnsi" w:hAnsiTheme="minorHAnsi" w:cstheme="minorHAnsi"/>
          <w:b/>
          <w:bCs/>
        </w:rPr>
      </w:pP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FF61908" w14:textId="77777777" w:rsidR="009C2DAC" w:rsidRPr="009C2DAC" w:rsidRDefault="009C2DAC" w:rsidP="009C2DAC">
      <w:pPr>
        <w:spacing w:after="60"/>
        <w:ind w:right="-43"/>
        <w:jc w:val="both"/>
        <w:outlineLvl w:val="0"/>
        <w:rPr>
          <w:rFonts w:ascii="Calibri" w:hAnsi="Calibri" w:cs="Arial"/>
          <w:sz w:val="16"/>
          <w:szCs w:val="16"/>
        </w:rPr>
      </w:pPr>
      <w:r w:rsidRPr="009C2DAC">
        <w:rPr>
          <w:rFonts w:ascii="Calibri" w:hAnsi="Calibri" w:cs="Arial"/>
          <w:b/>
          <w:sz w:val="16"/>
          <w:szCs w:val="16"/>
        </w:rPr>
        <w:t>2.  Special Construction: All Services are subject to availability and Frontier Network limitations.</w:t>
      </w:r>
      <w:r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77777777" w:rsidR="009C2DAC" w:rsidRPr="009C2DAC" w:rsidRDefault="009C2DAC" w:rsidP="009C2DAC">
      <w:pPr>
        <w:spacing w:after="60"/>
        <w:ind w:right="-43"/>
        <w:jc w:val="both"/>
        <w:outlineLvl w:val="0"/>
        <w:rPr>
          <w:rFonts w:ascii="Calibri" w:hAnsi="Calibri" w:cs="Arial"/>
          <w:b/>
          <w:bCs/>
          <w:sz w:val="16"/>
          <w:szCs w:val="16"/>
        </w:rPr>
      </w:pPr>
      <w:r w:rsidRPr="009C2DAC">
        <w:rPr>
          <w:rFonts w:ascii="Calibri" w:hAnsi="Calibri" w:cs="Arial"/>
          <w:b/>
          <w:sz w:val="16"/>
          <w:szCs w:val="16"/>
        </w:rPr>
        <w:t xml:space="preserve">3.   </w:t>
      </w:r>
      <w:r w:rsidRPr="009C2DAC">
        <w:rPr>
          <w:rFonts w:ascii="Calibri" w:hAnsi="Calibri" w:cs="Arial"/>
          <w:b/>
          <w:bCs/>
          <w:sz w:val="16"/>
          <w:szCs w:val="16"/>
        </w:rPr>
        <w:t xml:space="preserve">Obligations of Customer. </w:t>
      </w:r>
      <w:r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77777777" w:rsidR="009C2DAC" w:rsidRPr="009C2DAC" w:rsidRDefault="009C2DAC" w:rsidP="009C2DAC">
      <w:pPr>
        <w:spacing w:after="60"/>
        <w:ind w:right="-36"/>
        <w:jc w:val="both"/>
        <w:rPr>
          <w:rFonts w:ascii="Calibri" w:hAnsi="Calibri" w:cs="Arial"/>
          <w:bCs/>
          <w:sz w:val="16"/>
          <w:szCs w:val="16"/>
        </w:rPr>
      </w:pPr>
      <w:r w:rsidRPr="009C2DAC">
        <w:rPr>
          <w:rFonts w:ascii="Calibri" w:hAnsi="Calibri" w:cs="Arial"/>
          <w:b/>
          <w:bCs/>
          <w:sz w:val="16"/>
          <w:szCs w:val="16"/>
        </w:rPr>
        <w:t>4.  After Hours/Holiday Labor Hours</w:t>
      </w:r>
      <w:r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77777777" w:rsidR="009C2DAC" w:rsidRPr="009C2DAC" w:rsidRDefault="009C2DAC" w:rsidP="009C2DAC">
      <w:pPr>
        <w:spacing w:after="60"/>
        <w:ind w:right="-36"/>
        <w:jc w:val="both"/>
        <w:rPr>
          <w:rFonts w:ascii="Calibri" w:hAnsi="Calibri" w:cs="Arial"/>
          <w:sz w:val="16"/>
          <w:szCs w:val="16"/>
        </w:rPr>
      </w:pPr>
      <w:r w:rsidRPr="009C2DAC">
        <w:rPr>
          <w:rFonts w:ascii="Calibri" w:hAnsi="Calibri" w:cs="Arial"/>
          <w:b/>
          <w:bCs/>
          <w:sz w:val="16"/>
          <w:szCs w:val="16"/>
        </w:rPr>
        <w:t xml:space="preserve">5.  </w:t>
      </w:r>
      <w:bookmarkStart w:id="3" w:name="_Hlk42631014"/>
      <w:r w:rsidRPr="009C2DAC">
        <w:rPr>
          <w:rFonts w:ascii="Calibri" w:hAnsi="Calibri" w:cs="Arial"/>
          <w:b/>
          <w:bCs/>
          <w:sz w:val="16"/>
          <w:szCs w:val="16"/>
        </w:rPr>
        <w:t xml:space="preserve">Internet Acceptable Use Policy and Security. </w:t>
      </w:r>
      <w:r w:rsidRPr="009C2DAC">
        <w:rPr>
          <w:rFonts w:ascii="Calibri" w:hAnsi="Calibri" w:cs="Arial"/>
          <w:sz w:val="16"/>
          <w:szCs w:val="16"/>
        </w:rPr>
        <w:t>Customer shall comply, and shall cause all Service users to comply, with Frontier’s Acceptable Use Policy (</w:t>
      </w:r>
      <w:r w:rsidRPr="009C2DAC">
        <w:rPr>
          <w:rFonts w:ascii="Calibri" w:hAnsi="Calibri" w:cs="Arial"/>
          <w:b/>
          <w:bCs/>
          <w:sz w:val="16"/>
          <w:szCs w:val="16"/>
        </w:rPr>
        <w:t>“AUP”</w:t>
      </w:r>
      <w:r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Pr="009C2DAC">
        <w:rPr>
          <w:rFonts w:ascii="Calibri" w:hAnsi="Calibri" w:cs="Arial"/>
          <w:sz w:val="16"/>
          <w:szCs w:val="16"/>
        </w:rPr>
        <w:fldChar w:fldCharType="begin"/>
      </w:r>
      <w:r w:rsidRPr="009C2DAC">
        <w:rPr>
          <w:rFonts w:ascii="Calibri" w:hAnsi="Calibri" w:cs="Arial"/>
          <w:sz w:val="16"/>
          <w:szCs w:val="16"/>
        </w:rPr>
        <w:instrText xml:space="preserve"> HYPERLINK "http://www.frontier.com/policies/commercial_aup/" </w:instrText>
      </w:r>
      <w:r w:rsidRPr="009C2DAC">
        <w:rPr>
          <w:rFonts w:ascii="Calibri" w:hAnsi="Calibri" w:cs="Arial"/>
          <w:sz w:val="16"/>
          <w:szCs w:val="16"/>
        </w:rPr>
        <w:fldChar w:fldCharType="separate"/>
      </w:r>
      <w:r w:rsidRPr="009C2DAC">
        <w:rPr>
          <w:rFonts w:ascii="Calibri" w:hAnsi="Calibri" w:cs="Arial"/>
          <w:color w:val="0000FF"/>
          <w:sz w:val="16"/>
          <w:szCs w:val="16"/>
        </w:rPr>
        <w:t>http://www.frontier.com/policies/commercial_aup/</w:t>
      </w:r>
      <w:r w:rsidRPr="009C2DAC">
        <w:rPr>
          <w:rFonts w:ascii="Calibri" w:hAnsi="Calibri" w:cs="Arial"/>
          <w:sz w:val="16"/>
          <w:szCs w:val="16"/>
        </w:rPr>
        <w:fldChar w:fldCharType="end"/>
      </w:r>
      <w:bookmarkEnd w:id="4"/>
      <w:r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6A9C7121" w14:textId="49C7CCE4" w:rsidR="009C2DAC" w:rsidRDefault="009C2DAC" w:rsidP="007342E6">
      <w:pPr>
        <w:jc w:val="both"/>
        <w:rPr>
          <w:rFonts w:ascii="Calibri" w:hAnsi="Calibri" w:cs="Arial"/>
          <w:sz w:val="16"/>
          <w:szCs w:val="16"/>
        </w:rPr>
      </w:pPr>
      <w:r w:rsidRPr="009C2DAC">
        <w:rPr>
          <w:rFonts w:ascii="Calibri" w:hAnsi="Calibri" w:cs="Arial"/>
          <w:b/>
          <w:sz w:val="16"/>
          <w:szCs w:val="16"/>
        </w:rPr>
        <w:t>6</w:t>
      </w:r>
      <w:r w:rsidRPr="009C2DAC">
        <w:rPr>
          <w:rFonts w:ascii="Calibri" w:hAnsi="Calibri" w:cs="Arial"/>
          <w:sz w:val="16"/>
          <w:szCs w:val="16"/>
        </w:rPr>
        <w:t xml:space="preserve">.  </w:t>
      </w:r>
      <w:r w:rsidRPr="009C2DAC">
        <w:rPr>
          <w:rFonts w:ascii="Calibri" w:hAnsi="Calibri" w:cs="Arial"/>
          <w:b/>
          <w:sz w:val="16"/>
          <w:szCs w:val="16"/>
          <w:u w:val="single"/>
        </w:rPr>
        <w:t>Service Level Agreement</w:t>
      </w:r>
      <w:r w:rsidRPr="009C2DAC">
        <w:rPr>
          <w:rFonts w:ascii="Calibri" w:hAnsi="Calibri" w:cs="Arial"/>
          <w:b/>
          <w:sz w:val="16"/>
          <w:szCs w:val="16"/>
        </w:rPr>
        <w:t xml:space="preserve">.  </w:t>
      </w:r>
      <w:r w:rsidRPr="009C2DAC">
        <w:rPr>
          <w:rFonts w:ascii="Calibri" w:hAnsi="Calibri" w:cs="Arial"/>
          <w:sz w:val="16"/>
          <w:szCs w:val="16"/>
        </w:rPr>
        <w:t>The D</w:t>
      </w:r>
      <w:r>
        <w:rPr>
          <w:rFonts w:ascii="Calibri" w:hAnsi="Calibri" w:cs="Arial"/>
          <w:sz w:val="16"/>
          <w:szCs w:val="16"/>
        </w:rPr>
        <w:t xml:space="preserve">IA </w:t>
      </w:r>
      <w:r w:rsidRPr="009C2DAC">
        <w:rPr>
          <w:rFonts w:ascii="Calibri" w:hAnsi="Calibri" w:cs="Arial"/>
          <w:sz w:val="16"/>
          <w:szCs w:val="16"/>
        </w:rPr>
        <w:t>Service Level Agreement for D</w:t>
      </w:r>
      <w:r>
        <w:rPr>
          <w:rFonts w:ascii="Calibri" w:hAnsi="Calibri" w:cs="Arial"/>
          <w:sz w:val="16"/>
          <w:szCs w:val="16"/>
        </w:rPr>
        <w:t xml:space="preserve">IA </w:t>
      </w:r>
      <w:r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5851A61C" w14:textId="7F4C91C0" w:rsidR="00085B39" w:rsidRDefault="00085B39" w:rsidP="00085B39">
      <w:pPr>
        <w:spacing w:before="240"/>
        <w:ind w:left="360" w:hanging="360"/>
        <w:jc w:val="both"/>
        <w:rPr>
          <w:rFonts w:ascii="Calibri" w:eastAsia="MS Mincho" w:hAnsi="Calibri" w:cs="Arial"/>
          <w:b/>
          <w:iCs/>
          <w:sz w:val="16"/>
          <w:szCs w:val="16"/>
        </w:rPr>
      </w:pPr>
    </w:p>
    <w:p w14:paraId="378072E1" w14:textId="55C3EC97" w:rsidR="005748E5" w:rsidRDefault="005748E5" w:rsidP="00085B39">
      <w:pPr>
        <w:spacing w:before="240"/>
        <w:ind w:left="360" w:hanging="360"/>
        <w:jc w:val="both"/>
        <w:rPr>
          <w:rFonts w:ascii="Calibri" w:eastAsia="MS Mincho" w:hAnsi="Calibri" w:cs="Arial"/>
          <w:b/>
          <w:iCs/>
          <w:sz w:val="16"/>
          <w:szCs w:val="16"/>
        </w:rPr>
      </w:pPr>
    </w:p>
    <w:p w14:paraId="5858484D" w14:textId="77777777" w:rsidR="005748E5" w:rsidRDefault="005748E5" w:rsidP="00085B39">
      <w:pPr>
        <w:spacing w:before="240"/>
        <w:ind w:left="360" w:hanging="360"/>
        <w:jc w:val="both"/>
        <w:rPr>
          <w:rFonts w:ascii="Calibri" w:eastAsia="MS Mincho" w:hAnsi="Calibri" w:cs="Arial"/>
          <w:b/>
          <w:iCs/>
          <w:sz w:val="16"/>
          <w:szCs w:val="16"/>
        </w:rPr>
      </w:pP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85B39">
      <w:pPr>
        <w:numPr>
          <w:ilvl w:val="0"/>
          <w:numId w:val="6"/>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380799">
      <w:pPr>
        <w:numPr>
          <w:ilvl w:val="0"/>
          <w:numId w:val="6"/>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4D732D">
      <w:pPr>
        <w:numPr>
          <w:ilvl w:val="0"/>
          <w:numId w:val="6"/>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5" w:name="_Hlk64026653"/>
      <w:r w:rsidRPr="004D732D">
        <w:rPr>
          <w:rFonts w:asciiTheme="minorHAnsi" w:hAnsiTheme="minorHAnsi" w:cstheme="minorHAnsi"/>
          <w:b/>
          <w:bCs/>
          <w:sz w:val="16"/>
          <w:szCs w:val="14"/>
        </w:rPr>
        <w:t>SIP Service with TDM Handoff</w:t>
      </w:r>
      <w:bookmarkEnd w:id="5"/>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services, and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respect to the Services, including but not limited to providing timely, accurate and inclusive information to Frontier for submission into the E911 database. Frontier assumes no liability for use of the Service other than as described herein.   Customer is responsible for notifying each individual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Mean Time To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25 % MRC above 4 hrs</w:t>
            </w:r>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lastRenderedPageBreak/>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56 ms</w:t>
            </w:r>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100 ms</w:t>
            </w:r>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250 ms</w:t>
            </w:r>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26 ms</w:t>
            </w:r>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60 ms</w:t>
            </w:r>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160 ms</w:t>
            </w:r>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 ms</w:t>
            </w:r>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36 ms</w:t>
            </w:r>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140 ms</w:t>
            </w:r>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E-LINE  Services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40 ms</w:t>
            </w:r>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3 ms</w:t>
            </w:r>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8 ms</w:t>
            </w:r>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10 ms</w:t>
            </w:r>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452F" w14:textId="77777777" w:rsidR="002D527F" w:rsidRDefault="002D527F" w:rsidP="006B0555">
      <w:r>
        <w:separator/>
      </w:r>
    </w:p>
  </w:endnote>
  <w:endnote w:type="continuationSeparator" w:id="0">
    <w:p w14:paraId="5BBCB2E2" w14:textId="77777777" w:rsidR="002D527F" w:rsidRDefault="002D527F"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PingFang SC"/>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9DCE" w14:textId="77777777" w:rsidR="002F3E75" w:rsidRDefault="002F3E75"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05062021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43CEA7E6" w14:textId="77777777" w:rsidR="002F3E75" w:rsidRPr="002A1518" w:rsidRDefault="002F3E75" w:rsidP="00191986">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CE0" w14:textId="77777777" w:rsidR="002F3E75" w:rsidRDefault="002F3E75" w:rsidP="005A7C93">
    <w:pPr>
      <w:pStyle w:val="Footer"/>
      <w:jc w:val="center"/>
      <w:rPr>
        <w:rFonts w:ascii="Arial" w:hAnsi="Arial" w:cs="Arial"/>
        <w:sz w:val="16"/>
        <w:szCs w:val="16"/>
      </w:rPr>
    </w:pPr>
  </w:p>
  <w:p w14:paraId="54607FF0" w14:textId="77777777" w:rsidR="002F3E75" w:rsidRPr="005A7C93" w:rsidRDefault="002F3E75"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5190FFA" w14:textId="77777777" w:rsidR="002F3E75" w:rsidRPr="005A7C93" w:rsidRDefault="002F3E75"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2D527F"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2D527F"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5F71D9D" w:rsidR="001B03B5" w:rsidRPr="00704685" w:rsidRDefault="00704685">
    <w:pPr>
      <w:pStyle w:val="Footer"/>
      <w:tabs>
        <w:tab w:val="clear" w:pos="4320"/>
        <w:tab w:val="clear" w:pos="8640"/>
        <w:tab w:val="right" w:pos="10080"/>
      </w:tabs>
      <w:rPr>
        <w:rFonts w:asciiTheme="minorHAnsi" w:hAnsiTheme="minorHAnsi" w:cstheme="minorHAnsi"/>
        <w:sz w:val="16"/>
        <w:szCs w:val="16"/>
      </w:rPr>
    </w:pPr>
    <w:r w:rsidRPr="00704685">
      <w:rPr>
        <w:rFonts w:asciiTheme="minorHAnsi" w:hAnsiTheme="minorHAnsi" w:cstheme="minorHAnsi"/>
        <w:sz w:val="16"/>
        <w:szCs w:val="16"/>
      </w:rPr>
      <w:t>05</w:t>
    </w:r>
    <w:r w:rsidR="00AF634F">
      <w:rPr>
        <w:rFonts w:asciiTheme="minorHAnsi" w:hAnsiTheme="minorHAnsi" w:cstheme="minorHAnsi"/>
        <w:sz w:val="16"/>
        <w:szCs w:val="16"/>
      </w:rPr>
      <w:t>17</w:t>
    </w:r>
    <w:r w:rsidRPr="00704685">
      <w:rPr>
        <w:rFonts w:asciiTheme="minorHAnsi" w:hAnsiTheme="minorHAnsi" w:cstheme="minorHAnsi"/>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3F31" w14:textId="77777777" w:rsidR="002D527F" w:rsidRDefault="002D527F" w:rsidP="006B0555">
      <w:r>
        <w:separator/>
      </w:r>
    </w:p>
  </w:footnote>
  <w:footnote w:type="continuationSeparator" w:id="0">
    <w:p w14:paraId="79CBE658" w14:textId="77777777" w:rsidR="002D527F" w:rsidRDefault="002D527F"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B2BA" w14:textId="77777777" w:rsidR="002F3E75" w:rsidRDefault="002F3E75"/>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2F3E75" w:rsidRPr="002A1518" w14:paraId="59E969AD" w14:textId="77777777" w:rsidTr="00262DA5">
      <w:trPr>
        <w:trHeight w:val="902"/>
        <w:jc w:val="center"/>
      </w:trPr>
      <w:tc>
        <w:tcPr>
          <w:tcW w:w="8005" w:type="dxa"/>
          <w:shd w:val="clear" w:color="auto" w:fill="D9D9D9" w:themeFill="background1" w:themeFillShade="D9"/>
        </w:tcPr>
        <w:p w14:paraId="14394C7C" w14:textId="77777777" w:rsidR="002F3E75" w:rsidRPr="002A1518" w:rsidRDefault="002F3E75" w:rsidP="00C7764A">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1312" behindDoc="0" locked="0" layoutInCell="1" allowOverlap="1" wp14:anchorId="38A1E5CA" wp14:editId="35F9535F">
                <wp:simplePos x="0" y="0"/>
                <wp:positionH relativeFrom="column">
                  <wp:posOffset>89807</wp:posOffset>
                </wp:positionH>
                <wp:positionV relativeFrom="paragraph">
                  <wp:posOffset>130357</wp:posOffset>
                </wp:positionV>
                <wp:extent cx="898071" cy="364698"/>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537EC63" w14:textId="77777777" w:rsidR="002F3E75" w:rsidRPr="002A1518" w:rsidRDefault="002F3E75" w:rsidP="00C7764A">
          <w:pPr>
            <w:pStyle w:val="Header"/>
            <w:ind w:left="720"/>
            <w:jc w:val="right"/>
            <w:rPr>
              <w:rStyle w:val="PageNumber"/>
              <w:rFonts w:ascii="Calibri" w:hAnsi="Calibri" w:cs="Arial"/>
              <w:b/>
              <w:bCs/>
              <w:sz w:val="20"/>
              <w:szCs w:val="20"/>
            </w:rPr>
          </w:pPr>
        </w:p>
        <w:p w14:paraId="7D748CC5" w14:textId="77777777" w:rsidR="002F3E75" w:rsidRPr="00C7764A" w:rsidRDefault="002F3E75" w:rsidP="00C7764A">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B4956AD" w14:textId="77777777" w:rsidR="002F3E75" w:rsidRPr="00262DA5" w:rsidRDefault="002F3E75" w:rsidP="00C7764A">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478F2774" w14:textId="77777777" w:rsidR="002F3E75" w:rsidRPr="002A1518" w:rsidRDefault="002F3E75" w:rsidP="00DF1EE0">
          <w:pPr>
            <w:pStyle w:val="Header"/>
            <w:jc w:val="right"/>
            <w:rPr>
              <w:rFonts w:ascii="Calibri" w:hAnsi="Calibri" w:cs="Arial"/>
              <w:b/>
              <w:sz w:val="18"/>
              <w:szCs w:val="18"/>
            </w:rPr>
          </w:pPr>
        </w:p>
      </w:tc>
    </w:tr>
  </w:tbl>
  <w:p w14:paraId="6A87F833" w14:textId="77777777" w:rsidR="002F3E75" w:rsidRDefault="002F3E75">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0C51" w14:textId="77777777" w:rsidR="002F3E75" w:rsidRDefault="002F3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A101" w14:textId="77777777" w:rsidR="002F3E75" w:rsidRDefault="002F3E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9A97" w14:textId="77777777" w:rsidR="002F3E75" w:rsidRDefault="002F3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55A26" w:rsidRPr="002A1518" w14:paraId="41E95A70" w14:textId="77777777" w:rsidTr="007B163F">
      <w:trPr>
        <w:trHeight w:val="902"/>
        <w:jc w:val="center"/>
      </w:trPr>
      <w:tc>
        <w:tcPr>
          <w:tcW w:w="8005" w:type="dxa"/>
          <w:shd w:val="clear" w:color="auto" w:fill="D9D9D9" w:themeFill="background1" w:themeFillShade="D9"/>
        </w:tcPr>
        <w:p w14:paraId="6295222A" w14:textId="77777777" w:rsidR="00C55A26" w:rsidRPr="002A1518" w:rsidRDefault="00C55A26"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303F40AC" wp14:editId="05A0D2FD">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0E4C877E" w14:textId="77777777" w:rsidR="00C55A26" w:rsidRPr="002A1518" w:rsidRDefault="00C55A26" w:rsidP="00C55A26">
          <w:pPr>
            <w:pStyle w:val="Header"/>
            <w:ind w:left="720"/>
            <w:jc w:val="right"/>
            <w:rPr>
              <w:rStyle w:val="PageNumber"/>
              <w:rFonts w:ascii="Calibri" w:hAnsi="Calibri" w:cs="Arial"/>
              <w:b/>
              <w:bCs/>
              <w:sz w:val="20"/>
              <w:szCs w:val="20"/>
            </w:rPr>
          </w:pPr>
        </w:p>
        <w:p w14:paraId="28F6A545" w14:textId="77777777" w:rsidR="00C55A26" w:rsidRPr="00C7764A" w:rsidRDefault="00C55A26"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192F2042" w14:textId="77777777" w:rsidR="00C55A26" w:rsidRPr="00262DA5" w:rsidRDefault="00C55A26"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FF555CC" w14:textId="77777777" w:rsidR="00C55A26" w:rsidRPr="002A1518" w:rsidRDefault="00C55A26" w:rsidP="00C55A26">
          <w:pPr>
            <w:pStyle w:val="Header"/>
            <w:jc w:val="right"/>
            <w:rPr>
              <w:rFonts w:ascii="Calibri" w:hAnsi="Calibri" w:cs="Arial"/>
              <w:b/>
              <w:sz w:val="18"/>
              <w:szCs w:val="18"/>
            </w:rPr>
          </w:pPr>
        </w:p>
      </w:tc>
    </w:tr>
  </w:tbl>
  <w:p w14:paraId="1DBEFDE3" w14:textId="77777777" w:rsidR="001B03B5" w:rsidRDefault="002D527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2D527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EF4DF74" w:rsidR="001B03B5" w:rsidRDefault="00C7764A">
    <w:pPr>
      <w:pStyle w:val="Header"/>
    </w:pPr>
    <w:r>
      <w:rPr>
        <w:noProof/>
      </w:rPr>
      <w:drawing>
        <wp:inline distT="0" distB="0" distL="0" distR="0" wp14:anchorId="632D2534" wp14:editId="570C9207">
          <wp:extent cx="1036864" cy="42106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2D5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8"/>
  </w:num>
  <w:num w:numId="5">
    <w:abstractNumId w:val="2"/>
  </w:num>
  <w:num w:numId="6">
    <w:abstractNumId w:val="5"/>
  </w:num>
  <w:num w:numId="7">
    <w:abstractNumId w:val="3"/>
  </w:num>
  <w:num w:numId="8">
    <w:abstractNumId w:val="7"/>
  </w:num>
  <w:num w:numId="9">
    <w:abstractNumId w:val="14"/>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6"/>
  </w:num>
  <w:num w:numId="17">
    <w:abstractNumId w:val="1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40BC"/>
    <w:rsid w:val="00011803"/>
    <w:rsid w:val="00023D6D"/>
    <w:rsid w:val="00047DC5"/>
    <w:rsid w:val="000651F5"/>
    <w:rsid w:val="00067713"/>
    <w:rsid w:val="00071F45"/>
    <w:rsid w:val="000761BE"/>
    <w:rsid w:val="00085B39"/>
    <w:rsid w:val="000A71D2"/>
    <w:rsid w:val="000B099A"/>
    <w:rsid w:val="000B17CA"/>
    <w:rsid w:val="000B2AC1"/>
    <w:rsid w:val="000B57FD"/>
    <w:rsid w:val="000E5026"/>
    <w:rsid w:val="000F02A0"/>
    <w:rsid w:val="00132229"/>
    <w:rsid w:val="001360BC"/>
    <w:rsid w:val="001B580C"/>
    <w:rsid w:val="001D51AC"/>
    <w:rsid w:val="001E137F"/>
    <w:rsid w:val="00206580"/>
    <w:rsid w:val="00217315"/>
    <w:rsid w:val="00221C2A"/>
    <w:rsid w:val="00234B33"/>
    <w:rsid w:val="00254EFE"/>
    <w:rsid w:val="00262DA5"/>
    <w:rsid w:val="00293374"/>
    <w:rsid w:val="002C0261"/>
    <w:rsid w:val="002D527F"/>
    <w:rsid w:val="002F3E75"/>
    <w:rsid w:val="00324868"/>
    <w:rsid w:val="00353323"/>
    <w:rsid w:val="00356DF7"/>
    <w:rsid w:val="0036354F"/>
    <w:rsid w:val="00364D65"/>
    <w:rsid w:val="003738D7"/>
    <w:rsid w:val="00380799"/>
    <w:rsid w:val="003D12B1"/>
    <w:rsid w:val="003D76A8"/>
    <w:rsid w:val="003E59FD"/>
    <w:rsid w:val="00440F85"/>
    <w:rsid w:val="00447A57"/>
    <w:rsid w:val="004550B0"/>
    <w:rsid w:val="00484C5C"/>
    <w:rsid w:val="004A380D"/>
    <w:rsid w:val="004A4EE8"/>
    <w:rsid w:val="004A69D1"/>
    <w:rsid w:val="004B1BA4"/>
    <w:rsid w:val="004B2BDB"/>
    <w:rsid w:val="004D1AED"/>
    <w:rsid w:val="004D732D"/>
    <w:rsid w:val="004F6BA7"/>
    <w:rsid w:val="00545D3F"/>
    <w:rsid w:val="00552372"/>
    <w:rsid w:val="00562EAF"/>
    <w:rsid w:val="005748E5"/>
    <w:rsid w:val="00576934"/>
    <w:rsid w:val="00581835"/>
    <w:rsid w:val="005A782E"/>
    <w:rsid w:val="005B7AD6"/>
    <w:rsid w:val="005C538B"/>
    <w:rsid w:val="005D0F92"/>
    <w:rsid w:val="00613E09"/>
    <w:rsid w:val="00637ADE"/>
    <w:rsid w:val="00676597"/>
    <w:rsid w:val="006B0555"/>
    <w:rsid w:val="006B3233"/>
    <w:rsid w:val="006D7528"/>
    <w:rsid w:val="006E4C70"/>
    <w:rsid w:val="006E7C7A"/>
    <w:rsid w:val="00704685"/>
    <w:rsid w:val="00714B9C"/>
    <w:rsid w:val="007342E6"/>
    <w:rsid w:val="007371DE"/>
    <w:rsid w:val="0074661B"/>
    <w:rsid w:val="00760786"/>
    <w:rsid w:val="007655CE"/>
    <w:rsid w:val="00785ABF"/>
    <w:rsid w:val="00787075"/>
    <w:rsid w:val="007916A2"/>
    <w:rsid w:val="007A2CAA"/>
    <w:rsid w:val="007D47BB"/>
    <w:rsid w:val="00825EEF"/>
    <w:rsid w:val="00832317"/>
    <w:rsid w:val="00835E64"/>
    <w:rsid w:val="0083633C"/>
    <w:rsid w:val="00836DB3"/>
    <w:rsid w:val="0086269A"/>
    <w:rsid w:val="00863535"/>
    <w:rsid w:val="00864AFB"/>
    <w:rsid w:val="00893117"/>
    <w:rsid w:val="008B2A7C"/>
    <w:rsid w:val="008B6336"/>
    <w:rsid w:val="008C142D"/>
    <w:rsid w:val="008C3E86"/>
    <w:rsid w:val="009169AF"/>
    <w:rsid w:val="00942621"/>
    <w:rsid w:val="00983D44"/>
    <w:rsid w:val="009B2A0A"/>
    <w:rsid w:val="009C2DAC"/>
    <w:rsid w:val="009E0055"/>
    <w:rsid w:val="009E5A84"/>
    <w:rsid w:val="009F048B"/>
    <w:rsid w:val="009F4670"/>
    <w:rsid w:val="00A0290F"/>
    <w:rsid w:val="00A23B81"/>
    <w:rsid w:val="00A66876"/>
    <w:rsid w:val="00A74FE7"/>
    <w:rsid w:val="00A92E78"/>
    <w:rsid w:val="00A96715"/>
    <w:rsid w:val="00AB0536"/>
    <w:rsid w:val="00AC5895"/>
    <w:rsid w:val="00AE1A47"/>
    <w:rsid w:val="00AF634F"/>
    <w:rsid w:val="00B04212"/>
    <w:rsid w:val="00B1438A"/>
    <w:rsid w:val="00B25065"/>
    <w:rsid w:val="00B560B0"/>
    <w:rsid w:val="00B87EE0"/>
    <w:rsid w:val="00B933F8"/>
    <w:rsid w:val="00BE14DB"/>
    <w:rsid w:val="00BF7DEF"/>
    <w:rsid w:val="00C107AE"/>
    <w:rsid w:val="00C262BF"/>
    <w:rsid w:val="00C435F3"/>
    <w:rsid w:val="00C55A26"/>
    <w:rsid w:val="00C651EB"/>
    <w:rsid w:val="00C7764A"/>
    <w:rsid w:val="00C84DC6"/>
    <w:rsid w:val="00CA570A"/>
    <w:rsid w:val="00CC22F1"/>
    <w:rsid w:val="00CC69C1"/>
    <w:rsid w:val="00CD0CAC"/>
    <w:rsid w:val="00CD243F"/>
    <w:rsid w:val="00CD4771"/>
    <w:rsid w:val="00CE34F2"/>
    <w:rsid w:val="00CE73D6"/>
    <w:rsid w:val="00D0172F"/>
    <w:rsid w:val="00D12C11"/>
    <w:rsid w:val="00D20328"/>
    <w:rsid w:val="00D3295F"/>
    <w:rsid w:val="00D33A0C"/>
    <w:rsid w:val="00D36DD8"/>
    <w:rsid w:val="00D53DDA"/>
    <w:rsid w:val="00D54908"/>
    <w:rsid w:val="00D63034"/>
    <w:rsid w:val="00D64D9D"/>
    <w:rsid w:val="00DA1421"/>
    <w:rsid w:val="00DB439A"/>
    <w:rsid w:val="00DC1F86"/>
    <w:rsid w:val="00DC3DD6"/>
    <w:rsid w:val="00DC60A7"/>
    <w:rsid w:val="00DC6E9F"/>
    <w:rsid w:val="00DD1427"/>
    <w:rsid w:val="00DD56BF"/>
    <w:rsid w:val="00E35AB6"/>
    <w:rsid w:val="00E536D3"/>
    <w:rsid w:val="00E67DC6"/>
    <w:rsid w:val="00E710BD"/>
    <w:rsid w:val="00E8638F"/>
    <w:rsid w:val="00E91437"/>
    <w:rsid w:val="00EA35C4"/>
    <w:rsid w:val="00EB277B"/>
    <w:rsid w:val="00EC6ECC"/>
    <w:rsid w:val="00F34782"/>
    <w:rsid w:val="00F540E2"/>
    <w:rsid w:val="00F56CFE"/>
    <w:rsid w:val="00F61D9D"/>
    <w:rsid w:val="00F746B7"/>
    <w:rsid w:val="00F844DD"/>
    <w:rsid w:val="00F8660C"/>
    <w:rsid w:val="00F95D00"/>
    <w:rsid w:val="00F95DDA"/>
    <w:rsid w:val="00FA5146"/>
    <w:rsid w:val="00FB5495"/>
    <w:rsid w:val="00FC0151"/>
    <w:rsid w:val="00FD220D"/>
    <w:rsid w:val="00FE5078"/>
    <w:rsid w:val="00FF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qFormat/>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semiHidden/>
    <w:rsid w:val="001D51AC"/>
    <w:rPr>
      <w:rFonts w:ascii="Arial" w:hAnsi="Arial" w:cs="Arial"/>
      <w:sz w:val="20"/>
      <w:szCs w:val="20"/>
    </w:rPr>
  </w:style>
  <w:style w:type="character" w:customStyle="1" w:styleId="BodyText3Char">
    <w:name w:val="Body Text 3 Char"/>
    <w:basedOn w:val="DefaultParagraphFont"/>
    <w:link w:val="BodyText3"/>
    <w:semiHidden/>
    <w:rsid w:val="001D51AC"/>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925265756">
      <w:bodyDiv w:val="1"/>
      <w:marLeft w:val="0"/>
      <w:marRight w:val="0"/>
      <w:marTop w:val="0"/>
      <w:marBottom w:val="0"/>
      <w:divBdr>
        <w:top w:val="none" w:sz="0" w:space="0" w:color="auto"/>
        <w:left w:val="none" w:sz="0" w:space="0" w:color="auto"/>
        <w:bottom w:val="none" w:sz="0" w:space="0" w:color="auto"/>
        <w:right w:val="none" w:sz="0" w:space="0" w:color="auto"/>
      </w:divBdr>
      <w:divsChild>
        <w:div w:id="279609194">
          <w:marLeft w:val="0"/>
          <w:marRight w:val="0"/>
          <w:marTop w:val="0"/>
          <w:marBottom w:val="0"/>
          <w:divBdr>
            <w:top w:val="none" w:sz="0" w:space="0" w:color="auto"/>
            <w:left w:val="none" w:sz="0" w:space="0" w:color="auto"/>
            <w:bottom w:val="none" w:sz="0" w:space="0" w:color="auto"/>
            <w:right w:val="none" w:sz="0" w:space="0" w:color="auto"/>
          </w:divBdr>
          <w:divsChild>
            <w:div w:id="1071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27">
      <w:bodyDiv w:val="1"/>
      <w:marLeft w:val="0"/>
      <w:marRight w:val="0"/>
      <w:marTop w:val="0"/>
      <w:marBottom w:val="0"/>
      <w:divBdr>
        <w:top w:val="none" w:sz="0" w:space="0" w:color="auto"/>
        <w:left w:val="none" w:sz="0" w:space="0" w:color="auto"/>
        <w:bottom w:val="none" w:sz="0" w:space="0" w:color="auto"/>
        <w:right w:val="none" w:sz="0" w:space="0" w:color="auto"/>
      </w:divBdr>
      <w:divsChild>
        <w:div w:id="351567435">
          <w:marLeft w:val="0"/>
          <w:marRight w:val="0"/>
          <w:marTop w:val="0"/>
          <w:marBottom w:val="0"/>
          <w:divBdr>
            <w:top w:val="none" w:sz="0" w:space="0" w:color="auto"/>
            <w:left w:val="none" w:sz="0" w:space="0" w:color="auto"/>
            <w:bottom w:val="none" w:sz="0" w:space="0" w:color="auto"/>
            <w:right w:val="none" w:sz="0" w:space="0" w:color="auto"/>
          </w:divBdr>
          <w:divsChild>
            <w:div w:id="7507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FD80-E178-4D48-87E1-4D8645353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11</cp:revision>
  <dcterms:created xsi:type="dcterms:W3CDTF">2021-07-15T18:17:00Z</dcterms:created>
  <dcterms:modified xsi:type="dcterms:W3CDTF">2021-07-15T22:04:00Z</dcterms:modified>
</cp:coreProperties>
</file>