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96948" w14:textId="7072CFC6" w:rsidR="002A34C7" w:rsidRPr="00635A27" w:rsidRDefault="002A34C7" w:rsidP="00DC43AE">
      <w:pPr>
        <w:pStyle w:val="Footer"/>
        <w:spacing w:after="120"/>
        <w:rPr>
          <w:rFonts w:ascii="Arial" w:hAnsi="Arial" w:cs="Arial"/>
          <w:sz w:val="20"/>
          <w:szCs w:val="20"/>
        </w:rPr>
      </w:pPr>
      <w:r w:rsidRPr="00635A27">
        <w:rPr>
          <w:rFonts w:ascii="Arial" w:hAnsi="Arial" w:cs="Arial"/>
          <w:bCs/>
          <w:sz w:val="20"/>
          <w:szCs w:val="20"/>
        </w:rPr>
        <w:t>This Schedule</w:t>
      </w:r>
      <w:r w:rsidR="00EB5349">
        <w:rPr>
          <w:rFonts w:ascii="Arial" w:hAnsi="Arial" w:cs="Arial"/>
          <w:bCs/>
          <w:sz w:val="20"/>
          <w:szCs w:val="20"/>
        </w:rPr>
        <w:t xml:space="preserve"> #</w:t>
      </w:r>
      <w:r w:rsidR="00A37439" w:rsidRPr="00A37439">
        <w:rPr>
          <w:rFonts w:ascii="Arial" w:hAnsi="Arial" w:cs="Arial"/>
          <w:bCs/>
          <w:sz w:val="20"/>
          <w:szCs w:val="20"/>
        </w:rPr>
        <w:t>{{ScheduleId}}</w:t>
      </w:r>
      <w:r w:rsidR="00A37439">
        <w:rPr>
          <w:rFonts w:ascii="Arial" w:hAnsi="Arial" w:cs="Arial"/>
          <w:bCs/>
          <w:sz w:val="20"/>
          <w:szCs w:val="20"/>
        </w:rPr>
        <w:t xml:space="preserve"> </w:t>
      </w:r>
      <w:r w:rsidRPr="00635A27">
        <w:rPr>
          <w:rFonts w:ascii="Arial" w:hAnsi="Arial" w:cs="Arial"/>
          <w:sz w:val="20"/>
          <w:szCs w:val="20"/>
        </w:rPr>
        <w:t xml:space="preserve">to the Frontier Services Agreement dated </w:t>
      </w:r>
      <w:r w:rsidR="00EA7B06" w:rsidRPr="00EA7B06">
        <w:rPr>
          <w:rFonts w:ascii="Arial" w:eastAsia="MS Mincho" w:hAnsi="Arial" w:cs="Arial"/>
          <w:sz w:val="20"/>
          <w:szCs w:val="20"/>
        </w:rPr>
        <w:t>{{</w:t>
      </w:r>
      <w:proofErr w:type="spellStart"/>
      <w:r w:rsidR="00EA7B06" w:rsidRPr="00EA7B06">
        <w:rPr>
          <w:rFonts w:ascii="Arial" w:eastAsia="MS Mincho" w:hAnsi="Arial" w:cs="Arial"/>
          <w:sz w:val="20"/>
          <w:szCs w:val="20"/>
        </w:rPr>
        <w:t>FSA_StartDate</w:t>
      </w:r>
      <w:proofErr w:type="spellEnd"/>
      <w:r w:rsidR="00EA7B06" w:rsidRPr="00EA7B06">
        <w:rPr>
          <w:rFonts w:ascii="Arial" w:eastAsia="MS Mincho" w:hAnsi="Arial" w:cs="Arial"/>
          <w:sz w:val="20"/>
          <w:szCs w:val="20"/>
        </w:rPr>
        <w:t>}}</w:t>
      </w:r>
      <w:r w:rsidRPr="00635A27">
        <w:rPr>
          <w:rFonts w:ascii="Arial" w:hAnsi="Arial" w:cs="Arial"/>
          <w:sz w:val="20"/>
          <w:szCs w:val="20"/>
        </w:rPr>
        <w:t xml:space="preserve"> between </w:t>
      </w:r>
      <w:r w:rsidR="005F1BDB">
        <w:rPr>
          <w:rFonts w:ascii="Arial" w:hAnsi="Arial" w:cs="Arial"/>
          <w:sz w:val="20"/>
          <w:szCs w:val="20"/>
        </w:rPr>
        <w:t>{{</w:t>
      </w:r>
      <w:proofErr w:type="spellStart"/>
      <w:r w:rsidR="005F1BDB">
        <w:rPr>
          <w:rFonts w:ascii="Arial" w:hAnsi="Arial" w:cs="Arial"/>
          <w:sz w:val="20"/>
          <w:szCs w:val="20"/>
        </w:rPr>
        <w:t>Subscriber_Name</w:t>
      </w:r>
      <w:proofErr w:type="spellEnd"/>
      <w:r w:rsidR="005F1BDB">
        <w:rPr>
          <w:rFonts w:ascii="Arial" w:hAnsi="Arial" w:cs="Arial"/>
          <w:sz w:val="20"/>
          <w:szCs w:val="20"/>
        </w:rPr>
        <w:t>}}</w:t>
      </w:r>
      <w:r w:rsidR="00EA7B06" w:rsidRPr="00EA7B06">
        <w:rPr>
          <w:rFonts w:ascii="Arial" w:hAnsi="Arial" w:cs="Arial"/>
          <w:sz w:val="20"/>
          <w:szCs w:val="20"/>
        </w:rPr>
        <w:t xml:space="preserve"> </w:t>
      </w:r>
      <w:r w:rsidR="00EB5349">
        <w:rPr>
          <w:rFonts w:ascii="Arial" w:hAnsi="Arial" w:cs="Arial"/>
          <w:sz w:val="20"/>
          <w:szCs w:val="20"/>
        </w:rPr>
        <w:t>(“</w:t>
      </w:r>
      <w:r w:rsidRPr="00D87B09">
        <w:rPr>
          <w:rFonts w:ascii="Arial" w:hAnsi="Arial" w:cs="Arial"/>
          <w:b/>
          <w:sz w:val="20"/>
          <w:szCs w:val="20"/>
        </w:rPr>
        <w:t>Customer</w:t>
      </w:r>
      <w:r w:rsidR="00EB5349">
        <w:rPr>
          <w:rFonts w:ascii="Arial" w:hAnsi="Arial" w:cs="Arial"/>
          <w:sz w:val="20"/>
          <w:szCs w:val="20"/>
        </w:rPr>
        <w:t>”)</w:t>
      </w:r>
      <w:r w:rsidRPr="00635A27">
        <w:rPr>
          <w:rFonts w:ascii="Arial" w:hAnsi="Arial" w:cs="Arial"/>
          <w:sz w:val="20"/>
          <w:szCs w:val="20"/>
        </w:rPr>
        <w:t xml:space="preserve"> and </w:t>
      </w:r>
      <w:r w:rsidRPr="00635A27">
        <w:rPr>
          <w:rFonts w:ascii="Arial" w:hAnsi="Arial" w:cs="Arial"/>
          <w:bCs/>
          <w:sz w:val="20"/>
          <w:szCs w:val="20"/>
        </w:rPr>
        <w:t>Frontier</w:t>
      </w:r>
      <w:r w:rsidRPr="00635A27">
        <w:rPr>
          <w:rFonts w:ascii="Arial" w:hAnsi="Arial" w:cs="Arial"/>
          <w:sz w:val="20"/>
          <w:szCs w:val="20"/>
        </w:rPr>
        <w:t xml:space="preserve">.  This Schedule is dated </w:t>
      </w:r>
      <w:r w:rsidR="00A37439" w:rsidRPr="00A37439">
        <w:rPr>
          <w:rFonts w:ascii="Arial" w:hAnsi="Arial" w:cs="Arial"/>
          <w:sz w:val="20"/>
          <w:szCs w:val="20"/>
        </w:rPr>
        <w:t>{{Effective_Date}}</w:t>
      </w:r>
      <w:r w:rsidR="00CF0C17" w:rsidRPr="007804C9">
        <w:rPr>
          <w:rFonts w:ascii="Arial" w:eastAsia="MS Mincho" w:hAnsi="Arial" w:cs="Arial"/>
          <w:sz w:val="20"/>
          <w:szCs w:val="20"/>
        </w:rPr>
        <w:t xml:space="preserve"> (the “</w:t>
      </w:r>
      <w:r w:rsidR="00CF0C17" w:rsidRPr="00D87B09">
        <w:rPr>
          <w:rFonts w:ascii="Arial" w:eastAsia="MS Mincho" w:hAnsi="Arial" w:cs="Arial"/>
          <w:b/>
          <w:sz w:val="20"/>
          <w:szCs w:val="20"/>
        </w:rPr>
        <w:t>Schedule Effective Date</w:t>
      </w:r>
      <w:r w:rsidR="00CF0C17" w:rsidRPr="007804C9">
        <w:rPr>
          <w:rFonts w:ascii="Arial" w:eastAsia="MS Mincho" w:hAnsi="Arial" w:cs="Arial"/>
          <w:sz w:val="20"/>
          <w:szCs w:val="20"/>
        </w:rPr>
        <w:t>”)</w:t>
      </w:r>
      <w:r w:rsidRPr="00635A27">
        <w:rPr>
          <w:rFonts w:ascii="Arial" w:hAnsi="Arial" w:cs="Arial"/>
          <w:sz w:val="20"/>
          <w:szCs w:val="20"/>
        </w:rPr>
        <w:t xml:space="preserve">.  Customer orders and Frontier agrees to provide the Services listed below executed by Customer.  </w:t>
      </w:r>
    </w:p>
    <w:p w14:paraId="3AE9694A" w14:textId="0E238BFB" w:rsidR="00537476" w:rsidRPr="00D87B09" w:rsidRDefault="000D6B77" w:rsidP="002C41D9">
      <w:pPr>
        <w:tabs>
          <w:tab w:val="left" w:pos="4320"/>
        </w:tabs>
        <w:jc w:val="center"/>
        <w:rPr>
          <w:rFonts w:ascii="Arial" w:hAnsi="Arial" w:cs="Arial"/>
          <w:b/>
          <w:noProof/>
          <w:sz w:val="32"/>
          <w:szCs w:val="32"/>
        </w:rPr>
      </w:pPr>
      <w:r w:rsidRPr="00D87B09">
        <w:rPr>
          <w:rFonts w:ascii="Arial" w:hAnsi="Arial" w:cs="Arial"/>
          <w:b/>
          <w:noProof/>
          <w:sz w:val="32"/>
          <w:szCs w:val="32"/>
        </w:rPr>
        <w:t>Frontier 10Gigabit</w:t>
      </w:r>
      <w:r w:rsidR="00935065" w:rsidRPr="00D87B09">
        <w:rPr>
          <w:rFonts w:ascii="Arial" w:hAnsi="Arial" w:cs="Arial"/>
          <w:b/>
          <w:noProof/>
          <w:sz w:val="32"/>
          <w:szCs w:val="32"/>
        </w:rPr>
        <w:t xml:space="preserve"> and</w:t>
      </w:r>
    </w:p>
    <w:p w14:paraId="3AE9694B" w14:textId="77777777" w:rsidR="002A34C7" w:rsidRPr="00D87B09" w:rsidRDefault="003178DF" w:rsidP="002C41D9">
      <w:pPr>
        <w:tabs>
          <w:tab w:val="left" w:pos="4320"/>
        </w:tabs>
        <w:jc w:val="center"/>
        <w:rPr>
          <w:rFonts w:ascii="Arial" w:hAnsi="Arial" w:cs="Arial"/>
          <w:b/>
          <w:noProof/>
          <w:sz w:val="32"/>
          <w:szCs w:val="32"/>
        </w:rPr>
      </w:pPr>
      <w:r w:rsidRPr="00D87B09">
        <w:rPr>
          <w:rFonts w:ascii="Arial" w:hAnsi="Arial" w:cs="Arial"/>
          <w:b/>
          <w:noProof/>
          <w:sz w:val="32"/>
          <w:szCs w:val="32"/>
        </w:rPr>
        <w:t>100Gigabit</w:t>
      </w:r>
      <w:r w:rsidR="000D6B77" w:rsidRPr="00D87B09">
        <w:rPr>
          <w:rFonts w:ascii="Arial" w:hAnsi="Arial" w:cs="Arial"/>
          <w:b/>
          <w:noProof/>
          <w:sz w:val="32"/>
          <w:szCs w:val="32"/>
        </w:rPr>
        <w:t xml:space="preserve"> Optical Transport Service</w:t>
      </w:r>
    </w:p>
    <w:p w14:paraId="3AE9694C" w14:textId="77777777" w:rsidR="002A34C7" w:rsidRPr="003461C2" w:rsidRDefault="002A34C7" w:rsidP="002C41D9">
      <w:pPr>
        <w:tabs>
          <w:tab w:val="left" w:pos="4320"/>
        </w:tabs>
        <w:jc w:val="center"/>
        <w:rPr>
          <w:rFonts w:ascii="Arial" w:hAnsi="Arial" w:cs="Arial"/>
          <w:noProof/>
          <w:sz w:val="32"/>
          <w:szCs w:val="32"/>
        </w:rPr>
      </w:pPr>
      <w:r w:rsidRPr="00D87B09">
        <w:rPr>
          <w:rFonts w:ascii="Arial" w:hAnsi="Arial" w:cs="Arial"/>
          <w:b/>
          <w:noProof/>
          <w:sz w:val="32"/>
          <w:szCs w:val="32"/>
        </w:rPr>
        <w:t>Service Schedule (</w:t>
      </w:r>
      <w:r w:rsidRPr="00EB5349">
        <w:rPr>
          <w:rFonts w:ascii="Arial" w:hAnsi="Arial" w:cs="Arial"/>
          <w:b/>
          <w:noProof/>
          <w:sz w:val="32"/>
          <w:szCs w:val="32"/>
        </w:rPr>
        <w:t>Service Reference</w:t>
      </w:r>
      <w:r w:rsidRPr="00D87B09">
        <w:rPr>
          <w:rFonts w:ascii="Arial" w:hAnsi="Arial" w:cs="Arial"/>
          <w:b/>
          <w:noProof/>
          <w:sz w:val="32"/>
          <w:szCs w:val="32"/>
        </w:rPr>
        <w:t>)</w:t>
      </w:r>
    </w:p>
    <w:p w14:paraId="3AE9694F" w14:textId="6D586AC1" w:rsidR="002A34C7" w:rsidRPr="00D87B09" w:rsidRDefault="002A34C7" w:rsidP="00DC43AE">
      <w:pPr>
        <w:spacing w:after="120"/>
        <w:rPr>
          <w:rFonts w:ascii="Arial" w:hAnsi="Arial" w:cs="Arial"/>
        </w:rPr>
      </w:pPr>
      <w:r w:rsidRPr="00D87B09">
        <w:rPr>
          <w:rFonts w:ascii="Arial" w:hAnsi="Arial" w:cs="Arial"/>
        </w:rPr>
        <w:t>Operational Provisions</w:t>
      </w:r>
    </w:p>
    <w:p w14:paraId="3AE96950" w14:textId="77777777" w:rsidR="002A34C7" w:rsidRPr="00D87B09" w:rsidRDefault="002A34C7" w:rsidP="00DC43AE">
      <w:pPr>
        <w:numPr>
          <w:ilvl w:val="0"/>
          <w:numId w:val="16"/>
        </w:numPr>
        <w:spacing w:after="120"/>
        <w:rPr>
          <w:rFonts w:ascii="Arial" w:hAnsi="Arial" w:cs="Arial"/>
          <w:b/>
          <w:sz w:val="20"/>
          <w:szCs w:val="20"/>
        </w:rPr>
      </w:pPr>
      <w:r w:rsidRPr="00D87B09">
        <w:rPr>
          <w:rFonts w:ascii="Arial" w:hAnsi="Arial" w:cs="Arial"/>
          <w:b/>
          <w:sz w:val="20"/>
          <w:szCs w:val="20"/>
        </w:rPr>
        <w:t>The Service</w:t>
      </w:r>
    </w:p>
    <w:p w14:paraId="3AE96951" w14:textId="1D381FF7" w:rsidR="002A34C7" w:rsidRPr="00127ABE" w:rsidRDefault="002A34C7" w:rsidP="003461C2">
      <w:pPr>
        <w:numPr>
          <w:ilvl w:val="1"/>
          <w:numId w:val="16"/>
        </w:numPr>
        <w:spacing w:after="120"/>
        <w:rPr>
          <w:rFonts w:ascii="Arial" w:hAnsi="Arial" w:cs="Arial"/>
          <w:sz w:val="20"/>
          <w:szCs w:val="20"/>
        </w:rPr>
      </w:pPr>
      <w:r w:rsidRPr="00127ABE">
        <w:rPr>
          <w:rFonts w:ascii="Arial" w:hAnsi="Arial" w:cs="Arial"/>
          <w:sz w:val="20"/>
          <w:szCs w:val="20"/>
        </w:rPr>
        <w:t xml:space="preserve">This Service Schedule (Service Reference) is for the supply of </w:t>
      </w:r>
      <w:r w:rsidR="000D6B77" w:rsidRPr="00127ABE">
        <w:rPr>
          <w:rFonts w:ascii="Arial" w:hAnsi="Arial" w:cs="Arial"/>
          <w:sz w:val="20"/>
          <w:szCs w:val="20"/>
        </w:rPr>
        <w:t xml:space="preserve">10Gigabit </w:t>
      </w:r>
      <w:r w:rsidR="00537476">
        <w:rPr>
          <w:rFonts w:ascii="Arial" w:hAnsi="Arial" w:cs="Arial"/>
          <w:sz w:val="20"/>
          <w:szCs w:val="20"/>
        </w:rPr>
        <w:t xml:space="preserve">and 100Gigabit </w:t>
      </w:r>
      <w:r w:rsidR="000D6B77" w:rsidRPr="00127ABE">
        <w:rPr>
          <w:rFonts w:ascii="Arial" w:hAnsi="Arial" w:cs="Arial"/>
          <w:sz w:val="20"/>
          <w:szCs w:val="20"/>
        </w:rPr>
        <w:t>Optical Transport Services</w:t>
      </w:r>
      <w:r w:rsidRPr="00127ABE">
        <w:rPr>
          <w:rFonts w:ascii="Arial" w:hAnsi="Arial" w:cs="Arial"/>
          <w:sz w:val="20"/>
          <w:szCs w:val="20"/>
        </w:rPr>
        <w:t xml:space="preserve"> for Customers who have executed a Frontier Service</w:t>
      </w:r>
      <w:r w:rsidR="002C41D9">
        <w:rPr>
          <w:rFonts w:ascii="Arial" w:hAnsi="Arial" w:cs="Arial"/>
          <w:sz w:val="20"/>
          <w:szCs w:val="20"/>
        </w:rPr>
        <w:t>s</w:t>
      </w:r>
      <w:r w:rsidRPr="00127ABE">
        <w:rPr>
          <w:rFonts w:ascii="Arial" w:hAnsi="Arial" w:cs="Arial"/>
          <w:sz w:val="20"/>
          <w:szCs w:val="20"/>
        </w:rPr>
        <w:t xml:space="preserve"> Agreement (</w:t>
      </w:r>
      <w:r w:rsidR="002C41D9">
        <w:rPr>
          <w:rFonts w:ascii="Arial" w:hAnsi="Arial" w:cs="Arial"/>
          <w:sz w:val="20"/>
          <w:szCs w:val="20"/>
        </w:rPr>
        <w:t>“</w:t>
      </w:r>
      <w:r w:rsidRPr="00D87B09">
        <w:rPr>
          <w:rFonts w:ascii="Arial" w:hAnsi="Arial" w:cs="Arial"/>
          <w:b/>
          <w:sz w:val="20"/>
          <w:szCs w:val="20"/>
        </w:rPr>
        <w:t>FSA</w:t>
      </w:r>
      <w:r w:rsidR="002C41D9">
        <w:rPr>
          <w:rFonts w:ascii="Arial" w:hAnsi="Arial" w:cs="Arial"/>
          <w:sz w:val="20"/>
          <w:szCs w:val="20"/>
        </w:rPr>
        <w:t>”</w:t>
      </w:r>
      <w:r w:rsidRPr="00127ABE">
        <w:rPr>
          <w:rFonts w:ascii="Arial" w:hAnsi="Arial" w:cs="Arial"/>
          <w:sz w:val="20"/>
          <w:szCs w:val="20"/>
        </w:rPr>
        <w:t>) and Non – Disclosure Agreement (</w:t>
      </w:r>
      <w:r w:rsidR="00342F23">
        <w:rPr>
          <w:rFonts w:ascii="Arial" w:hAnsi="Arial" w:cs="Arial"/>
          <w:sz w:val="20"/>
          <w:szCs w:val="20"/>
        </w:rPr>
        <w:t>“</w:t>
      </w:r>
      <w:r w:rsidRPr="00D87B09">
        <w:rPr>
          <w:rFonts w:ascii="Arial" w:hAnsi="Arial" w:cs="Arial"/>
          <w:b/>
          <w:sz w:val="20"/>
          <w:szCs w:val="20"/>
        </w:rPr>
        <w:t>NDA</w:t>
      </w:r>
      <w:r w:rsidR="00342F23">
        <w:rPr>
          <w:rFonts w:ascii="Arial" w:hAnsi="Arial" w:cs="Arial"/>
          <w:sz w:val="20"/>
          <w:szCs w:val="20"/>
        </w:rPr>
        <w:t>”</w:t>
      </w:r>
      <w:r w:rsidRPr="00127ABE">
        <w:rPr>
          <w:rFonts w:ascii="Arial" w:hAnsi="Arial" w:cs="Arial"/>
          <w:sz w:val="20"/>
          <w:szCs w:val="20"/>
        </w:rPr>
        <w:t>), in addition to the ability to submit Access Service Requests (</w:t>
      </w:r>
      <w:r w:rsidR="0014113A">
        <w:rPr>
          <w:rFonts w:ascii="Arial" w:hAnsi="Arial" w:cs="Arial"/>
          <w:sz w:val="20"/>
          <w:szCs w:val="20"/>
        </w:rPr>
        <w:t>“</w:t>
      </w:r>
      <w:r w:rsidRPr="00D87B09">
        <w:rPr>
          <w:rFonts w:ascii="Arial" w:hAnsi="Arial" w:cs="Arial"/>
          <w:b/>
          <w:sz w:val="20"/>
          <w:szCs w:val="20"/>
        </w:rPr>
        <w:t>ASRs</w:t>
      </w:r>
      <w:r w:rsidR="0014113A">
        <w:rPr>
          <w:rFonts w:ascii="Arial" w:hAnsi="Arial" w:cs="Arial"/>
          <w:sz w:val="20"/>
          <w:szCs w:val="20"/>
        </w:rPr>
        <w:t>”</w:t>
      </w:r>
      <w:r w:rsidRPr="00127ABE">
        <w:rPr>
          <w:rFonts w:ascii="Arial" w:hAnsi="Arial" w:cs="Arial"/>
          <w:sz w:val="20"/>
          <w:szCs w:val="20"/>
        </w:rPr>
        <w:t>), commonly referred to as Service Orders via the Frontier Ordering GUI Virtual Front Office (</w:t>
      </w:r>
      <w:r w:rsidR="00342F23">
        <w:rPr>
          <w:rFonts w:ascii="Arial" w:hAnsi="Arial" w:cs="Arial"/>
          <w:sz w:val="20"/>
          <w:szCs w:val="20"/>
        </w:rPr>
        <w:t>“</w:t>
      </w:r>
      <w:r w:rsidRPr="00D87B09">
        <w:rPr>
          <w:rFonts w:ascii="Arial" w:hAnsi="Arial" w:cs="Arial"/>
          <w:b/>
          <w:sz w:val="20"/>
          <w:szCs w:val="20"/>
        </w:rPr>
        <w:t>VFO</w:t>
      </w:r>
      <w:r w:rsidR="00342F23">
        <w:rPr>
          <w:rFonts w:ascii="Arial" w:hAnsi="Arial" w:cs="Arial"/>
          <w:sz w:val="20"/>
          <w:szCs w:val="20"/>
        </w:rPr>
        <w:t>”</w:t>
      </w:r>
      <w:r w:rsidRPr="00127ABE">
        <w:rPr>
          <w:rFonts w:ascii="Arial" w:hAnsi="Arial" w:cs="Arial"/>
          <w:sz w:val="20"/>
          <w:szCs w:val="20"/>
        </w:rPr>
        <w:t xml:space="preserve">) </w:t>
      </w:r>
      <w:hyperlink r:id="rId11" w:history="1">
        <w:r w:rsidR="003314B5" w:rsidRPr="003314B5">
          <w:rPr>
            <w:rStyle w:val="Hyperlink"/>
            <w:rFonts w:ascii="Arial" w:hAnsi="Arial" w:cs="Arial"/>
            <w:sz w:val="20"/>
            <w:szCs w:val="20"/>
          </w:rPr>
          <w:t>https://wholesale.frontier.com/wholesale/systems-and-online-tools/connectivity-and-e-bonding</w:t>
        </w:r>
      </w:hyperlink>
      <w:r w:rsidRPr="003314B5">
        <w:rPr>
          <w:rFonts w:ascii="Arial" w:hAnsi="Arial" w:cs="Arial"/>
          <w:sz w:val="20"/>
          <w:szCs w:val="20"/>
        </w:rPr>
        <w:t xml:space="preserve">. </w:t>
      </w:r>
      <w:r w:rsidR="00DC43AE" w:rsidRPr="003314B5">
        <w:rPr>
          <w:rFonts w:ascii="Arial" w:hAnsi="Arial" w:cs="Arial"/>
          <w:sz w:val="20"/>
          <w:szCs w:val="20"/>
        </w:rPr>
        <w:t xml:space="preserve"> </w:t>
      </w:r>
      <w:r w:rsidRPr="003314B5">
        <w:rPr>
          <w:rFonts w:ascii="Arial" w:hAnsi="Arial" w:cs="Arial"/>
          <w:sz w:val="20"/>
          <w:szCs w:val="20"/>
        </w:rPr>
        <w:t>T</w:t>
      </w:r>
      <w:r w:rsidRPr="00127ABE">
        <w:rPr>
          <w:rFonts w:ascii="Arial" w:hAnsi="Arial" w:cs="Arial"/>
          <w:sz w:val="20"/>
          <w:szCs w:val="20"/>
        </w:rPr>
        <w:t xml:space="preserve">his will apply to the first and any subsequent Service Orders throughout the lifecycle of an effective </w:t>
      </w:r>
      <w:r w:rsidR="002C41D9">
        <w:rPr>
          <w:rFonts w:ascii="Arial" w:hAnsi="Arial" w:cs="Arial"/>
          <w:sz w:val="20"/>
          <w:szCs w:val="20"/>
        </w:rPr>
        <w:t>FSA</w:t>
      </w:r>
      <w:r w:rsidRPr="00127ABE">
        <w:rPr>
          <w:rFonts w:ascii="Arial" w:hAnsi="Arial" w:cs="Arial"/>
          <w:sz w:val="20"/>
          <w:szCs w:val="20"/>
        </w:rPr>
        <w:t xml:space="preserve"> unless alternative configurations are necessary outside of the standard configurations as described in Section </w:t>
      </w:r>
      <w:r w:rsidR="00DF4D33" w:rsidRPr="00127ABE">
        <w:rPr>
          <w:rFonts w:ascii="Arial" w:hAnsi="Arial" w:cs="Arial"/>
          <w:sz w:val="20"/>
          <w:szCs w:val="20"/>
        </w:rPr>
        <w:t>2</w:t>
      </w:r>
      <w:r w:rsidRPr="00127ABE">
        <w:rPr>
          <w:rFonts w:ascii="Arial" w:hAnsi="Arial" w:cs="Arial"/>
          <w:sz w:val="20"/>
          <w:szCs w:val="20"/>
        </w:rPr>
        <w:t>, therefore resulting in the need to pursue a separate amendment.</w:t>
      </w:r>
    </w:p>
    <w:p w14:paraId="3AE96952" w14:textId="77777777" w:rsidR="002A34C7" w:rsidRPr="00127ABE" w:rsidRDefault="002A34C7" w:rsidP="00DC43AE">
      <w:pPr>
        <w:numPr>
          <w:ilvl w:val="0"/>
          <w:numId w:val="16"/>
        </w:numPr>
        <w:spacing w:after="120"/>
        <w:rPr>
          <w:rFonts w:ascii="Arial" w:hAnsi="Arial" w:cs="Arial"/>
          <w:sz w:val="20"/>
          <w:szCs w:val="20"/>
        </w:rPr>
      </w:pPr>
      <w:r w:rsidRPr="00127ABE">
        <w:rPr>
          <w:rFonts w:ascii="Arial" w:hAnsi="Arial" w:cs="Arial"/>
          <w:sz w:val="20"/>
          <w:szCs w:val="20"/>
        </w:rPr>
        <w:t>Service Description</w:t>
      </w:r>
    </w:p>
    <w:p w14:paraId="3AE96953" w14:textId="55E1F650" w:rsidR="002A34C7" w:rsidRPr="00127ABE" w:rsidRDefault="000D6B77" w:rsidP="00DC43AE">
      <w:pPr>
        <w:numPr>
          <w:ilvl w:val="1"/>
          <w:numId w:val="16"/>
        </w:numPr>
        <w:spacing w:after="120"/>
        <w:rPr>
          <w:rFonts w:ascii="Arial" w:hAnsi="Arial" w:cs="Arial"/>
          <w:sz w:val="20"/>
          <w:szCs w:val="20"/>
        </w:rPr>
      </w:pPr>
      <w:r w:rsidRPr="00127ABE">
        <w:rPr>
          <w:rFonts w:ascii="Arial" w:hAnsi="Arial" w:cs="Arial"/>
          <w:sz w:val="20"/>
          <w:szCs w:val="20"/>
        </w:rPr>
        <w:t>10Gigabit</w:t>
      </w:r>
      <w:r w:rsidR="003178DF">
        <w:rPr>
          <w:rFonts w:ascii="Arial" w:hAnsi="Arial" w:cs="Arial"/>
          <w:sz w:val="20"/>
          <w:szCs w:val="20"/>
        </w:rPr>
        <w:t xml:space="preserve"> and 100Gigabit </w:t>
      </w:r>
      <w:r w:rsidR="003178DF" w:rsidRPr="00127ABE">
        <w:rPr>
          <w:rFonts w:ascii="Arial" w:hAnsi="Arial" w:cs="Arial"/>
          <w:sz w:val="20"/>
          <w:szCs w:val="20"/>
        </w:rPr>
        <w:t>Optical</w:t>
      </w:r>
      <w:r w:rsidRPr="00127ABE">
        <w:rPr>
          <w:rFonts w:ascii="Arial" w:hAnsi="Arial" w:cs="Arial"/>
          <w:sz w:val="20"/>
          <w:szCs w:val="20"/>
        </w:rPr>
        <w:t xml:space="preserve"> Transport Services is an</w:t>
      </w:r>
      <w:r w:rsidR="00DA2971">
        <w:rPr>
          <w:rFonts w:ascii="Arial" w:hAnsi="Arial" w:cs="Arial"/>
          <w:sz w:val="20"/>
          <w:szCs w:val="20"/>
        </w:rPr>
        <w:t xml:space="preserve"> intraLATA/intrastate</w:t>
      </w:r>
      <w:r w:rsidR="00F33849">
        <w:rPr>
          <w:rStyle w:val="FootnoteReference"/>
          <w:rFonts w:ascii="Arial" w:hAnsi="Arial" w:cs="Arial"/>
          <w:sz w:val="20"/>
          <w:szCs w:val="20"/>
        </w:rPr>
        <w:footnoteReference w:id="1"/>
      </w:r>
      <w:r w:rsidR="002A34C7" w:rsidRPr="00127ABE">
        <w:rPr>
          <w:rFonts w:ascii="Arial" w:hAnsi="Arial" w:cs="Arial"/>
          <w:sz w:val="20"/>
          <w:szCs w:val="20"/>
        </w:rPr>
        <w:t xml:space="preserve">, point-to-point </w:t>
      </w:r>
      <w:r w:rsidR="003C64AD" w:rsidRPr="00127ABE">
        <w:rPr>
          <w:rFonts w:ascii="Arial" w:hAnsi="Arial" w:cs="Arial"/>
          <w:sz w:val="20"/>
          <w:szCs w:val="20"/>
        </w:rPr>
        <w:t xml:space="preserve">dedicated </w:t>
      </w:r>
      <w:r w:rsidRPr="00127ABE">
        <w:rPr>
          <w:rFonts w:ascii="Arial" w:hAnsi="Arial" w:cs="Arial"/>
          <w:sz w:val="20"/>
          <w:szCs w:val="20"/>
        </w:rPr>
        <w:t>wavelength</w:t>
      </w:r>
      <w:r w:rsidR="002A34C7" w:rsidRPr="00127ABE">
        <w:rPr>
          <w:rFonts w:ascii="Arial" w:hAnsi="Arial" w:cs="Arial"/>
          <w:sz w:val="20"/>
          <w:szCs w:val="20"/>
        </w:rPr>
        <w:t xml:space="preserve"> service for the use of transporting data signals between a Customers </w:t>
      </w:r>
      <w:r w:rsidRPr="00127ABE">
        <w:rPr>
          <w:rFonts w:ascii="Arial" w:hAnsi="Arial" w:cs="Arial"/>
          <w:sz w:val="20"/>
          <w:szCs w:val="20"/>
        </w:rPr>
        <w:t>chosen point</w:t>
      </w:r>
      <w:r w:rsidR="0073080B">
        <w:rPr>
          <w:rFonts w:ascii="Arial" w:hAnsi="Arial" w:cs="Arial"/>
          <w:sz w:val="20"/>
          <w:szCs w:val="20"/>
        </w:rPr>
        <w:t>-</w:t>
      </w:r>
      <w:r w:rsidRPr="00127ABE">
        <w:rPr>
          <w:rFonts w:ascii="Arial" w:hAnsi="Arial" w:cs="Arial"/>
          <w:sz w:val="20"/>
          <w:szCs w:val="20"/>
        </w:rPr>
        <w:t>to</w:t>
      </w:r>
      <w:r w:rsidR="0073080B">
        <w:rPr>
          <w:rFonts w:ascii="Arial" w:hAnsi="Arial" w:cs="Arial"/>
          <w:sz w:val="20"/>
          <w:szCs w:val="20"/>
        </w:rPr>
        <w:t>-</w:t>
      </w:r>
      <w:r w:rsidRPr="00127ABE">
        <w:rPr>
          <w:rFonts w:ascii="Arial" w:hAnsi="Arial" w:cs="Arial"/>
          <w:sz w:val="20"/>
          <w:szCs w:val="20"/>
        </w:rPr>
        <w:t>point design configuration</w:t>
      </w:r>
      <w:r w:rsidR="003C64AD" w:rsidRPr="00127ABE">
        <w:rPr>
          <w:rFonts w:ascii="Arial" w:hAnsi="Arial" w:cs="Arial"/>
          <w:sz w:val="20"/>
          <w:szCs w:val="20"/>
        </w:rPr>
        <w:t xml:space="preserve"> that may include collocations, </w:t>
      </w:r>
      <w:r w:rsidRPr="00127ABE">
        <w:rPr>
          <w:rFonts w:ascii="Arial" w:hAnsi="Arial" w:cs="Arial"/>
          <w:sz w:val="20"/>
          <w:szCs w:val="20"/>
        </w:rPr>
        <w:t xml:space="preserve">points of presence and or two end user premise locations where Optical Transport Services have been identified through existing capable network elements </w:t>
      </w:r>
      <w:r w:rsidR="00BC43D9" w:rsidRPr="00127ABE">
        <w:rPr>
          <w:rFonts w:ascii="Arial" w:hAnsi="Arial" w:cs="Arial"/>
          <w:sz w:val="20"/>
          <w:szCs w:val="20"/>
        </w:rPr>
        <w:t>within</w:t>
      </w:r>
      <w:r w:rsidRPr="00127ABE">
        <w:rPr>
          <w:rFonts w:ascii="Arial" w:hAnsi="Arial" w:cs="Arial"/>
          <w:sz w:val="20"/>
          <w:szCs w:val="20"/>
        </w:rPr>
        <w:t xml:space="preserve"> </w:t>
      </w:r>
      <w:r w:rsidR="00BC43D9" w:rsidRPr="00127ABE">
        <w:rPr>
          <w:rFonts w:ascii="Arial" w:hAnsi="Arial" w:cs="Arial"/>
          <w:sz w:val="20"/>
          <w:szCs w:val="20"/>
        </w:rPr>
        <w:t>Frontier</w:t>
      </w:r>
      <w:r w:rsidR="00342F23">
        <w:rPr>
          <w:rFonts w:ascii="Arial" w:hAnsi="Arial" w:cs="Arial"/>
          <w:sz w:val="20"/>
          <w:szCs w:val="20"/>
        </w:rPr>
        <w:t>’</w:t>
      </w:r>
      <w:r w:rsidR="003C64AD" w:rsidRPr="00127ABE">
        <w:rPr>
          <w:rFonts w:ascii="Arial" w:hAnsi="Arial" w:cs="Arial"/>
          <w:sz w:val="20"/>
          <w:szCs w:val="20"/>
        </w:rPr>
        <w:t>s</w:t>
      </w:r>
      <w:r w:rsidR="00BC43D9" w:rsidRPr="00127ABE">
        <w:rPr>
          <w:rFonts w:ascii="Arial" w:hAnsi="Arial" w:cs="Arial"/>
          <w:sz w:val="20"/>
          <w:szCs w:val="20"/>
        </w:rPr>
        <w:t xml:space="preserve"> </w:t>
      </w:r>
      <w:r w:rsidR="003C64AD" w:rsidRPr="00127ABE">
        <w:rPr>
          <w:rFonts w:ascii="Arial" w:hAnsi="Arial" w:cs="Arial"/>
          <w:sz w:val="20"/>
          <w:szCs w:val="20"/>
        </w:rPr>
        <w:t xml:space="preserve">Shared </w:t>
      </w:r>
      <w:r w:rsidR="00BC43D9" w:rsidRPr="00127ABE">
        <w:rPr>
          <w:rFonts w:ascii="Arial" w:hAnsi="Arial" w:cs="Arial"/>
          <w:sz w:val="20"/>
          <w:szCs w:val="20"/>
        </w:rPr>
        <w:t>Serving Wire C</w:t>
      </w:r>
      <w:r w:rsidR="00D2257F" w:rsidRPr="00127ABE">
        <w:rPr>
          <w:rFonts w:ascii="Arial" w:hAnsi="Arial" w:cs="Arial"/>
          <w:sz w:val="20"/>
          <w:szCs w:val="20"/>
        </w:rPr>
        <w:t xml:space="preserve">enters as listed in Exhibit </w:t>
      </w:r>
      <w:r w:rsidR="008F0E7A">
        <w:rPr>
          <w:rFonts w:ascii="Arial" w:hAnsi="Arial" w:cs="Arial"/>
          <w:sz w:val="20"/>
          <w:szCs w:val="20"/>
        </w:rPr>
        <w:t>C</w:t>
      </w:r>
      <w:r w:rsidR="008933BF" w:rsidRPr="00127ABE">
        <w:rPr>
          <w:rFonts w:ascii="Arial" w:hAnsi="Arial" w:cs="Arial"/>
          <w:sz w:val="20"/>
          <w:szCs w:val="20"/>
        </w:rPr>
        <w:t xml:space="preserve">. </w:t>
      </w:r>
    </w:p>
    <w:p w14:paraId="3AE96954" w14:textId="264FC024" w:rsidR="003C64AD" w:rsidRPr="00127ABE" w:rsidRDefault="00BC43D9" w:rsidP="00DC43AE">
      <w:pPr>
        <w:numPr>
          <w:ilvl w:val="1"/>
          <w:numId w:val="16"/>
        </w:numPr>
        <w:spacing w:after="120"/>
        <w:rPr>
          <w:rFonts w:ascii="Arial" w:hAnsi="Arial" w:cs="Arial"/>
          <w:sz w:val="20"/>
          <w:szCs w:val="20"/>
        </w:rPr>
      </w:pPr>
      <w:r w:rsidRPr="00127ABE">
        <w:rPr>
          <w:rFonts w:ascii="Arial" w:hAnsi="Arial" w:cs="Arial"/>
          <w:sz w:val="20"/>
          <w:szCs w:val="20"/>
        </w:rPr>
        <w:t xml:space="preserve">10Gigabit </w:t>
      </w:r>
      <w:r w:rsidR="003178DF">
        <w:rPr>
          <w:rFonts w:ascii="Arial" w:hAnsi="Arial" w:cs="Arial"/>
          <w:sz w:val="20"/>
          <w:szCs w:val="20"/>
        </w:rPr>
        <w:t xml:space="preserve">and 100Gigabit </w:t>
      </w:r>
      <w:r w:rsidRPr="00127ABE">
        <w:rPr>
          <w:rFonts w:ascii="Arial" w:hAnsi="Arial" w:cs="Arial"/>
          <w:sz w:val="20"/>
          <w:szCs w:val="20"/>
        </w:rPr>
        <w:t>Optical Transport Service</w:t>
      </w:r>
      <w:r w:rsidR="002A34C7" w:rsidRPr="00127ABE">
        <w:rPr>
          <w:rFonts w:ascii="Arial" w:hAnsi="Arial" w:cs="Arial"/>
          <w:sz w:val="20"/>
          <w:szCs w:val="20"/>
        </w:rPr>
        <w:t xml:space="preserve"> will be designed, provisioned and implemented according to standard</w:t>
      </w:r>
      <w:r w:rsidR="003178DF">
        <w:rPr>
          <w:rFonts w:ascii="Arial" w:hAnsi="Arial" w:cs="Arial"/>
          <w:sz w:val="20"/>
          <w:szCs w:val="20"/>
        </w:rPr>
        <w:t xml:space="preserve"> </w:t>
      </w:r>
      <w:r w:rsidRPr="00127ABE">
        <w:rPr>
          <w:rFonts w:ascii="Arial" w:hAnsi="Arial" w:cs="Arial"/>
          <w:sz w:val="20"/>
          <w:szCs w:val="20"/>
        </w:rPr>
        <w:t>ITU-T</w:t>
      </w:r>
      <w:r w:rsidR="003C64AD" w:rsidRPr="00127ABE">
        <w:rPr>
          <w:rFonts w:ascii="Arial" w:hAnsi="Arial" w:cs="Arial"/>
          <w:sz w:val="20"/>
          <w:szCs w:val="20"/>
        </w:rPr>
        <w:t xml:space="preserve"> G.872 and </w:t>
      </w:r>
      <w:r w:rsidRPr="00127ABE">
        <w:rPr>
          <w:rFonts w:ascii="Arial" w:hAnsi="Arial" w:cs="Arial"/>
          <w:sz w:val="20"/>
          <w:szCs w:val="20"/>
        </w:rPr>
        <w:t xml:space="preserve">G.709 </w:t>
      </w:r>
      <w:r w:rsidR="003C64AD" w:rsidRPr="00127ABE">
        <w:rPr>
          <w:rFonts w:ascii="Arial" w:hAnsi="Arial" w:cs="Arial"/>
          <w:sz w:val="20"/>
          <w:szCs w:val="20"/>
        </w:rPr>
        <w:t>architecture, frame format and payload mappings</w:t>
      </w:r>
      <w:r w:rsidR="002A34C7" w:rsidRPr="00127ABE">
        <w:rPr>
          <w:rFonts w:ascii="Arial" w:hAnsi="Arial" w:cs="Arial"/>
          <w:sz w:val="20"/>
          <w:szCs w:val="20"/>
        </w:rPr>
        <w:t xml:space="preserve"> consisting of </w:t>
      </w:r>
      <w:r w:rsidR="003C64AD" w:rsidRPr="00127ABE">
        <w:rPr>
          <w:rFonts w:ascii="Arial" w:hAnsi="Arial" w:cs="Arial"/>
          <w:sz w:val="20"/>
          <w:szCs w:val="20"/>
        </w:rPr>
        <w:t>support for the following protocols:</w:t>
      </w:r>
    </w:p>
    <w:p w14:paraId="3AE96955" w14:textId="77777777" w:rsidR="003C64AD" w:rsidRPr="00127ABE" w:rsidRDefault="003C64AD" w:rsidP="00DC43AE">
      <w:pPr>
        <w:numPr>
          <w:ilvl w:val="2"/>
          <w:numId w:val="16"/>
        </w:numPr>
        <w:spacing w:after="120"/>
        <w:rPr>
          <w:rFonts w:ascii="Arial" w:hAnsi="Arial" w:cs="Arial"/>
          <w:sz w:val="20"/>
          <w:szCs w:val="20"/>
        </w:rPr>
      </w:pPr>
      <w:r w:rsidRPr="00127ABE">
        <w:rPr>
          <w:rFonts w:ascii="Arial" w:hAnsi="Arial" w:cs="Arial"/>
          <w:sz w:val="20"/>
          <w:szCs w:val="20"/>
        </w:rPr>
        <w:t>OC192 Transparency</w:t>
      </w:r>
    </w:p>
    <w:p w14:paraId="3AE96956" w14:textId="77777777" w:rsidR="003C64AD" w:rsidRPr="00127ABE" w:rsidRDefault="003C64AD" w:rsidP="00DC43AE">
      <w:pPr>
        <w:numPr>
          <w:ilvl w:val="2"/>
          <w:numId w:val="16"/>
        </w:numPr>
        <w:spacing w:after="120"/>
        <w:rPr>
          <w:rFonts w:ascii="Arial" w:hAnsi="Arial" w:cs="Arial"/>
          <w:sz w:val="20"/>
          <w:szCs w:val="20"/>
        </w:rPr>
      </w:pPr>
      <w:r w:rsidRPr="00127ABE">
        <w:rPr>
          <w:rFonts w:ascii="Arial" w:hAnsi="Arial" w:cs="Arial"/>
          <w:sz w:val="20"/>
          <w:szCs w:val="20"/>
        </w:rPr>
        <w:t>10G LAN-PHY</w:t>
      </w:r>
    </w:p>
    <w:p w14:paraId="3AE96957" w14:textId="77777777" w:rsidR="003C64AD" w:rsidRDefault="003C64AD" w:rsidP="00DC43AE">
      <w:pPr>
        <w:numPr>
          <w:ilvl w:val="2"/>
          <w:numId w:val="16"/>
        </w:numPr>
        <w:spacing w:after="120"/>
        <w:rPr>
          <w:rFonts w:ascii="Arial" w:hAnsi="Arial" w:cs="Arial"/>
          <w:sz w:val="20"/>
          <w:szCs w:val="20"/>
        </w:rPr>
      </w:pPr>
      <w:r w:rsidRPr="00127ABE">
        <w:rPr>
          <w:rFonts w:ascii="Arial" w:hAnsi="Arial" w:cs="Arial"/>
          <w:sz w:val="20"/>
          <w:szCs w:val="20"/>
        </w:rPr>
        <w:t>10G WAN-PHY</w:t>
      </w:r>
    </w:p>
    <w:p w14:paraId="3AE96958" w14:textId="77777777" w:rsidR="003178DF" w:rsidRDefault="003178DF" w:rsidP="00DC43AE">
      <w:pPr>
        <w:numPr>
          <w:ilvl w:val="2"/>
          <w:numId w:val="16"/>
        </w:numPr>
        <w:spacing w:after="120"/>
        <w:rPr>
          <w:rFonts w:ascii="Arial" w:hAnsi="Arial" w:cs="Arial"/>
          <w:sz w:val="20"/>
          <w:szCs w:val="20"/>
        </w:rPr>
      </w:pPr>
      <w:r>
        <w:rPr>
          <w:rFonts w:ascii="Arial" w:hAnsi="Arial" w:cs="Arial"/>
          <w:sz w:val="20"/>
          <w:szCs w:val="20"/>
        </w:rPr>
        <w:t>100G LAN-PHY</w:t>
      </w:r>
    </w:p>
    <w:p w14:paraId="3AE96959" w14:textId="77777777" w:rsidR="003178DF" w:rsidRPr="00127ABE" w:rsidRDefault="003178DF" w:rsidP="00DC43AE">
      <w:pPr>
        <w:numPr>
          <w:ilvl w:val="2"/>
          <w:numId w:val="16"/>
        </w:numPr>
        <w:spacing w:after="120"/>
        <w:rPr>
          <w:rFonts w:ascii="Arial" w:hAnsi="Arial" w:cs="Arial"/>
          <w:sz w:val="20"/>
          <w:szCs w:val="20"/>
        </w:rPr>
      </w:pPr>
      <w:r>
        <w:rPr>
          <w:rFonts w:ascii="Arial" w:hAnsi="Arial" w:cs="Arial"/>
          <w:sz w:val="20"/>
          <w:szCs w:val="20"/>
        </w:rPr>
        <w:t>100G WAN-PHY</w:t>
      </w:r>
    </w:p>
    <w:p w14:paraId="00904BDC" w14:textId="3F976D9B" w:rsidR="0073080B" w:rsidRDefault="0073080B" w:rsidP="0073080B">
      <w:pPr>
        <w:numPr>
          <w:ilvl w:val="1"/>
          <w:numId w:val="16"/>
        </w:numPr>
        <w:spacing w:after="120"/>
        <w:rPr>
          <w:rFonts w:ascii="Arial" w:hAnsi="Arial" w:cs="Arial"/>
          <w:sz w:val="20"/>
          <w:szCs w:val="20"/>
        </w:rPr>
      </w:pPr>
      <w:r>
        <w:rPr>
          <w:rFonts w:ascii="Arial" w:hAnsi="Arial" w:cs="Arial"/>
          <w:sz w:val="20"/>
          <w:szCs w:val="20"/>
        </w:rPr>
        <w:t>There are three (3) available network protection configurations per Exhibit B.</w:t>
      </w:r>
    </w:p>
    <w:p w14:paraId="3ABAD99D" w14:textId="124A1015" w:rsidR="0073080B" w:rsidRDefault="0073080B" w:rsidP="0073080B">
      <w:pPr>
        <w:numPr>
          <w:ilvl w:val="2"/>
          <w:numId w:val="16"/>
        </w:numPr>
        <w:spacing w:after="120"/>
        <w:rPr>
          <w:rFonts w:ascii="Arial" w:hAnsi="Arial" w:cs="Arial"/>
          <w:sz w:val="20"/>
          <w:szCs w:val="20"/>
        </w:rPr>
      </w:pPr>
      <w:r w:rsidRPr="00225D6F">
        <w:rPr>
          <w:rFonts w:ascii="Arial" w:hAnsi="Arial" w:cs="Arial"/>
          <w:sz w:val="20"/>
          <w:szCs w:val="20"/>
          <w:u w:val="single"/>
        </w:rPr>
        <w:t>Un-</w:t>
      </w:r>
      <w:r>
        <w:rPr>
          <w:rFonts w:ascii="Arial" w:hAnsi="Arial" w:cs="Arial"/>
          <w:sz w:val="20"/>
          <w:szCs w:val="20"/>
          <w:u w:val="single"/>
        </w:rPr>
        <w:t>p</w:t>
      </w:r>
      <w:r w:rsidRPr="00225D6F">
        <w:rPr>
          <w:rFonts w:ascii="Arial" w:hAnsi="Arial" w:cs="Arial"/>
          <w:sz w:val="20"/>
          <w:szCs w:val="20"/>
          <w:u w:val="single"/>
        </w:rPr>
        <w:t>rotected Two-Fiber</w:t>
      </w:r>
      <w:r>
        <w:rPr>
          <w:rFonts w:ascii="Arial" w:hAnsi="Arial" w:cs="Arial"/>
          <w:sz w:val="20"/>
          <w:szCs w:val="20"/>
        </w:rPr>
        <w:t xml:space="preserve">:  No card or route protection; un-protected circuit at both ends.  This service provides </w:t>
      </w:r>
      <w:r w:rsidRPr="00225D6F">
        <w:rPr>
          <w:rFonts w:ascii="Arial" w:hAnsi="Arial" w:cs="Arial"/>
          <w:i/>
          <w:sz w:val="20"/>
          <w:szCs w:val="20"/>
        </w:rPr>
        <w:t>no</w:t>
      </w:r>
      <w:r>
        <w:rPr>
          <w:rFonts w:ascii="Arial" w:hAnsi="Arial" w:cs="Arial"/>
          <w:sz w:val="20"/>
          <w:szCs w:val="20"/>
        </w:rPr>
        <w:t xml:space="preserve"> optical protection of the signal from the customer.  Transportation is provided by ROADM or DWDM or a combination of both.</w:t>
      </w:r>
    </w:p>
    <w:p w14:paraId="2D3B39B3" w14:textId="30A040E7" w:rsidR="0073080B" w:rsidRPr="006E4CFE" w:rsidRDefault="0073080B" w:rsidP="0073080B">
      <w:pPr>
        <w:numPr>
          <w:ilvl w:val="2"/>
          <w:numId w:val="16"/>
        </w:numPr>
        <w:spacing w:after="120"/>
        <w:rPr>
          <w:rFonts w:ascii="Arial" w:hAnsi="Arial" w:cs="Arial"/>
          <w:sz w:val="20"/>
          <w:szCs w:val="20"/>
        </w:rPr>
      </w:pPr>
      <w:r w:rsidRPr="00225D6F">
        <w:rPr>
          <w:rFonts w:ascii="Arial" w:hAnsi="Arial" w:cs="Arial"/>
          <w:sz w:val="20"/>
          <w:szCs w:val="20"/>
          <w:u w:val="single"/>
        </w:rPr>
        <w:t>Protected Four-Fiber</w:t>
      </w:r>
      <w:r>
        <w:rPr>
          <w:rFonts w:ascii="Arial" w:hAnsi="Arial" w:cs="Arial"/>
          <w:sz w:val="20"/>
          <w:szCs w:val="20"/>
        </w:rPr>
        <w:t xml:space="preserve">:  Card protection (1+1), no route protection; un-protected circuit at both ends.  This service provides </w:t>
      </w:r>
      <w:r w:rsidRPr="006D7604">
        <w:rPr>
          <w:rFonts w:ascii="Arial" w:hAnsi="Arial" w:cs="Arial"/>
          <w:i/>
          <w:sz w:val="20"/>
          <w:szCs w:val="20"/>
        </w:rPr>
        <w:t>no</w:t>
      </w:r>
      <w:r>
        <w:rPr>
          <w:rFonts w:ascii="Arial" w:hAnsi="Arial" w:cs="Arial"/>
          <w:sz w:val="20"/>
          <w:szCs w:val="20"/>
        </w:rPr>
        <w:t xml:space="preserve"> optical protection of the signal from the customer.  However, this service will provide route protection upon entering the first Frontier node, but </w:t>
      </w:r>
      <w:r w:rsidRPr="00225D6F">
        <w:rPr>
          <w:rFonts w:ascii="Arial" w:hAnsi="Arial" w:cs="Arial"/>
          <w:i/>
          <w:sz w:val="20"/>
          <w:szCs w:val="20"/>
        </w:rPr>
        <w:t>not</w:t>
      </w:r>
      <w:r>
        <w:rPr>
          <w:rFonts w:ascii="Arial" w:hAnsi="Arial" w:cs="Arial"/>
          <w:sz w:val="20"/>
          <w:szCs w:val="20"/>
        </w:rPr>
        <w:t xml:space="preserve"> fiber diversity (closed loops may apply). Transportation is provided by ROADM or DWDM or a combination of both.</w:t>
      </w:r>
    </w:p>
    <w:p w14:paraId="55E65679" w14:textId="73A2EB49" w:rsidR="0073080B" w:rsidRDefault="0073080B" w:rsidP="0073080B">
      <w:pPr>
        <w:numPr>
          <w:ilvl w:val="2"/>
          <w:numId w:val="16"/>
        </w:numPr>
        <w:spacing w:after="120"/>
        <w:rPr>
          <w:rFonts w:ascii="Arial" w:hAnsi="Arial" w:cs="Arial"/>
          <w:sz w:val="20"/>
          <w:szCs w:val="20"/>
        </w:rPr>
      </w:pPr>
      <w:r w:rsidRPr="0073080B">
        <w:rPr>
          <w:rFonts w:ascii="Arial" w:hAnsi="Arial" w:cs="Arial"/>
          <w:sz w:val="20"/>
          <w:szCs w:val="20"/>
          <w:u w:val="single"/>
        </w:rPr>
        <w:t>Protected</w:t>
      </w:r>
      <w:r w:rsidRPr="00225D6F">
        <w:rPr>
          <w:rFonts w:ascii="Arial" w:hAnsi="Arial" w:cs="Arial"/>
          <w:sz w:val="20"/>
          <w:szCs w:val="20"/>
          <w:u w:val="single"/>
        </w:rPr>
        <w:t xml:space="preserve"> Four-Fiber Plus Path Diversity</w:t>
      </w:r>
      <w:r>
        <w:rPr>
          <w:rFonts w:ascii="Arial" w:hAnsi="Arial" w:cs="Arial"/>
          <w:sz w:val="20"/>
          <w:szCs w:val="20"/>
        </w:rPr>
        <w:t>:  Both card protection (1+1) and fiber path diversity; protected. circuit at both ends.  This service provides both route protection and fiber diversity upon entering and exiting the first Frontier node (</w:t>
      </w:r>
      <w:r w:rsidRPr="00225D6F">
        <w:rPr>
          <w:rFonts w:ascii="Arial" w:hAnsi="Arial" w:cs="Arial"/>
          <w:i/>
          <w:sz w:val="20"/>
          <w:szCs w:val="20"/>
        </w:rPr>
        <w:t xml:space="preserve">no </w:t>
      </w:r>
      <w:r>
        <w:rPr>
          <w:rFonts w:ascii="Arial" w:hAnsi="Arial" w:cs="Arial"/>
          <w:sz w:val="20"/>
          <w:szCs w:val="20"/>
        </w:rPr>
        <w:t>closed loops may apply).  Transportation is provided by ROADM or DWDM or a combination of both.</w:t>
      </w:r>
    </w:p>
    <w:p w14:paraId="3AE9695A" w14:textId="367587C5" w:rsidR="002A34C7" w:rsidRPr="00127ABE" w:rsidRDefault="003C64AD" w:rsidP="00DC43AE">
      <w:pPr>
        <w:numPr>
          <w:ilvl w:val="1"/>
          <w:numId w:val="16"/>
        </w:numPr>
        <w:spacing w:after="120"/>
        <w:rPr>
          <w:rFonts w:ascii="Arial" w:hAnsi="Arial" w:cs="Arial"/>
          <w:sz w:val="20"/>
          <w:szCs w:val="20"/>
        </w:rPr>
      </w:pPr>
      <w:r w:rsidRPr="00127ABE">
        <w:rPr>
          <w:rFonts w:ascii="Arial" w:hAnsi="Arial" w:cs="Arial"/>
          <w:sz w:val="20"/>
          <w:szCs w:val="20"/>
        </w:rPr>
        <w:lastRenderedPageBreak/>
        <w:t xml:space="preserve">10Gigabit </w:t>
      </w:r>
      <w:r w:rsidR="002C41D9">
        <w:rPr>
          <w:rFonts w:ascii="Arial" w:hAnsi="Arial" w:cs="Arial"/>
          <w:sz w:val="20"/>
          <w:szCs w:val="20"/>
        </w:rPr>
        <w:t xml:space="preserve">and 100Gigabit </w:t>
      </w:r>
      <w:r w:rsidRPr="00127ABE">
        <w:rPr>
          <w:rFonts w:ascii="Arial" w:hAnsi="Arial" w:cs="Arial"/>
          <w:sz w:val="20"/>
          <w:szCs w:val="20"/>
        </w:rPr>
        <w:t>Optical Transport Service</w:t>
      </w:r>
      <w:r w:rsidR="002A34C7" w:rsidRPr="00127ABE">
        <w:rPr>
          <w:rFonts w:ascii="Arial" w:hAnsi="Arial" w:cs="Arial"/>
          <w:sz w:val="20"/>
          <w:szCs w:val="20"/>
        </w:rPr>
        <w:t xml:space="preserve"> will require a</w:t>
      </w:r>
      <w:r w:rsidR="009144BC" w:rsidRPr="00127ABE">
        <w:rPr>
          <w:rFonts w:ascii="Arial" w:hAnsi="Arial" w:cs="Arial"/>
          <w:sz w:val="20"/>
          <w:szCs w:val="20"/>
        </w:rPr>
        <w:t>n Access Service Request (</w:t>
      </w:r>
      <w:r w:rsidR="00872290">
        <w:rPr>
          <w:rFonts w:ascii="Arial" w:hAnsi="Arial" w:cs="Arial"/>
          <w:sz w:val="20"/>
          <w:szCs w:val="20"/>
        </w:rPr>
        <w:t>“</w:t>
      </w:r>
      <w:r w:rsidR="009144BC" w:rsidRPr="00D87B09">
        <w:rPr>
          <w:rFonts w:ascii="Arial" w:hAnsi="Arial" w:cs="Arial"/>
          <w:b/>
          <w:sz w:val="20"/>
          <w:szCs w:val="20"/>
        </w:rPr>
        <w:t>ASR</w:t>
      </w:r>
      <w:r w:rsidR="00872290">
        <w:rPr>
          <w:rFonts w:ascii="Arial" w:hAnsi="Arial" w:cs="Arial"/>
          <w:sz w:val="20"/>
          <w:szCs w:val="20"/>
        </w:rPr>
        <w:t>”</w:t>
      </w:r>
      <w:r w:rsidR="009144BC" w:rsidRPr="00127ABE">
        <w:rPr>
          <w:rFonts w:ascii="Arial" w:hAnsi="Arial" w:cs="Arial"/>
          <w:sz w:val="20"/>
          <w:szCs w:val="20"/>
        </w:rPr>
        <w:t>)/Service Order (</w:t>
      </w:r>
      <w:r w:rsidR="00A27774">
        <w:rPr>
          <w:rFonts w:ascii="Arial" w:hAnsi="Arial" w:cs="Arial"/>
          <w:sz w:val="20"/>
          <w:szCs w:val="20"/>
        </w:rPr>
        <w:t>“</w:t>
      </w:r>
      <w:r w:rsidR="009144BC" w:rsidRPr="00D87B09">
        <w:rPr>
          <w:rFonts w:ascii="Arial" w:hAnsi="Arial" w:cs="Arial"/>
          <w:b/>
          <w:sz w:val="20"/>
          <w:szCs w:val="20"/>
        </w:rPr>
        <w:t>SO</w:t>
      </w:r>
      <w:r w:rsidR="00A27774">
        <w:rPr>
          <w:rFonts w:ascii="Arial" w:hAnsi="Arial" w:cs="Arial"/>
          <w:sz w:val="20"/>
          <w:szCs w:val="20"/>
        </w:rPr>
        <w:t>”</w:t>
      </w:r>
      <w:r w:rsidR="009144BC" w:rsidRPr="00127ABE">
        <w:rPr>
          <w:rFonts w:ascii="Arial" w:hAnsi="Arial" w:cs="Arial"/>
          <w:sz w:val="20"/>
          <w:szCs w:val="20"/>
        </w:rPr>
        <w:t>)</w:t>
      </w:r>
      <w:r w:rsidRPr="00127ABE">
        <w:rPr>
          <w:rFonts w:ascii="Arial" w:hAnsi="Arial" w:cs="Arial"/>
          <w:sz w:val="20"/>
          <w:szCs w:val="20"/>
        </w:rPr>
        <w:t xml:space="preserve"> specifying both locations and necessary </w:t>
      </w:r>
      <w:r w:rsidR="009144BC" w:rsidRPr="00127ABE">
        <w:rPr>
          <w:rFonts w:ascii="Arial" w:hAnsi="Arial" w:cs="Arial"/>
          <w:sz w:val="20"/>
          <w:szCs w:val="20"/>
        </w:rPr>
        <w:t xml:space="preserve">customer facing interfaces. </w:t>
      </w:r>
      <w:r w:rsidR="00872290">
        <w:rPr>
          <w:rFonts w:ascii="Arial" w:hAnsi="Arial" w:cs="Arial"/>
          <w:sz w:val="20"/>
          <w:szCs w:val="20"/>
        </w:rPr>
        <w:t xml:space="preserve"> </w:t>
      </w:r>
      <w:r w:rsidR="002A34C7" w:rsidRPr="00127ABE">
        <w:rPr>
          <w:rFonts w:ascii="Arial" w:hAnsi="Arial" w:cs="Arial"/>
          <w:sz w:val="20"/>
          <w:szCs w:val="20"/>
        </w:rPr>
        <w:t xml:space="preserve">Ordering examples can be found at: </w:t>
      </w:r>
      <w:r w:rsidR="003461C2">
        <w:rPr>
          <w:rFonts w:ascii="Arial" w:hAnsi="Arial" w:cs="Arial"/>
          <w:sz w:val="20"/>
          <w:szCs w:val="20"/>
        </w:rPr>
        <w:t xml:space="preserve"> </w:t>
      </w:r>
      <w:hyperlink r:id="rId12" w:history="1">
        <w:r w:rsidR="004A21CA" w:rsidRPr="004A21CA">
          <w:rPr>
            <w:rStyle w:val="Hyperlink"/>
            <w:rFonts w:ascii="Arial" w:hAnsi="Arial" w:cs="Arial"/>
            <w:sz w:val="20"/>
            <w:szCs w:val="20"/>
          </w:rPr>
          <w:t>https://wholesale.frontier.com/wholesale/access-services/asr-samples-by-product</w:t>
        </w:r>
      </w:hyperlink>
      <w:r w:rsidR="002A34C7" w:rsidRPr="00127ABE">
        <w:rPr>
          <w:rFonts w:ascii="Arial" w:hAnsi="Arial" w:cs="Arial"/>
          <w:sz w:val="20"/>
          <w:szCs w:val="20"/>
        </w:rPr>
        <w:t>.</w:t>
      </w:r>
    </w:p>
    <w:p w14:paraId="3AE9695B" w14:textId="7BDB8256" w:rsidR="002A34C7" w:rsidRPr="00127ABE" w:rsidRDefault="002A34C7" w:rsidP="00EB5349">
      <w:pPr>
        <w:numPr>
          <w:ilvl w:val="1"/>
          <w:numId w:val="16"/>
        </w:numPr>
        <w:spacing w:after="120"/>
        <w:rPr>
          <w:rFonts w:ascii="Arial" w:hAnsi="Arial" w:cs="Arial"/>
          <w:sz w:val="20"/>
          <w:szCs w:val="20"/>
        </w:rPr>
      </w:pPr>
      <w:r w:rsidRPr="00127ABE">
        <w:rPr>
          <w:rFonts w:ascii="Arial" w:hAnsi="Arial" w:cs="Arial"/>
          <w:sz w:val="20"/>
          <w:szCs w:val="20"/>
        </w:rPr>
        <w:t>Frontier’s Order</w:t>
      </w:r>
      <w:r w:rsidR="009144BC" w:rsidRPr="00127ABE">
        <w:rPr>
          <w:rFonts w:ascii="Arial" w:hAnsi="Arial" w:cs="Arial"/>
          <w:sz w:val="20"/>
          <w:szCs w:val="20"/>
        </w:rPr>
        <w:t xml:space="preserve">ing Guidelines for this </w:t>
      </w:r>
      <w:r w:rsidR="00CF0C17">
        <w:rPr>
          <w:rFonts w:ascii="Arial" w:hAnsi="Arial" w:cs="Arial"/>
          <w:sz w:val="20"/>
          <w:szCs w:val="20"/>
        </w:rPr>
        <w:t>S</w:t>
      </w:r>
      <w:r w:rsidR="009144BC" w:rsidRPr="00127ABE">
        <w:rPr>
          <w:rFonts w:ascii="Arial" w:hAnsi="Arial" w:cs="Arial"/>
          <w:sz w:val="20"/>
          <w:szCs w:val="20"/>
        </w:rPr>
        <w:t>ervice can be found at:</w:t>
      </w:r>
      <w:r w:rsidR="003461C2">
        <w:rPr>
          <w:rFonts w:ascii="Arial" w:hAnsi="Arial" w:cs="Arial"/>
          <w:sz w:val="20"/>
          <w:szCs w:val="20"/>
        </w:rPr>
        <w:t xml:space="preserve"> </w:t>
      </w:r>
      <w:r w:rsidRPr="00127ABE">
        <w:rPr>
          <w:rFonts w:ascii="Arial" w:hAnsi="Arial" w:cs="Arial"/>
          <w:sz w:val="20"/>
          <w:szCs w:val="20"/>
        </w:rPr>
        <w:t xml:space="preserve"> </w:t>
      </w:r>
      <w:r w:rsidR="00EB5349" w:rsidRPr="00D87B09">
        <w:rPr>
          <w:rFonts w:ascii="Arial" w:hAnsi="Arial" w:cs="Arial"/>
          <w:sz w:val="20"/>
          <w:szCs w:val="20"/>
        </w:rPr>
        <w:t>https://wholesale.frontier.com/wholesale/access-services/ethernet-order-samples</w:t>
      </w:r>
      <w:r w:rsidRPr="00127ABE">
        <w:rPr>
          <w:rFonts w:ascii="Arial" w:hAnsi="Arial" w:cs="Arial"/>
          <w:sz w:val="20"/>
          <w:szCs w:val="20"/>
        </w:rPr>
        <w:t>.</w:t>
      </w:r>
    </w:p>
    <w:p w14:paraId="3AE9695C" w14:textId="77777777" w:rsidR="002A34C7" w:rsidRPr="00127ABE" w:rsidRDefault="00452CFD" w:rsidP="00DC43AE">
      <w:pPr>
        <w:numPr>
          <w:ilvl w:val="1"/>
          <w:numId w:val="16"/>
        </w:numPr>
        <w:spacing w:after="120"/>
        <w:rPr>
          <w:rFonts w:ascii="Arial" w:hAnsi="Arial" w:cs="Arial"/>
          <w:sz w:val="20"/>
          <w:szCs w:val="20"/>
        </w:rPr>
      </w:pPr>
      <w:r w:rsidRPr="00127ABE">
        <w:rPr>
          <w:rFonts w:ascii="Arial" w:hAnsi="Arial" w:cs="Arial"/>
          <w:sz w:val="20"/>
          <w:szCs w:val="20"/>
        </w:rPr>
        <w:t xml:space="preserve">10Gigabit </w:t>
      </w:r>
      <w:r w:rsidR="003178DF">
        <w:rPr>
          <w:rFonts w:ascii="Arial" w:hAnsi="Arial" w:cs="Arial"/>
          <w:sz w:val="20"/>
          <w:szCs w:val="20"/>
        </w:rPr>
        <w:t xml:space="preserve">and 100Gigabit </w:t>
      </w:r>
      <w:r w:rsidRPr="00127ABE">
        <w:rPr>
          <w:rFonts w:ascii="Arial" w:hAnsi="Arial" w:cs="Arial"/>
          <w:sz w:val="20"/>
          <w:szCs w:val="20"/>
        </w:rPr>
        <w:t>Optical Transport</w:t>
      </w:r>
      <w:r w:rsidR="002A34C7" w:rsidRPr="00127ABE">
        <w:rPr>
          <w:rFonts w:ascii="Arial" w:hAnsi="Arial" w:cs="Arial"/>
          <w:sz w:val="20"/>
          <w:szCs w:val="20"/>
        </w:rPr>
        <w:t xml:space="preserve"> supported IEEE 802.3</w:t>
      </w:r>
      <w:r w:rsidRPr="00127ABE">
        <w:rPr>
          <w:rFonts w:ascii="Arial" w:hAnsi="Arial" w:cs="Arial"/>
          <w:sz w:val="20"/>
          <w:szCs w:val="20"/>
        </w:rPr>
        <w:t>ae-2002</w:t>
      </w:r>
      <w:r w:rsidR="002A34C7" w:rsidRPr="00127ABE">
        <w:rPr>
          <w:rFonts w:ascii="Arial" w:hAnsi="Arial" w:cs="Arial"/>
          <w:sz w:val="20"/>
          <w:szCs w:val="20"/>
        </w:rPr>
        <w:t xml:space="preserve"> interfaces</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7128"/>
      </w:tblGrid>
      <w:tr w:rsidR="002A34C7" w:rsidRPr="00127ABE" w14:paraId="3AE96960" w14:textId="77777777" w:rsidTr="004A21CA">
        <w:tc>
          <w:tcPr>
            <w:tcW w:w="1862" w:type="dxa"/>
            <w:shd w:val="clear" w:color="auto" w:fill="000000"/>
          </w:tcPr>
          <w:p w14:paraId="3AE9695E" w14:textId="77777777" w:rsidR="002A34C7" w:rsidRPr="00127ABE" w:rsidRDefault="002A34C7" w:rsidP="00DC43AE">
            <w:pPr>
              <w:spacing w:after="120"/>
              <w:jc w:val="center"/>
              <w:rPr>
                <w:rFonts w:ascii="Arial" w:hAnsi="Arial" w:cs="Arial"/>
                <w:sz w:val="20"/>
                <w:szCs w:val="20"/>
              </w:rPr>
            </w:pPr>
            <w:r w:rsidRPr="00127ABE">
              <w:rPr>
                <w:rFonts w:ascii="Arial" w:hAnsi="Arial" w:cs="Arial"/>
                <w:sz w:val="20"/>
                <w:szCs w:val="20"/>
              </w:rPr>
              <w:t>Interface</w:t>
            </w:r>
          </w:p>
        </w:tc>
        <w:tc>
          <w:tcPr>
            <w:tcW w:w="7128" w:type="dxa"/>
            <w:shd w:val="clear" w:color="auto" w:fill="000000"/>
          </w:tcPr>
          <w:p w14:paraId="3AE9695F" w14:textId="77777777" w:rsidR="002A34C7" w:rsidRPr="00127ABE" w:rsidRDefault="002A34C7" w:rsidP="00DC43AE">
            <w:pPr>
              <w:spacing w:after="120"/>
              <w:jc w:val="center"/>
              <w:rPr>
                <w:rFonts w:ascii="Arial" w:hAnsi="Arial" w:cs="Arial"/>
                <w:sz w:val="20"/>
                <w:szCs w:val="20"/>
              </w:rPr>
            </w:pPr>
            <w:r w:rsidRPr="00127ABE">
              <w:rPr>
                <w:rFonts w:ascii="Arial" w:hAnsi="Arial" w:cs="Arial"/>
                <w:sz w:val="20"/>
                <w:szCs w:val="20"/>
              </w:rPr>
              <w:t>Definition</w:t>
            </w:r>
          </w:p>
        </w:tc>
      </w:tr>
      <w:tr w:rsidR="002A34C7" w:rsidRPr="00127ABE" w14:paraId="3AE96963" w14:textId="77777777" w:rsidTr="004A21CA">
        <w:tc>
          <w:tcPr>
            <w:tcW w:w="1862" w:type="dxa"/>
            <w:shd w:val="clear" w:color="auto" w:fill="auto"/>
          </w:tcPr>
          <w:p w14:paraId="3AE96961" w14:textId="77777777" w:rsidR="002A34C7" w:rsidRPr="00127ABE" w:rsidRDefault="002A34C7" w:rsidP="00DC43AE">
            <w:pPr>
              <w:spacing w:after="120"/>
              <w:rPr>
                <w:rFonts w:ascii="Arial" w:hAnsi="Arial" w:cs="Arial"/>
                <w:sz w:val="20"/>
                <w:szCs w:val="20"/>
              </w:rPr>
            </w:pPr>
            <w:r w:rsidRPr="00127ABE">
              <w:rPr>
                <w:rFonts w:ascii="Arial" w:hAnsi="Arial" w:cs="Arial"/>
                <w:sz w:val="20"/>
                <w:szCs w:val="20"/>
              </w:rPr>
              <w:t>10</w:t>
            </w:r>
            <w:r w:rsidR="00452CFD" w:rsidRPr="00127ABE">
              <w:rPr>
                <w:rFonts w:ascii="Arial" w:hAnsi="Arial" w:cs="Arial"/>
                <w:sz w:val="20"/>
                <w:szCs w:val="20"/>
              </w:rPr>
              <w:t>GBase - LR</w:t>
            </w:r>
          </w:p>
        </w:tc>
        <w:tc>
          <w:tcPr>
            <w:tcW w:w="7128" w:type="dxa"/>
            <w:shd w:val="clear" w:color="auto" w:fill="auto"/>
          </w:tcPr>
          <w:p w14:paraId="3AE96962" w14:textId="77777777" w:rsidR="002A34C7" w:rsidRPr="00127ABE" w:rsidRDefault="002A34C7" w:rsidP="00DC43AE">
            <w:pPr>
              <w:spacing w:after="120"/>
              <w:rPr>
                <w:rFonts w:ascii="Arial" w:hAnsi="Arial" w:cs="Arial"/>
                <w:sz w:val="20"/>
                <w:szCs w:val="20"/>
              </w:rPr>
            </w:pPr>
            <w:r w:rsidRPr="00127ABE">
              <w:rPr>
                <w:rFonts w:ascii="Arial" w:hAnsi="Arial" w:cs="Arial"/>
                <w:sz w:val="20"/>
                <w:szCs w:val="20"/>
              </w:rPr>
              <w:t>10</w:t>
            </w:r>
            <w:r w:rsidR="00452CFD" w:rsidRPr="00127ABE">
              <w:rPr>
                <w:rFonts w:ascii="Arial" w:hAnsi="Arial" w:cs="Arial"/>
                <w:sz w:val="20"/>
                <w:szCs w:val="20"/>
              </w:rPr>
              <w:t>Gbps</w:t>
            </w:r>
            <w:r w:rsidRPr="00127ABE">
              <w:rPr>
                <w:rFonts w:ascii="Arial" w:hAnsi="Arial" w:cs="Arial"/>
                <w:sz w:val="20"/>
                <w:szCs w:val="20"/>
              </w:rPr>
              <w:t xml:space="preserve"> Base</w:t>
            </w:r>
            <w:r w:rsidR="00452CFD" w:rsidRPr="00127ABE">
              <w:rPr>
                <w:rFonts w:ascii="Arial" w:hAnsi="Arial" w:cs="Arial"/>
                <w:sz w:val="20"/>
                <w:szCs w:val="20"/>
              </w:rPr>
              <w:t>band signaling over Single Mode Fiber with 1310nm (10km)</w:t>
            </w:r>
          </w:p>
        </w:tc>
      </w:tr>
      <w:tr w:rsidR="002A34C7" w:rsidRPr="00127ABE" w14:paraId="3AE96966" w14:textId="77777777" w:rsidTr="004A21CA">
        <w:tc>
          <w:tcPr>
            <w:tcW w:w="1862" w:type="dxa"/>
            <w:shd w:val="clear" w:color="auto" w:fill="auto"/>
          </w:tcPr>
          <w:p w14:paraId="3AE96964" w14:textId="136E0CE3" w:rsidR="002A34C7" w:rsidRPr="00127ABE" w:rsidRDefault="00452CFD" w:rsidP="00DC43AE">
            <w:pPr>
              <w:spacing w:after="120"/>
              <w:rPr>
                <w:rFonts w:ascii="Arial" w:hAnsi="Arial" w:cs="Arial"/>
                <w:sz w:val="20"/>
                <w:szCs w:val="20"/>
              </w:rPr>
            </w:pPr>
            <w:r w:rsidRPr="00127ABE">
              <w:rPr>
                <w:rFonts w:ascii="Arial" w:hAnsi="Arial" w:cs="Arial"/>
                <w:sz w:val="20"/>
                <w:szCs w:val="20"/>
              </w:rPr>
              <w:t>100</w:t>
            </w:r>
            <w:r w:rsidR="003178DF">
              <w:rPr>
                <w:rFonts w:ascii="Arial" w:hAnsi="Arial" w:cs="Arial"/>
                <w:sz w:val="20"/>
                <w:szCs w:val="20"/>
              </w:rPr>
              <w:t>G</w:t>
            </w:r>
            <w:r w:rsidRPr="00127ABE">
              <w:rPr>
                <w:rFonts w:ascii="Arial" w:hAnsi="Arial" w:cs="Arial"/>
                <w:sz w:val="20"/>
                <w:szCs w:val="20"/>
              </w:rPr>
              <w:t xml:space="preserve">Base </w:t>
            </w:r>
            <w:r w:rsidR="00943118">
              <w:rPr>
                <w:rFonts w:ascii="Arial" w:hAnsi="Arial" w:cs="Arial"/>
                <w:sz w:val="20"/>
                <w:szCs w:val="20"/>
              </w:rPr>
              <w:t>–</w:t>
            </w:r>
            <w:r w:rsidRPr="00127ABE">
              <w:rPr>
                <w:rFonts w:ascii="Arial" w:hAnsi="Arial" w:cs="Arial"/>
                <w:sz w:val="20"/>
                <w:szCs w:val="20"/>
              </w:rPr>
              <w:t xml:space="preserve"> </w:t>
            </w:r>
            <w:r w:rsidR="00943118">
              <w:rPr>
                <w:rFonts w:ascii="Arial" w:hAnsi="Arial" w:cs="Arial"/>
                <w:sz w:val="20"/>
                <w:szCs w:val="20"/>
              </w:rPr>
              <w:t>LR4</w:t>
            </w:r>
          </w:p>
        </w:tc>
        <w:tc>
          <w:tcPr>
            <w:tcW w:w="7128" w:type="dxa"/>
            <w:shd w:val="clear" w:color="auto" w:fill="auto"/>
          </w:tcPr>
          <w:p w14:paraId="3AE96965" w14:textId="73BE087A" w:rsidR="002A34C7" w:rsidRPr="00127ABE" w:rsidRDefault="002A34C7" w:rsidP="00DC43AE">
            <w:pPr>
              <w:spacing w:after="120"/>
              <w:rPr>
                <w:rFonts w:ascii="Arial" w:hAnsi="Arial" w:cs="Arial"/>
                <w:sz w:val="20"/>
                <w:szCs w:val="20"/>
              </w:rPr>
            </w:pPr>
            <w:r w:rsidRPr="00127ABE">
              <w:rPr>
                <w:rFonts w:ascii="Arial" w:hAnsi="Arial" w:cs="Arial"/>
                <w:sz w:val="20"/>
                <w:szCs w:val="20"/>
              </w:rPr>
              <w:t>10</w:t>
            </w:r>
            <w:r w:rsidR="003178DF">
              <w:rPr>
                <w:rFonts w:ascii="Arial" w:hAnsi="Arial" w:cs="Arial"/>
                <w:sz w:val="20"/>
                <w:szCs w:val="20"/>
              </w:rPr>
              <w:t>0</w:t>
            </w:r>
            <w:r w:rsidR="00452CFD" w:rsidRPr="00127ABE">
              <w:rPr>
                <w:rFonts w:ascii="Arial" w:hAnsi="Arial" w:cs="Arial"/>
                <w:sz w:val="20"/>
                <w:szCs w:val="20"/>
              </w:rPr>
              <w:t>Gbps</w:t>
            </w:r>
            <w:r w:rsidRPr="00127ABE">
              <w:rPr>
                <w:rFonts w:ascii="Arial" w:hAnsi="Arial" w:cs="Arial"/>
                <w:sz w:val="20"/>
                <w:szCs w:val="20"/>
              </w:rPr>
              <w:t xml:space="preserve"> Baseband signaling</w:t>
            </w:r>
            <w:r w:rsidR="00452CFD" w:rsidRPr="00127ABE">
              <w:rPr>
                <w:rFonts w:ascii="Arial" w:hAnsi="Arial" w:cs="Arial"/>
                <w:sz w:val="20"/>
                <w:szCs w:val="20"/>
              </w:rPr>
              <w:t xml:space="preserve"> over Single Mode Fiber with 1310nm (</w:t>
            </w:r>
            <w:r w:rsidR="001B2D25">
              <w:rPr>
                <w:rFonts w:ascii="Arial" w:hAnsi="Arial" w:cs="Arial"/>
                <w:sz w:val="20"/>
                <w:szCs w:val="20"/>
              </w:rPr>
              <w:t>1</w:t>
            </w:r>
            <w:r w:rsidR="00452CFD" w:rsidRPr="00127ABE">
              <w:rPr>
                <w:rFonts w:ascii="Arial" w:hAnsi="Arial" w:cs="Arial"/>
                <w:sz w:val="20"/>
                <w:szCs w:val="20"/>
              </w:rPr>
              <w:t>0km)</w:t>
            </w:r>
          </w:p>
        </w:tc>
      </w:tr>
    </w:tbl>
    <w:p w14:paraId="3AE96968" w14:textId="77777777" w:rsidR="002A34C7" w:rsidRPr="00D87B09" w:rsidRDefault="002A34C7" w:rsidP="003461C2">
      <w:pPr>
        <w:numPr>
          <w:ilvl w:val="0"/>
          <w:numId w:val="16"/>
        </w:numPr>
        <w:spacing w:before="120" w:after="120"/>
        <w:rPr>
          <w:rFonts w:ascii="Arial" w:hAnsi="Arial" w:cs="Arial"/>
          <w:b/>
          <w:sz w:val="20"/>
          <w:szCs w:val="20"/>
        </w:rPr>
      </w:pPr>
      <w:r w:rsidRPr="00D87B09">
        <w:rPr>
          <w:rFonts w:ascii="Arial" w:hAnsi="Arial" w:cs="Arial"/>
          <w:b/>
          <w:sz w:val="20"/>
          <w:szCs w:val="20"/>
        </w:rPr>
        <w:t>Service Availability and Requirements</w:t>
      </w:r>
    </w:p>
    <w:p w14:paraId="3AE96969" w14:textId="1B04FCF6"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 xml:space="preserve">This </w:t>
      </w:r>
      <w:r w:rsidR="00CF0C17">
        <w:rPr>
          <w:rFonts w:ascii="Arial" w:hAnsi="Arial" w:cs="Arial"/>
          <w:sz w:val="20"/>
          <w:szCs w:val="20"/>
        </w:rPr>
        <w:t>S</w:t>
      </w:r>
      <w:r w:rsidRPr="00127ABE">
        <w:rPr>
          <w:rFonts w:ascii="Arial" w:hAnsi="Arial" w:cs="Arial"/>
          <w:sz w:val="20"/>
          <w:szCs w:val="20"/>
        </w:rPr>
        <w:t xml:space="preserve">ervice is only available within Frontier </w:t>
      </w:r>
      <w:r w:rsidR="00DF4D33" w:rsidRPr="00127ABE">
        <w:rPr>
          <w:rFonts w:ascii="Arial" w:hAnsi="Arial" w:cs="Arial"/>
          <w:sz w:val="20"/>
          <w:szCs w:val="20"/>
        </w:rPr>
        <w:t>Optical Transport</w:t>
      </w:r>
      <w:r w:rsidRPr="00127ABE">
        <w:rPr>
          <w:rFonts w:ascii="Arial" w:hAnsi="Arial" w:cs="Arial"/>
          <w:sz w:val="20"/>
          <w:szCs w:val="20"/>
        </w:rPr>
        <w:t xml:space="preserve"> En</w:t>
      </w:r>
      <w:r w:rsidR="00DE59C9" w:rsidRPr="00127ABE">
        <w:rPr>
          <w:rFonts w:ascii="Arial" w:hAnsi="Arial" w:cs="Arial"/>
          <w:sz w:val="20"/>
          <w:szCs w:val="20"/>
        </w:rPr>
        <w:t xml:space="preserve">abled Wire Centers per Exhibit </w:t>
      </w:r>
      <w:r w:rsidR="008F0E7A">
        <w:rPr>
          <w:rFonts w:ascii="Arial" w:hAnsi="Arial" w:cs="Arial"/>
          <w:sz w:val="20"/>
          <w:szCs w:val="20"/>
        </w:rPr>
        <w:t>C</w:t>
      </w:r>
      <w:r w:rsidR="00F72DA4">
        <w:rPr>
          <w:rFonts w:ascii="Arial" w:hAnsi="Arial" w:cs="Arial"/>
          <w:sz w:val="20"/>
          <w:szCs w:val="20"/>
        </w:rPr>
        <w:t xml:space="preserve"> </w:t>
      </w:r>
      <w:r w:rsidR="00F72DA4" w:rsidRPr="00610651">
        <w:rPr>
          <w:rFonts w:ascii="Arial" w:hAnsi="Arial" w:cs="Arial"/>
          <w:sz w:val="20"/>
          <w:szCs w:val="20"/>
        </w:rPr>
        <w:t xml:space="preserve">to provide services to wireline end-user customers only.  For clarification purposes, the rates described herein may not be used to purchase Service </w:t>
      </w:r>
      <w:r w:rsidR="00FB6DBA">
        <w:rPr>
          <w:rFonts w:ascii="Arial" w:hAnsi="Arial" w:cs="Arial"/>
          <w:sz w:val="20"/>
          <w:szCs w:val="20"/>
        </w:rPr>
        <w:t>to</w:t>
      </w:r>
      <w:r w:rsidR="00F72DA4" w:rsidRPr="00610651">
        <w:rPr>
          <w:rFonts w:ascii="Arial" w:hAnsi="Arial" w:cs="Arial"/>
          <w:sz w:val="20"/>
          <w:szCs w:val="20"/>
        </w:rPr>
        <w:t xml:space="preserve"> cell sites, cell towers or wireless switches</w:t>
      </w:r>
      <w:r w:rsidR="00617617">
        <w:rPr>
          <w:rFonts w:ascii="Arial" w:hAnsi="Arial" w:cs="Arial"/>
          <w:sz w:val="20"/>
          <w:szCs w:val="20"/>
        </w:rPr>
        <w:t>.</w:t>
      </w:r>
      <w:r w:rsidR="00F72DA4" w:rsidRPr="00610651">
        <w:rPr>
          <w:rFonts w:ascii="Arial" w:hAnsi="Arial" w:cs="Arial"/>
          <w:sz w:val="20"/>
          <w:szCs w:val="20"/>
        </w:rPr>
        <w:t xml:space="preserve">  </w:t>
      </w:r>
    </w:p>
    <w:p w14:paraId="3AE9696A" w14:textId="6FE71DBB"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Where facilities are not available or discovered not available during a site visit (</w:t>
      </w:r>
      <w:proofErr w:type="gramStart"/>
      <w:r w:rsidRPr="00127ABE">
        <w:rPr>
          <w:rFonts w:ascii="Arial" w:hAnsi="Arial" w:cs="Arial"/>
          <w:sz w:val="20"/>
          <w:szCs w:val="20"/>
        </w:rPr>
        <w:t>i.e.;</w:t>
      </w:r>
      <w:proofErr w:type="gramEnd"/>
      <w:r w:rsidRPr="00127ABE">
        <w:rPr>
          <w:rFonts w:ascii="Arial" w:hAnsi="Arial" w:cs="Arial"/>
          <w:sz w:val="20"/>
          <w:szCs w:val="20"/>
        </w:rPr>
        <w:t xml:space="preserve"> conduit, </w:t>
      </w:r>
      <w:r w:rsidR="0073080B" w:rsidRPr="00127ABE">
        <w:rPr>
          <w:rFonts w:ascii="Arial" w:hAnsi="Arial" w:cs="Arial"/>
          <w:sz w:val="20"/>
          <w:szCs w:val="20"/>
        </w:rPr>
        <w:t>riser, local</w:t>
      </w:r>
      <w:r w:rsidRPr="00127ABE">
        <w:rPr>
          <w:rFonts w:ascii="Arial" w:hAnsi="Arial" w:cs="Arial"/>
          <w:sz w:val="20"/>
          <w:szCs w:val="20"/>
        </w:rPr>
        <w:t xml:space="preserve"> loop route, MPO</w:t>
      </w:r>
      <w:r w:rsidR="0073080B">
        <w:rPr>
          <w:rFonts w:ascii="Arial" w:hAnsi="Arial" w:cs="Arial"/>
          <w:sz w:val="20"/>
          <w:szCs w:val="20"/>
        </w:rPr>
        <w:t>E</w:t>
      </w:r>
      <w:r w:rsidRPr="00127ABE">
        <w:rPr>
          <w:rFonts w:ascii="Arial" w:hAnsi="Arial" w:cs="Arial"/>
          <w:sz w:val="20"/>
          <w:szCs w:val="20"/>
        </w:rPr>
        <w:t xml:space="preserve">, space, etc.) </w:t>
      </w:r>
      <w:r w:rsidR="00F14167">
        <w:rPr>
          <w:rFonts w:ascii="Arial" w:hAnsi="Arial" w:cs="Arial"/>
          <w:sz w:val="20"/>
          <w:szCs w:val="20"/>
        </w:rPr>
        <w:t xml:space="preserve">such facilities </w:t>
      </w:r>
      <w:r w:rsidRPr="00127ABE">
        <w:rPr>
          <w:rFonts w:ascii="Arial" w:hAnsi="Arial" w:cs="Arial"/>
          <w:sz w:val="20"/>
          <w:szCs w:val="20"/>
        </w:rPr>
        <w:t xml:space="preserve">may be constructed and are subject to additional fees, not representative to this Service or listed as part of Exhibit </w:t>
      </w:r>
      <w:r w:rsidR="008F0E7A">
        <w:rPr>
          <w:rFonts w:ascii="Arial" w:hAnsi="Arial" w:cs="Arial"/>
          <w:sz w:val="20"/>
          <w:szCs w:val="20"/>
        </w:rPr>
        <w:t>B</w:t>
      </w:r>
      <w:r w:rsidR="004A0FD2" w:rsidRPr="00127ABE">
        <w:rPr>
          <w:rFonts w:ascii="Arial" w:hAnsi="Arial" w:cs="Arial"/>
          <w:sz w:val="20"/>
          <w:szCs w:val="20"/>
        </w:rPr>
        <w:t xml:space="preserve"> </w:t>
      </w:r>
      <w:r w:rsidRPr="00127ABE">
        <w:rPr>
          <w:rFonts w:ascii="Arial" w:hAnsi="Arial" w:cs="Arial"/>
          <w:sz w:val="20"/>
          <w:szCs w:val="20"/>
        </w:rPr>
        <w:t>and requires a separate Aid in Construction Amendment</w:t>
      </w:r>
      <w:r w:rsidR="00F14167">
        <w:rPr>
          <w:rFonts w:ascii="Arial" w:hAnsi="Arial" w:cs="Arial"/>
          <w:sz w:val="20"/>
          <w:szCs w:val="20"/>
        </w:rPr>
        <w:t xml:space="preserve"> or Letter</w:t>
      </w:r>
      <w:r w:rsidRPr="00127ABE">
        <w:rPr>
          <w:rFonts w:ascii="Arial" w:hAnsi="Arial" w:cs="Arial"/>
          <w:sz w:val="20"/>
          <w:szCs w:val="20"/>
        </w:rPr>
        <w:t>.</w:t>
      </w:r>
    </w:p>
    <w:p w14:paraId="3AE9696B" w14:textId="77777777" w:rsidR="002A34C7" w:rsidRPr="00D87B09" w:rsidRDefault="002A34C7" w:rsidP="00DC43AE">
      <w:pPr>
        <w:numPr>
          <w:ilvl w:val="0"/>
          <w:numId w:val="16"/>
        </w:numPr>
        <w:spacing w:after="120"/>
        <w:rPr>
          <w:rFonts w:ascii="Arial" w:hAnsi="Arial" w:cs="Arial"/>
          <w:b/>
          <w:sz w:val="20"/>
          <w:szCs w:val="20"/>
        </w:rPr>
      </w:pPr>
      <w:r w:rsidRPr="00D87B09">
        <w:rPr>
          <w:rFonts w:ascii="Arial" w:hAnsi="Arial" w:cs="Arial"/>
          <w:b/>
          <w:sz w:val="20"/>
          <w:szCs w:val="20"/>
        </w:rPr>
        <w:t>Standard Service Rate Elements</w:t>
      </w:r>
    </w:p>
    <w:p w14:paraId="3AE9696C" w14:textId="187890C9" w:rsidR="00707109" w:rsidRPr="00127ABE" w:rsidRDefault="00016D59" w:rsidP="00DC43AE">
      <w:pPr>
        <w:numPr>
          <w:ilvl w:val="1"/>
          <w:numId w:val="16"/>
        </w:numPr>
        <w:spacing w:after="120"/>
        <w:rPr>
          <w:rFonts w:ascii="Arial" w:hAnsi="Arial" w:cs="Arial"/>
          <w:sz w:val="20"/>
          <w:szCs w:val="20"/>
        </w:rPr>
      </w:pPr>
      <w:r>
        <w:rPr>
          <w:rFonts w:ascii="Arial" w:hAnsi="Arial" w:cs="Arial"/>
          <w:sz w:val="20"/>
          <w:szCs w:val="20"/>
        </w:rPr>
        <w:t>T</w:t>
      </w:r>
      <w:r w:rsidR="00A373B7">
        <w:rPr>
          <w:rFonts w:ascii="Arial" w:hAnsi="Arial" w:cs="Arial"/>
          <w:sz w:val="20"/>
          <w:szCs w:val="20"/>
        </w:rPr>
        <w:t>o simpl</w:t>
      </w:r>
      <w:r w:rsidR="00394A44">
        <w:rPr>
          <w:rFonts w:ascii="Arial" w:hAnsi="Arial" w:cs="Arial"/>
          <w:sz w:val="20"/>
          <w:szCs w:val="20"/>
        </w:rPr>
        <w:t>if</w:t>
      </w:r>
      <w:r w:rsidR="00A373B7">
        <w:rPr>
          <w:rFonts w:ascii="Arial" w:hAnsi="Arial" w:cs="Arial"/>
          <w:sz w:val="20"/>
          <w:szCs w:val="20"/>
        </w:rPr>
        <w:t>y pricing, a</w:t>
      </w:r>
      <w:r w:rsidR="002A34C7" w:rsidRPr="00127ABE">
        <w:rPr>
          <w:rFonts w:ascii="Arial" w:hAnsi="Arial" w:cs="Arial"/>
          <w:sz w:val="20"/>
          <w:szCs w:val="20"/>
        </w:rPr>
        <w:t xml:space="preserve"> Monthly Recurring Charge (</w:t>
      </w:r>
      <w:r w:rsidR="00342F23">
        <w:rPr>
          <w:rFonts w:ascii="Arial" w:hAnsi="Arial" w:cs="Arial"/>
          <w:sz w:val="20"/>
          <w:szCs w:val="20"/>
        </w:rPr>
        <w:t>“</w:t>
      </w:r>
      <w:r w:rsidR="002A34C7" w:rsidRPr="00D87B09">
        <w:rPr>
          <w:rFonts w:ascii="Arial" w:hAnsi="Arial" w:cs="Arial"/>
          <w:b/>
          <w:sz w:val="20"/>
          <w:szCs w:val="20"/>
        </w:rPr>
        <w:t>MRC</w:t>
      </w:r>
      <w:r w:rsidR="00342F23">
        <w:rPr>
          <w:rFonts w:ascii="Arial" w:hAnsi="Arial" w:cs="Arial"/>
          <w:sz w:val="20"/>
          <w:szCs w:val="20"/>
        </w:rPr>
        <w:t>”</w:t>
      </w:r>
      <w:r w:rsidR="002A34C7" w:rsidRPr="00127ABE">
        <w:rPr>
          <w:rFonts w:ascii="Arial" w:hAnsi="Arial" w:cs="Arial"/>
          <w:sz w:val="20"/>
          <w:szCs w:val="20"/>
        </w:rPr>
        <w:t xml:space="preserve">) will be applied </w:t>
      </w:r>
      <w:r w:rsidR="00E16163">
        <w:rPr>
          <w:rFonts w:ascii="Arial" w:hAnsi="Arial" w:cs="Arial"/>
          <w:sz w:val="20"/>
          <w:szCs w:val="20"/>
        </w:rPr>
        <w:t>to</w:t>
      </w:r>
      <w:r w:rsidR="002A34C7" w:rsidRPr="00127ABE">
        <w:rPr>
          <w:rFonts w:ascii="Arial" w:hAnsi="Arial" w:cs="Arial"/>
          <w:sz w:val="20"/>
          <w:szCs w:val="20"/>
        </w:rPr>
        <w:t xml:space="preserve"> </w:t>
      </w:r>
      <w:r w:rsidR="00707109" w:rsidRPr="00127ABE">
        <w:rPr>
          <w:rFonts w:ascii="Arial" w:hAnsi="Arial" w:cs="Arial"/>
          <w:sz w:val="20"/>
          <w:szCs w:val="20"/>
        </w:rPr>
        <w:t>termination</w:t>
      </w:r>
      <w:r w:rsidR="00E16163">
        <w:rPr>
          <w:rFonts w:ascii="Arial" w:hAnsi="Arial" w:cs="Arial"/>
          <w:sz w:val="20"/>
          <w:szCs w:val="20"/>
        </w:rPr>
        <w:t>s</w:t>
      </w:r>
      <w:r w:rsidR="00707109" w:rsidRPr="00127ABE">
        <w:rPr>
          <w:rFonts w:ascii="Arial" w:hAnsi="Arial" w:cs="Arial"/>
          <w:sz w:val="20"/>
          <w:szCs w:val="20"/>
        </w:rPr>
        <w:t xml:space="preserve"> </w:t>
      </w:r>
      <w:r w:rsidR="00910DE6">
        <w:rPr>
          <w:rFonts w:ascii="Arial" w:hAnsi="Arial" w:cs="Arial"/>
          <w:sz w:val="20"/>
          <w:szCs w:val="20"/>
        </w:rPr>
        <w:t xml:space="preserve">(not to exceed two (2) channel terminations) </w:t>
      </w:r>
      <w:r w:rsidR="00707109" w:rsidRPr="00127ABE">
        <w:rPr>
          <w:rFonts w:ascii="Arial" w:hAnsi="Arial" w:cs="Arial"/>
          <w:sz w:val="20"/>
          <w:szCs w:val="20"/>
        </w:rPr>
        <w:t xml:space="preserve">as listed in Exhibit </w:t>
      </w:r>
      <w:r w:rsidR="008F0E7A">
        <w:rPr>
          <w:rFonts w:ascii="Arial" w:hAnsi="Arial" w:cs="Arial"/>
          <w:sz w:val="20"/>
          <w:szCs w:val="20"/>
        </w:rPr>
        <w:t>B</w:t>
      </w:r>
      <w:r w:rsidR="00E16163">
        <w:rPr>
          <w:rFonts w:ascii="Arial" w:hAnsi="Arial" w:cs="Arial"/>
          <w:sz w:val="20"/>
          <w:szCs w:val="20"/>
        </w:rPr>
        <w:t xml:space="preserve"> without regard to the number of terminations.</w:t>
      </w:r>
      <w:r w:rsidR="00394A44">
        <w:rPr>
          <w:rFonts w:ascii="Arial" w:hAnsi="Arial" w:cs="Arial"/>
          <w:sz w:val="20"/>
          <w:szCs w:val="20"/>
        </w:rPr>
        <w:t xml:space="preserve"> </w:t>
      </w:r>
      <w:r w:rsidR="00E16163">
        <w:rPr>
          <w:rFonts w:ascii="Arial" w:hAnsi="Arial" w:cs="Arial"/>
          <w:sz w:val="20"/>
          <w:szCs w:val="20"/>
        </w:rPr>
        <w:t xml:space="preserve"> </w:t>
      </w:r>
      <w:r w:rsidR="00E16163" w:rsidRPr="00EA6C74">
        <w:rPr>
          <w:rFonts w:ascii="Arial" w:hAnsi="Arial" w:cs="Arial"/>
          <w:sz w:val="20"/>
          <w:szCs w:val="20"/>
        </w:rPr>
        <w:t>For example</w:t>
      </w:r>
      <w:r w:rsidR="00394A44" w:rsidRPr="00EA6C74">
        <w:rPr>
          <w:rFonts w:ascii="Arial" w:hAnsi="Arial" w:cs="Arial"/>
          <w:sz w:val="20"/>
          <w:szCs w:val="20"/>
        </w:rPr>
        <w:t>,</w:t>
      </w:r>
      <w:r w:rsidR="00E16163" w:rsidRPr="00EA6C74">
        <w:rPr>
          <w:rFonts w:ascii="Arial" w:hAnsi="Arial" w:cs="Arial"/>
          <w:sz w:val="20"/>
          <w:szCs w:val="20"/>
        </w:rPr>
        <w:t xml:space="preserve"> a single termination service (e.g., into a col</w:t>
      </w:r>
      <w:r w:rsidR="00394A44" w:rsidRPr="00EA6C74">
        <w:rPr>
          <w:rFonts w:ascii="Arial" w:hAnsi="Arial" w:cs="Arial"/>
          <w:sz w:val="20"/>
          <w:szCs w:val="20"/>
        </w:rPr>
        <w:t>l</w:t>
      </w:r>
      <w:r w:rsidR="00E16163" w:rsidRPr="00EA6C74">
        <w:rPr>
          <w:rFonts w:ascii="Arial" w:hAnsi="Arial" w:cs="Arial"/>
          <w:sz w:val="20"/>
          <w:szCs w:val="20"/>
        </w:rPr>
        <w:t>o</w:t>
      </w:r>
      <w:r w:rsidR="00394A44" w:rsidRPr="00EA6C74">
        <w:rPr>
          <w:rFonts w:ascii="Arial" w:hAnsi="Arial" w:cs="Arial"/>
          <w:sz w:val="20"/>
          <w:szCs w:val="20"/>
        </w:rPr>
        <w:t>cation</w:t>
      </w:r>
      <w:r w:rsidR="00E16163" w:rsidRPr="00EA6C74">
        <w:rPr>
          <w:rFonts w:ascii="Arial" w:hAnsi="Arial" w:cs="Arial"/>
          <w:sz w:val="20"/>
          <w:szCs w:val="20"/>
        </w:rPr>
        <w:t xml:space="preserve"> or meet point) will be billed the same termination MRC as a dual termination service</w:t>
      </w:r>
      <w:r w:rsidR="00E16163">
        <w:rPr>
          <w:rFonts w:ascii="Arial" w:hAnsi="Arial" w:cs="Arial"/>
          <w:sz w:val="20"/>
          <w:szCs w:val="20"/>
        </w:rPr>
        <w:t xml:space="preserve">.  </w:t>
      </w:r>
    </w:p>
    <w:p w14:paraId="3AE9696D" w14:textId="782A2173" w:rsidR="00707109" w:rsidRPr="00127ABE" w:rsidRDefault="00707109" w:rsidP="00DC43AE">
      <w:pPr>
        <w:numPr>
          <w:ilvl w:val="1"/>
          <w:numId w:val="16"/>
        </w:numPr>
        <w:spacing w:after="120"/>
        <w:rPr>
          <w:rFonts w:ascii="Arial" w:hAnsi="Arial" w:cs="Arial"/>
          <w:sz w:val="20"/>
          <w:szCs w:val="20"/>
        </w:rPr>
      </w:pPr>
      <w:r w:rsidRPr="00127ABE">
        <w:rPr>
          <w:rFonts w:ascii="Arial" w:hAnsi="Arial" w:cs="Arial"/>
          <w:sz w:val="20"/>
          <w:szCs w:val="20"/>
        </w:rPr>
        <w:t>A</w:t>
      </w:r>
      <w:r w:rsidR="00077FBE">
        <w:rPr>
          <w:rFonts w:ascii="Arial" w:hAnsi="Arial" w:cs="Arial"/>
          <w:sz w:val="20"/>
          <w:szCs w:val="20"/>
        </w:rPr>
        <w:t>n</w:t>
      </w:r>
      <w:r w:rsidRPr="00127ABE">
        <w:rPr>
          <w:rFonts w:ascii="Arial" w:hAnsi="Arial" w:cs="Arial"/>
          <w:sz w:val="20"/>
          <w:szCs w:val="20"/>
        </w:rPr>
        <w:t xml:space="preserve"> MRC will be applied for any mileage determined to be Interoffice.</w:t>
      </w:r>
      <w:r w:rsidR="00342F23">
        <w:rPr>
          <w:rFonts w:ascii="Arial" w:hAnsi="Arial" w:cs="Arial"/>
          <w:sz w:val="20"/>
          <w:szCs w:val="20"/>
        </w:rPr>
        <w:t xml:space="preserve"> </w:t>
      </w:r>
      <w:r w:rsidRPr="00127ABE">
        <w:rPr>
          <w:rFonts w:ascii="Arial" w:hAnsi="Arial" w:cs="Arial"/>
          <w:sz w:val="20"/>
          <w:szCs w:val="20"/>
        </w:rPr>
        <w:t xml:space="preserve"> Interoffice Mileage is defined as mileage between Frontier Central Offices and</w:t>
      </w:r>
      <w:r w:rsidR="00342F23">
        <w:rPr>
          <w:rFonts w:ascii="Arial" w:hAnsi="Arial" w:cs="Arial"/>
          <w:sz w:val="20"/>
          <w:szCs w:val="20"/>
        </w:rPr>
        <w:t>/</w:t>
      </w:r>
      <w:r w:rsidRPr="00127ABE">
        <w:rPr>
          <w:rFonts w:ascii="Arial" w:hAnsi="Arial" w:cs="Arial"/>
          <w:sz w:val="20"/>
          <w:szCs w:val="20"/>
        </w:rPr>
        <w:t>or Frontier Optical Transport Enabled Wire Centers</w:t>
      </w:r>
      <w:r w:rsidR="00A01E0C" w:rsidRPr="00127ABE">
        <w:rPr>
          <w:rFonts w:ascii="Arial" w:hAnsi="Arial" w:cs="Arial"/>
          <w:sz w:val="20"/>
          <w:szCs w:val="20"/>
        </w:rPr>
        <w:t xml:space="preserve"> needed to complete the necessary design path</w:t>
      </w:r>
      <w:r w:rsidRPr="00127ABE">
        <w:rPr>
          <w:rFonts w:ascii="Arial" w:hAnsi="Arial" w:cs="Arial"/>
          <w:sz w:val="20"/>
          <w:szCs w:val="20"/>
        </w:rPr>
        <w:t xml:space="preserve"> and will be applied in a per mile manner. </w:t>
      </w:r>
      <w:r w:rsidR="00DC43AE">
        <w:rPr>
          <w:rFonts w:ascii="Arial" w:hAnsi="Arial" w:cs="Arial"/>
          <w:sz w:val="20"/>
          <w:szCs w:val="20"/>
        </w:rPr>
        <w:t xml:space="preserve"> </w:t>
      </w:r>
      <w:r w:rsidRPr="00127ABE">
        <w:rPr>
          <w:rFonts w:ascii="Arial" w:hAnsi="Arial" w:cs="Arial"/>
          <w:sz w:val="20"/>
          <w:szCs w:val="20"/>
        </w:rPr>
        <w:t>Should a path equate to a fractionalized number, Frontier will round this number up to the next full mile number.</w:t>
      </w:r>
    </w:p>
    <w:p w14:paraId="3AE9696E" w14:textId="2EC7AE88" w:rsidR="00707109" w:rsidRPr="00127ABE" w:rsidRDefault="00A01E0C" w:rsidP="00DC43AE">
      <w:pPr>
        <w:numPr>
          <w:ilvl w:val="1"/>
          <w:numId w:val="16"/>
        </w:numPr>
        <w:spacing w:after="120"/>
        <w:rPr>
          <w:rFonts w:ascii="Arial" w:hAnsi="Arial" w:cs="Arial"/>
          <w:sz w:val="20"/>
          <w:szCs w:val="20"/>
        </w:rPr>
      </w:pPr>
      <w:r w:rsidRPr="00127ABE">
        <w:rPr>
          <w:rFonts w:ascii="Arial" w:hAnsi="Arial" w:cs="Arial"/>
          <w:sz w:val="20"/>
          <w:szCs w:val="20"/>
        </w:rPr>
        <w:t>A</w:t>
      </w:r>
      <w:r w:rsidR="00077FBE">
        <w:rPr>
          <w:rFonts w:ascii="Arial" w:hAnsi="Arial" w:cs="Arial"/>
          <w:sz w:val="20"/>
          <w:szCs w:val="20"/>
        </w:rPr>
        <w:t>n</w:t>
      </w:r>
      <w:r w:rsidRPr="00127ABE">
        <w:rPr>
          <w:rFonts w:ascii="Arial" w:hAnsi="Arial" w:cs="Arial"/>
          <w:sz w:val="20"/>
          <w:szCs w:val="20"/>
        </w:rPr>
        <w:t xml:space="preserve"> MRC will be applied, for a fixed market mileage component, on all point</w:t>
      </w:r>
      <w:r w:rsidR="0073080B">
        <w:rPr>
          <w:rFonts w:ascii="Arial" w:hAnsi="Arial" w:cs="Arial"/>
          <w:sz w:val="20"/>
          <w:szCs w:val="20"/>
        </w:rPr>
        <w:t>-</w:t>
      </w:r>
      <w:r w:rsidRPr="00127ABE">
        <w:rPr>
          <w:rFonts w:ascii="Arial" w:hAnsi="Arial" w:cs="Arial"/>
          <w:sz w:val="20"/>
          <w:szCs w:val="20"/>
        </w:rPr>
        <w:t>to</w:t>
      </w:r>
      <w:r w:rsidR="0073080B">
        <w:rPr>
          <w:rFonts w:ascii="Arial" w:hAnsi="Arial" w:cs="Arial"/>
          <w:sz w:val="20"/>
          <w:szCs w:val="20"/>
        </w:rPr>
        <w:t>-</w:t>
      </w:r>
      <w:r w:rsidRPr="00127ABE">
        <w:rPr>
          <w:rFonts w:ascii="Arial" w:hAnsi="Arial" w:cs="Arial"/>
          <w:sz w:val="20"/>
          <w:szCs w:val="20"/>
        </w:rPr>
        <w:t>point</w:t>
      </w:r>
      <w:r w:rsidR="00BE39BF" w:rsidRPr="00127ABE">
        <w:rPr>
          <w:rFonts w:ascii="Arial" w:hAnsi="Arial" w:cs="Arial"/>
          <w:sz w:val="20"/>
          <w:szCs w:val="20"/>
        </w:rPr>
        <w:t xml:space="preserve"> optical transport</w:t>
      </w:r>
      <w:r w:rsidRPr="00127ABE">
        <w:rPr>
          <w:rFonts w:ascii="Arial" w:hAnsi="Arial" w:cs="Arial"/>
          <w:sz w:val="20"/>
          <w:szCs w:val="20"/>
        </w:rPr>
        <w:t xml:space="preserve"> paths regardless if Interoffice Mileage is not required or necessary.</w:t>
      </w:r>
    </w:p>
    <w:p w14:paraId="3AE9696F" w14:textId="5E4E9364" w:rsidR="00A01E0C" w:rsidRPr="00127ABE" w:rsidRDefault="00A01E0C" w:rsidP="00DC43AE">
      <w:pPr>
        <w:numPr>
          <w:ilvl w:val="1"/>
          <w:numId w:val="16"/>
        </w:numPr>
        <w:spacing w:after="120"/>
        <w:rPr>
          <w:rFonts w:ascii="Arial" w:hAnsi="Arial" w:cs="Arial"/>
          <w:sz w:val="20"/>
          <w:szCs w:val="20"/>
        </w:rPr>
      </w:pPr>
      <w:r w:rsidRPr="00127ABE">
        <w:rPr>
          <w:rFonts w:ascii="Arial" w:hAnsi="Arial" w:cs="Arial"/>
          <w:sz w:val="20"/>
          <w:szCs w:val="20"/>
        </w:rPr>
        <w:t>A Non-Recurring Charge (</w:t>
      </w:r>
      <w:r w:rsidR="00872290">
        <w:rPr>
          <w:rFonts w:ascii="Arial" w:hAnsi="Arial" w:cs="Arial"/>
          <w:sz w:val="20"/>
          <w:szCs w:val="20"/>
        </w:rPr>
        <w:t>“</w:t>
      </w:r>
      <w:r w:rsidRPr="00D87B09">
        <w:rPr>
          <w:rFonts w:ascii="Arial" w:hAnsi="Arial" w:cs="Arial"/>
          <w:b/>
          <w:sz w:val="20"/>
          <w:szCs w:val="20"/>
        </w:rPr>
        <w:t>NRC</w:t>
      </w:r>
      <w:r w:rsidR="00872290">
        <w:rPr>
          <w:rFonts w:ascii="Arial" w:hAnsi="Arial" w:cs="Arial"/>
          <w:sz w:val="20"/>
          <w:szCs w:val="20"/>
        </w:rPr>
        <w:t>”</w:t>
      </w:r>
      <w:r w:rsidRPr="00127ABE">
        <w:rPr>
          <w:rFonts w:ascii="Arial" w:hAnsi="Arial" w:cs="Arial"/>
          <w:sz w:val="20"/>
          <w:szCs w:val="20"/>
        </w:rPr>
        <w:t xml:space="preserve">) will be applied for all new </w:t>
      </w:r>
      <w:r w:rsidR="004A21CA" w:rsidRPr="00127ABE">
        <w:rPr>
          <w:rFonts w:ascii="Arial" w:hAnsi="Arial" w:cs="Arial"/>
          <w:sz w:val="20"/>
          <w:szCs w:val="20"/>
        </w:rPr>
        <w:t>installati</w:t>
      </w:r>
      <w:r w:rsidR="004A21CA">
        <w:rPr>
          <w:rFonts w:ascii="Arial" w:hAnsi="Arial" w:cs="Arial"/>
          <w:sz w:val="20"/>
          <w:szCs w:val="20"/>
        </w:rPr>
        <w:t>o</w:t>
      </w:r>
      <w:r w:rsidR="004A21CA" w:rsidRPr="00127ABE">
        <w:rPr>
          <w:rFonts w:ascii="Arial" w:hAnsi="Arial" w:cs="Arial"/>
          <w:sz w:val="20"/>
          <w:szCs w:val="20"/>
        </w:rPr>
        <w:t>ns</w:t>
      </w:r>
      <w:r w:rsidRPr="00127ABE">
        <w:rPr>
          <w:rFonts w:ascii="Arial" w:hAnsi="Arial" w:cs="Arial"/>
          <w:sz w:val="20"/>
          <w:szCs w:val="20"/>
        </w:rPr>
        <w:t xml:space="preserve"> only.</w:t>
      </w:r>
    </w:p>
    <w:p w14:paraId="3AE96970" w14:textId="391EAAA8"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 xml:space="preserve">Additional Miscellaneous </w:t>
      </w:r>
      <w:r w:rsidR="003314B5">
        <w:rPr>
          <w:rFonts w:ascii="Arial" w:hAnsi="Arial" w:cs="Arial"/>
          <w:sz w:val="20"/>
          <w:szCs w:val="20"/>
        </w:rPr>
        <w:t>C</w:t>
      </w:r>
      <w:r w:rsidRPr="00127ABE">
        <w:rPr>
          <w:rFonts w:ascii="Arial" w:hAnsi="Arial" w:cs="Arial"/>
          <w:sz w:val="20"/>
          <w:szCs w:val="20"/>
        </w:rPr>
        <w:t xml:space="preserve">harges in support of providing this </w:t>
      </w:r>
      <w:r w:rsidR="00CF0C17">
        <w:rPr>
          <w:rFonts w:ascii="Arial" w:hAnsi="Arial" w:cs="Arial"/>
          <w:sz w:val="20"/>
          <w:szCs w:val="20"/>
        </w:rPr>
        <w:t>S</w:t>
      </w:r>
      <w:r w:rsidRPr="00127ABE">
        <w:rPr>
          <w:rFonts w:ascii="Arial" w:hAnsi="Arial" w:cs="Arial"/>
          <w:sz w:val="20"/>
          <w:szCs w:val="20"/>
        </w:rPr>
        <w:t xml:space="preserve">ervice can be found in Section </w:t>
      </w:r>
      <w:r w:rsidR="00731C6F" w:rsidRPr="00127ABE">
        <w:rPr>
          <w:rFonts w:ascii="Arial" w:hAnsi="Arial" w:cs="Arial"/>
          <w:sz w:val="20"/>
          <w:szCs w:val="20"/>
        </w:rPr>
        <w:t>8</w:t>
      </w:r>
      <w:r w:rsidRPr="00127ABE">
        <w:rPr>
          <w:rFonts w:ascii="Arial" w:hAnsi="Arial" w:cs="Arial"/>
          <w:sz w:val="20"/>
          <w:szCs w:val="20"/>
        </w:rPr>
        <w:t>.</w:t>
      </w:r>
    </w:p>
    <w:p w14:paraId="3AE96971" w14:textId="77777777" w:rsidR="002A34C7" w:rsidRPr="00D87B09" w:rsidRDefault="002A34C7" w:rsidP="00DC43AE">
      <w:pPr>
        <w:numPr>
          <w:ilvl w:val="0"/>
          <w:numId w:val="16"/>
        </w:numPr>
        <w:spacing w:after="120"/>
        <w:rPr>
          <w:rFonts w:ascii="Arial" w:hAnsi="Arial" w:cs="Arial"/>
          <w:b/>
          <w:sz w:val="20"/>
          <w:szCs w:val="20"/>
        </w:rPr>
      </w:pPr>
      <w:r w:rsidRPr="00D87B09">
        <w:rPr>
          <w:rFonts w:ascii="Arial" w:hAnsi="Arial" w:cs="Arial"/>
          <w:b/>
          <w:sz w:val="20"/>
          <w:szCs w:val="20"/>
        </w:rPr>
        <w:t>Standard Provisioning/Process Intervals</w:t>
      </w:r>
    </w:p>
    <w:p w14:paraId="3AE96972" w14:textId="6E61113A" w:rsidR="00A01E0C" w:rsidRPr="00127ABE" w:rsidRDefault="00A01E0C" w:rsidP="00DC43AE">
      <w:pPr>
        <w:numPr>
          <w:ilvl w:val="1"/>
          <w:numId w:val="16"/>
        </w:numPr>
        <w:spacing w:after="120"/>
        <w:rPr>
          <w:rFonts w:ascii="Arial" w:hAnsi="Arial" w:cs="Arial"/>
          <w:sz w:val="20"/>
          <w:szCs w:val="20"/>
        </w:rPr>
      </w:pPr>
      <w:r w:rsidRPr="00127ABE">
        <w:rPr>
          <w:rFonts w:ascii="Arial" w:hAnsi="Arial" w:cs="Arial"/>
          <w:sz w:val="20"/>
          <w:szCs w:val="20"/>
        </w:rPr>
        <w:t xml:space="preserve">This </w:t>
      </w:r>
      <w:r w:rsidR="00CF0C17">
        <w:rPr>
          <w:rFonts w:ascii="Arial" w:hAnsi="Arial" w:cs="Arial"/>
          <w:sz w:val="20"/>
          <w:szCs w:val="20"/>
        </w:rPr>
        <w:t>S</w:t>
      </w:r>
      <w:r w:rsidRPr="00127ABE">
        <w:rPr>
          <w:rFonts w:ascii="Arial" w:hAnsi="Arial" w:cs="Arial"/>
          <w:sz w:val="20"/>
          <w:szCs w:val="20"/>
        </w:rPr>
        <w:t xml:space="preserve">ervice is designed and implemented within a project managed environment. </w:t>
      </w:r>
      <w:r w:rsidR="00DC43AE">
        <w:rPr>
          <w:rFonts w:ascii="Arial" w:hAnsi="Arial" w:cs="Arial"/>
          <w:sz w:val="20"/>
          <w:szCs w:val="20"/>
        </w:rPr>
        <w:t xml:space="preserve"> </w:t>
      </w:r>
      <w:r w:rsidRPr="00127ABE">
        <w:rPr>
          <w:rFonts w:ascii="Arial" w:hAnsi="Arial" w:cs="Arial"/>
          <w:sz w:val="20"/>
          <w:szCs w:val="20"/>
        </w:rPr>
        <w:t>Each installation is considered unique and will require a negotiated timeline based on the findings of a site survey.</w:t>
      </w:r>
      <w:r w:rsidR="00731C6F" w:rsidRPr="00127ABE">
        <w:rPr>
          <w:rFonts w:ascii="Arial" w:hAnsi="Arial" w:cs="Arial"/>
          <w:sz w:val="20"/>
          <w:szCs w:val="20"/>
        </w:rPr>
        <w:t xml:space="preserve"> </w:t>
      </w:r>
      <w:r w:rsidR="00DC43AE">
        <w:rPr>
          <w:rFonts w:ascii="Arial" w:hAnsi="Arial" w:cs="Arial"/>
          <w:sz w:val="20"/>
          <w:szCs w:val="20"/>
        </w:rPr>
        <w:t xml:space="preserve"> </w:t>
      </w:r>
      <w:r w:rsidR="00731C6F" w:rsidRPr="00127ABE">
        <w:rPr>
          <w:rFonts w:ascii="Arial" w:hAnsi="Arial" w:cs="Arial"/>
          <w:sz w:val="20"/>
          <w:szCs w:val="20"/>
        </w:rPr>
        <w:t xml:space="preserve">No standard intervals are available for this </w:t>
      </w:r>
      <w:r w:rsidR="00CF0C17">
        <w:rPr>
          <w:rFonts w:ascii="Arial" w:hAnsi="Arial" w:cs="Arial"/>
          <w:sz w:val="20"/>
          <w:szCs w:val="20"/>
        </w:rPr>
        <w:t>S</w:t>
      </w:r>
      <w:r w:rsidR="00731C6F" w:rsidRPr="00127ABE">
        <w:rPr>
          <w:rFonts w:ascii="Arial" w:hAnsi="Arial" w:cs="Arial"/>
          <w:sz w:val="20"/>
          <w:szCs w:val="20"/>
        </w:rPr>
        <w:t>ervice.</w:t>
      </w:r>
    </w:p>
    <w:p w14:paraId="3AE96973" w14:textId="77777777" w:rsidR="002A34C7" w:rsidRPr="00D87B09" w:rsidRDefault="002A34C7" w:rsidP="00DC43AE">
      <w:pPr>
        <w:numPr>
          <w:ilvl w:val="0"/>
          <w:numId w:val="16"/>
        </w:numPr>
        <w:spacing w:after="120"/>
        <w:rPr>
          <w:rFonts w:ascii="Arial" w:hAnsi="Arial" w:cs="Arial"/>
          <w:b/>
          <w:sz w:val="20"/>
          <w:szCs w:val="20"/>
        </w:rPr>
      </w:pPr>
      <w:r w:rsidRPr="00D87B09">
        <w:rPr>
          <w:rFonts w:ascii="Arial" w:hAnsi="Arial" w:cs="Arial"/>
          <w:b/>
          <w:sz w:val="20"/>
          <w:szCs w:val="20"/>
        </w:rPr>
        <w:t>Moves</w:t>
      </w:r>
    </w:p>
    <w:p w14:paraId="3AE96974" w14:textId="19E2EB83"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 xml:space="preserve">Physical moves consist of any relocation of the physical </w:t>
      </w:r>
      <w:r w:rsidR="00731C6F" w:rsidRPr="00127ABE">
        <w:rPr>
          <w:rFonts w:ascii="Arial" w:hAnsi="Arial" w:cs="Arial"/>
          <w:sz w:val="20"/>
          <w:szCs w:val="20"/>
        </w:rPr>
        <w:t>termination</w:t>
      </w:r>
      <w:r w:rsidRPr="00127ABE">
        <w:rPr>
          <w:rFonts w:ascii="Arial" w:hAnsi="Arial" w:cs="Arial"/>
          <w:sz w:val="20"/>
          <w:szCs w:val="20"/>
        </w:rPr>
        <w:t xml:space="preserve"> and</w:t>
      </w:r>
      <w:r w:rsidR="00731C6F" w:rsidRPr="00127ABE">
        <w:rPr>
          <w:rFonts w:ascii="Arial" w:hAnsi="Arial" w:cs="Arial"/>
          <w:sz w:val="20"/>
          <w:szCs w:val="20"/>
        </w:rPr>
        <w:t xml:space="preserve"> or</w:t>
      </w:r>
      <w:r w:rsidRPr="00127ABE">
        <w:rPr>
          <w:rFonts w:ascii="Arial" w:hAnsi="Arial" w:cs="Arial"/>
          <w:sz w:val="20"/>
          <w:szCs w:val="20"/>
        </w:rPr>
        <w:t xml:space="preserve"> access from one floor to another within a building and or to another physical address location and must be cared for on a Disconnect Service Order followed by a New Service Order issued. </w:t>
      </w:r>
      <w:r w:rsidR="00DC43AE">
        <w:rPr>
          <w:rFonts w:ascii="Arial" w:hAnsi="Arial" w:cs="Arial"/>
          <w:sz w:val="20"/>
          <w:szCs w:val="20"/>
        </w:rPr>
        <w:t xml:space="preserve"> </w:t>
      </w:r>
      <w:r w:rsidRPr="00127ABE">
        <w:rPr>
          <w:rFonts w:ascii="Arial" w:hAnsi="Arial" w:cs="Arial"/>
          <w:sz w:val="20"/>
          <w:szCs w:val="20"/>
        </w:rPr>
        <w:t>This type of move cannot be accommodated on a Change Service Order.</w:t>
      </w:r>
    </w:p>
    <w:p w14:paraId="3AE96975" w14:textId="77777777" w:rsidR="002A34C7" w:rsidRPr="00D87B09" w:rsidRDefault="002A34C7" w:rsidP="00DC43AE">
      <w:pPr>
        <w:numPr>
          <w:ilvl w:val="0"/>
          <w:numId w:val="16"/>
        </w:numPr>
        <w:spacing w:after="120"/>
        <w:rPr>
          <w:rFonts w:ascii="Arial" w:hAnsi="Arial" w:cs="Arial"/>
          <w:b/>
          <w:sz w:val="20"/>
          <w:szCs w:val="20"/>
        </w:rPr>
      </w:pPr>
      <w:r w:rsidRPr="00D87B09">
        <w:rPr>
          <w:rFonts w:ascii="Arial" w:hAnsi="Arial" w:cs="Arial"/>
          <w:b/>
          <w:sz w:val="20"/>
          <w:szCs w:val="20"/>
        </w:rPr>
        <w:t>Customer Responsibilities</w:t>
      </w:r>
    </w:p>
    <w:p w14:paraId="3AE96976" w14:textId="43F98835" w:rsidR="002A34C7" w:rsidRPr="00127ABE" w:rsidRDefault="002A34C7" w:rsidP="006F643D">
      <w:pPr>
        <w:numPr>
          <w:ilvl w:val="1"/>
          <w:numId w:val="16"/>
        </w:numPr>
        <w:spacing w:after="120"/>
        <w:rPr>
          <w:rFonts w:ascii="Arial" w:hAnsi="Arial" w:cs="Arial"/>
          <w:sz w:val="20"/>
          <w:szCs w:val="20"/>
        </w:rPr>
      </w:pPr>
      <w:r w:rsidRPr="00127ABE">
        <w:rPr>
          <w:rFonts w:ascii="Arial" w:hAnsi="Arial" w:cs="Arial"/>
          <w:sz w:val="20"/>
          <w:szCs w:val="20"/>
        </w:rPr>
        <w:t>Customer is responsible for any and all trouble reporting with respect to performance or lack thereof via the following guidelines and procedures</w:t>
      </w:r>
      <w:r w:rsidR="003314B5">
        <w:rPr>
          <w:rFonts w:ascii="Arial" w:hAnsi="Arial" w:cs="Arial"/>
          <w:sz w:val="20"/>
          <w:szCs w:val="20"/>
        </w:rPr>
        <w:t xml:space="preserve">: </w:t>
      </w:r>
      <w:r w:rsidRPr="00127ABE">
        <w:rPr>
          <w:rFonts w:ascii="Arial" w:hAnsi="Arial" w:cs="Arial"/>
          <w:sz w:val="20"/>
          <w:szCs w:val="20"/>
        </w:rPr>
        <w:t xml:space="preserve"> </w:t>
      </w:r>
      <w:hyperlink r:id="rId13" w:history="1">
        <w:r w:rsidR="003314B5" w:rsidRPr="003314B5">
          <w:rPr>
            <w:rStyle w:val="Hyperlink"/>
            <w:rFonts w:ascii="Arial" w:hAnsi="Arial" w:cs="Arial"/>
            <w:sz w:val="20"/>
            <w:szCs w:val="20"/>
          </w:rPr>
          <w:t>https://wholesale.frontier.com/docs/wholesaledocs/frontier-trouble-administration-guide.pdf?sfvrsn=20</w:t>
        </w:r>
      </w:hyperlink>
      <w:r w:rsidR="003314B5">
        <w:rPr>
          <w:rFonts w:ascii="Arial" w:hAnsi="Arial" w:cs="Arial"/>
          <w:sz w:val="20"/>
          <w:szCs w:val="20"/>
        </w:rPr>
        <w:t>.</w:t>
      </w:r>
    </w:p>
    <w:p w14:paraId="3AE96977" w14:textId="77777777" w:rsidR="002A34C7" w:rsidRPr="00D87B09" w:rsidRDefault="002A34C7" w:rsidP="00DC43AE">
      <w:pPr>
        <w:numPr>
          <w:ilvl w:val="0"/>
          <w:numId w:val="16"/>
        </w:numPr>
        <w:spacing w:after="120"/>
        <w:rPr>
          <w:rFonts w:ascii="Arial" w:hAnsi="Arial" w:cs="Arial"/>
          <w:b/>
          <w:sz w:val="20"/>
          <w:szCs w:val="20"/>
        </w:rPr>
      </w:pPr>
      <w:r w:rsidRPr="00D87B09">
        <w:rPr>
          <w:rFonts w:ascii="Arial" w:hAnsi="Arial" w:cs="Arial"/>
          <w:b/>
          <w:sz w:val="20"/>
          <w:szCs w:val="20"/>
        </w:rPr>
        <w:t>Miscellaneous Terms Associated with the Service</w:t>
      </w:r>
    </w:p>
    <w:p w14:paraId="3AE96978" w14:textId="1DABA740"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lastRenderedPageBreak/>
        <w:t>Frontier’s Routine Network Maintenance Window is between 12:01</w:t>
      </w:r>
      <w:r w:rsidR="00DC43AE">
        <w:rPr>
          <w:rFonts w:ascii="Arial" w:hAnsi="Arial" w:cs="Arial"/>
          <w:sz w:val="20"/>
          <w:szCs w:val="20"/>
        </w:rPr>
        <w:t xml:space="preserve"> </w:t>
      </w:r>
      <w:r w:rsidRPr="00127ABE">
        <w:rPr>
          <w:rFonts w:ascii="Arial" w:hAnsi="Arial" w:cs="Arial"/>
          <w:sz w:val="20"/>
          <w:szCs w:val="20"/>
        </w:rPr>
        <w:t>am and 6:00</w:t>
      </w:r>
      <w:r w:rsidR="00DC43AE">
        <w:rPr>
          <w:rFonts w:ascii="Arial" w:hAnsi="Arial" w:cs="Arial"/>
          <w:sz w:val="20"/>
          <w:szCs w:val="20"/>
        </w:rPr>
        <w:t xml:space="preserve"> </w:t>
      </w:r>
      <w:r w:rsidRPr="00127ABE">
        <w:rPr>
          <w:rFonts w:ascii="Arial" w:hAnsi="Arial" w:cs="Arial"/>
          <w:sz w:val="20"/>
          <w:szCs w:val="20"/>
        </w:rPr>
        <w:t xml:space="preserve">am local time, Monday through Friday. </w:t>
      </w:r>
    </w:p>
    <w:p w14:paraId="3AE96979" w14:textId="2F2427C9" w:rsidR="00731C6F"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Available term agreements associated with</w:t>
      </w:r>
      <w:r w:rsidR="00731C6F" w:rsidRPr="00127ABE">
        <w:rPr>
          <w:rFonts w:ascii="Arial" w:hAnsi="Arial" w:cs="Arial"/>
          <w:sz w:val="20"/>
          <w:szCs w:val="20"/>
        </w:rPr>
        <w:t xml:space="preserve"> this </w:t>
      </w:r>
      <w:r w:rsidR="00CF0C17">
        <w:rPr>
          <w:rFonts w:ascii="Arial" w:hAnsi="Arial" w:cs="Arial"/>
          <w:sz w:val="20"/>
          <w:szCs w:val="20"/>
        </w:rPr>
        <w:t>S</w:t>
      </w:r>
      <w:r w:rsidR="00731C6F" w:rsidRPr="00127ABE">
        <w:rPr>
          <w:rFonts w:ascii="Arial" w:hAnsi="Arial" w:cs="Arial"/>
          <w:sz w:val="20"/>
          <w:szCs w:val="20"/>
        </w:rPr>
        <w:t>ervice</w:t>
      </w:r>
      <w:r w:rsidRPr="00127ABE">
        <w:rPr>
          <w:rFonts w:ascii="Arial" w:hAnsi="Arial" w:cs="Arial"/>
          <w:sz w:val="20"/>
          <w:szCs w:val="20"/>
        </w:rPr>
        <w:t xml:space="preserve"> are one</w:t>
      </w:r>
      <w:r w:rsidR="00CF0C17">
        <w:rPr>
          <w:rFonts w:ascii="Arial" w:hAnsi="Arial" w:cs="Arial"/>
          <w:sz w:val="20"/>
          <w:szCs w:val="20"/>
        </w:rPr>
        <w:t xml:space="preserve"> (1)</w:t>
      </w:r>
      <w:r w:rsidRPr="00127ABE">
        <w:rPr>
          <w:rFonts w:ascii="Arial" w:hAnsi="Arial" w:cs="Arial"/>
          <w:sz w:val="20"/>
          <w:szCs w:val="20"/>
        </w:rPr>
        <w:t>, two</w:t>
      </w:r>
      <w:r w:rsidR="00CF0C17">
        <w:rPr>
          <w:rFonts w:ascii="Arial" w:hAnsi="Arial" w:cs="Arial"/>
          <w:sz w:val="20"/>
          <w:szCs w:val="20"/>
        </w:rPr>
        <w:t xml:space="preserve"> (2)</w:t>
      </w:r>
      <w:r w:rsidRPr="00127ABE">
        <w:rPr>
          <w:rFonts w:ascii="Arial" w:hAnsi="Arial" w:cs="Arial"/>
          <w:sz w:val="20"/>
          <w:szCs w:val="20"/>
        </w:rPr>
        <w:t>, three</w:t>
      </w:r>
      <w:r w:rsidR="00CF0C17">
        <w:rPr>
          <w:rFonts w:ascii="Arial" w:hAnsi="Arial" w:cs="Arial"/>
          <w:sz w:val="20"/>
          <w:szCs w:val="20"/>
        </w:rPr>
        <w:t xml:space="preserve"> (3)</w:t>
      </w:r>
      <w:r w:rsidRPr="00127ABE">
        <w:rPr>
          <w:rFonts w:ascii="Arial" w:hAnsi="Arial" w:cs="Arial"/>
          <w:sz w:val="20"/>
          <w:szCs w:val="20"/>
        </w:rPr>
        <w:t xml:space="preserve"> and five</w:t>
      </w:r>
      <w:r w:rsidR="00CF0C17">
        <w:rPr>
          <w:rFonts w:ascii="Arial" w:hAnsi="Arial" w:cs="Arial"/>
          <w:sz w:val="20"/>
          <w:szCs w:val="20"/>
        </w:rPr>
        <w:t xml:space="preserve"> (5)</w:t>
      </w:r>
      <w:r w:rsidRPr="00127ABE">
        <w:rPr>
          <w:rFonts w:ascii="Arial" w:hAnsi="Arial" w:cs="Arial"/>
          <w:sz w:val="20"/>
          <w:szCs w:val="20"/>
        </w:rPr>
        <w:t xml:space="preserve"> year as established within the Variable Term Agreement (</w:t>
      </w:r>
      <w:r w:rsidR="00872290">
        <w:rPr>
          <w:rFonts w:ascii="Arial" w:hAnsi="Arial" w:cs="Arial"/>
          <w:sz w:val="20"/>
          <w:szCs w:val="20"/>
        </w:rPr>
        <w:t>“</w:t>
      </w:r>
      <w:r w:rsidRPr="00D87B09">
        <w:rPr>
          <w:rFonts w:ascii="Arial" w:hAnsi="Arial" w:cs="Arial"/>
          <w:b/>
          <w:sz w:val="20"/>
          <w:szCs w:val="20"/>
        </w:rPr>
        <w:t>VTA</w:t>
      </w:r>
      <w:r w:rsidR="00872290">
        <w:rPr>
          <w:rFonts w:ascii="Arial" w:hAnsi="Arial" w:cs="Arial"/>
          <w:sz w:val="20"/>
          <w:szCs w:val="20"/>
        </w:rPr>
        <w:t>”</w:t>
      </w:r>
      <w:r w:rsidRPr="00127ABE">
        <w:rPr>
          <w:rFonts w:ascii="Arial" w:hAnsi="Arial" w:cs="Arial"/>
          <w:sz w:val="20"/>
          <w:szCs w:val="20"/>
        </w:rPr>
        <w:t xml:space="preserve">) field of the </w:t>
      </w:r>
      <w:r w:rsidR="00731C6F" w:rsidRPr="00127ABE">
        <w:rPr>
          <w:rFonts w:ascii="Arial" w:hAnsi="Arial" w:cs="Arial"/>
          <w:sz w:val="20"/>
          <w:szCs w:val="20"/>
        </w:rPr>
        <w:t>ASR/</w:t>
      </w:r>
      <w:r w:rsidRPr="00127ABE">
        <w:rPr>
          <w:rFonts w:ascii="Arial" w:hAnsi="Arial" w:cs="Arial"/>
          <w:sz w:val="20"/>
          <w:szCs w:val="20"/>
        </w:rPr>
        <w:t>S</w:t>
      </w:r>
      <w:r w:rsidR="00EB5349">
        <w:rPr>
          <w:rFonts w:ascii="Arial" w:hAnsi="Arial" w:cs="Arial"/>
          <w:sz w:val="20"/>
          <w:szCs w:val="20"/>
        </w:rPr>
        <w:t>O</w:t>
      </w:r>
      <w:r w:rsidRPr="00127ABE">
        <w:rPr>
          <w:rFonts w:ascii="Arial" w:hAnsi="Arial" w:cs="Arial"/>
          <w:sz w:val="20"/>
          <w:szCs w:val="20"/>
        </w:rPr>
        <w:t xml:space="preserve">. </w:t>
      </w:r>
    </w:p>
    <w:p w14:paraId="3AE9697A" w14:textId="617B6CD0"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 xml:space="preserve">Minimum period for this </w:t>
      </w:r>
      <w:r w:rsidR="00CF0C17">
        <w:rPr>
          <w:rFonts w:ascii="Arial" w:hAnsi="Arial" w:cs="Arial"/>
          <w:sz w:val="20"/>
          <w:szCs w:val="20"/>
        </w:rPr>
        <w:t>S</w:t>
      </w:r>
      <w:r w:rsidRPr="00127ABE">
        <w:rPr>
          <w:rFonts w:ascii="Arial" w:hAnsi="Arial" w:cs="Arial"/>
          <w:sz w:val="20"/>
          <w:szCs w:val="20"/>
        </w:rPr>
        <w:t>ervice shall b</w:t>
      </w:r>
      <w:r w:rsidRPr="00EB5349">
        <w:rPr>
          <w:rFonts w:ascii="Arial" w:hAnsi="Arial" w:cs="Arial"/>
          <w:sz w:val="20"/>
          <w:szCs w:val="20"/>
        </w:rPr>
        <w:t xml:space="preserve">e the length of the term as specified in the VTA field of the </w:t>
      </w:r>
      <w:r w:rsidR="00731C6F" w:rsidRPr="00EB5349">
        <w:rPr>
          <w:rFonts w:ascii="Arial" w:hAnsi="Arial" w:cs="Arial"/>
          <w:sz w:val="20"/>
          <w:szCs w:val="20"/>
        </w:rPr>
        <w:t>ASR/</w:t>
      </w:r>
      <w:r w:rsidRPr="00EB5349">
        <w:rPr>
          <w:rFonts w:ascii="Arial" w:hAnsi="Arial" w:cs="Arial"/>
          <w:sz w:val="20"/>
          <w:szCs w:val="20"/>
        </w:rPr>
        <w:t xml:space="preserve">Service Order for </w:t>
      </w:r>
      <w:r w:rsidR="00C8244A" w:rsidRPr="00EB5349">
        <w:rPr>
          <w:rFonts w:ascii="Arial" w:hAnsi="Arial" w:cs="Arial"/>
          <w:sz w:val="20"/>
          <w:szCs w:val="20"/>
        </w:rPr>
        <w:t xml:space="preserve">this </w:t>
      </w:r>
      <w:r w:rsidR="00CF0C17" w:rsidRPr="00E8682F">
        <w:rPr>
          <w:rFonts w:ascii="Arial" w:hAnsi="Arial" w:cs="Arial"/>
          <w:sz w:val="20"/>
          <w:szCs w:val="20"/>
        </w:rPr>
        <w:t>S</w:t>
      </w:r>
      <w:r w:rsidR="00C8244A" w:rsidRPr="00E8682F">
        <w:rPr>
          <w:rFonts w:ascii="Arial" w:hAnsi="Arial" w:cs="Arial"/>
          <w:sz w:val="20"/>
          <w:szCs w:val="20"/>
        </w:rPr>
        <w:t>ervice,</w:t>
      </w:r>
      <w:r w:rsidRPr="00E8682F">
        <w:rPr>
          <w:rFonts w:ascii="Arial" w:hAnsi="Arial" w:cs="Arial"/>
          <w:sz w:val="20"/>
          <w:szCs w:val="20"/>
        </w:rPr>
        <w:t xml:space="preserve"> including mileage</w:t>
      </w:r>
      <w:r w:rsidR="00731C6F" w:rsidRPr="00EB5349">
        <w:rPr>
          <w:rFonts w:ascii="Arial" w:hAnsi="Arial" w:cs="Arial"/>
          <w:sz w:val="20"/>
          <w:szCs w:val="20"/>
        </w:rPr>
        <w:t>.</w:t>
      </w:r>
      <w:r w:rsidRPr="00EB5349">
        <w:rPr>
          <w:rFonts w:ascii="Arial" w:hAnsi="Arial" w:cs="Arial"/>
          <w:sz w:val="20"/>
          <w:szCs w:val="20"/>
        </w:rPr>
        <w:t xml:space="preserve"> </w:t>
      </w:r>
      <w:r w:rsidR="00DC43AE" w:rsidRPr="00EB5349">
        <w:rPr>
          <w:rFonts w:ascii="Arial" w:hAnsi="Arial" w:cs="Arial"/>
          <w:sz w:val="20"/>
          <w:szCs w:val="20"/>
        </w:rPr>
        <w:t xml:space="preserve"> </w:t>
      </w:r>
      <w:r w:rsidR="00366EF6" w:rsidRPr="00D87B09">
        <w:rPr>
          <w:rFonts w:ascii="Arial" w:hAnsi="Arial" w:cs="Arial"/>
          <w:sz w:val="20"/>
          <w:szCs w:val="20"/>
        </w:rPr>
        <w:t xml:space="preserve">In the event a cancellation order is received </w:t>
      </w:r>
      <w:r w:rsidR="00EB5349" w:rsidRPr="00D87B09">
        <w:rPr>
          <w:rFonts w:ascii="Arial" w:hAnsi="Arial" w:cs="Arial"/>
          <w:sz w:val="20"/>
          <w:szCs w:val="20"/>
        </w:rPr>
        <w:t xml:space="preserve">after the service start date but prior to fulfilling the Service Term or any subsequent </w:t>
      </w:r>
      <w:r w:rsidR="00757E57" w:rsidRPr="00D87B09">
        <w:rPr>
          <w:rFonts w:ascii="Arial" w:hAnsi="Arial" w:cs="Arial"/>
          <w:sz w:val="20"/>
          <w:szCs w:val="20"/>
        </w:rPr>
        <w:t>R</w:t>
      </w:r>
      <w:r w:rsidR="00EB5349" w:rsidRPr="00D87B09">
        <w:rPr>
          <w:rFonts w:ascii="Arial" w:hAnsi="Arial" w:cs="Arial"/>
          <w:sz w:val="20"/>
          <w:szCs w:val="20"/>
        </w:rPr>
        <w:t>enewal Service Term (where the extension is greater than month to month and other than as a result of a breach by Frontier)</w:t>
      </w:r>
      <w:r w:rsidR="00366EF6" w:rsidRPr="00D87B09">
        <w:rPr>
          <w:rFonts w:ascii="Arial" w:hAnsi="Arial" w:cs="Arial"/>
          <w:b/>
          <w:bCs/>
          <w:sz w:val="20"/>
          <w:szCs w:val="20"/>
        </w:rPr>
        <w:t>,</w:t>
      </w:r>
      <w:r w:rsidR="00366EF6" w:rsidRPr="00D87B09">
        <w:rPr>
          <w:rFonts w:ascii="Arial" w:hAnsi="Arial" w:cs="Arial"/>
          <w:sz w:val="20"/>
          <w:szCs w:val="20"/>
        </w:rPr>
        <w:t xml:space="preserve"> </w:t>
      </w:r>
      <w:r w:rsidRPr="00EB5349">
        <w:rPr>
          <w:rFonts w:ascii="Arial" w:hAnsi="Arial" w:cs="Arial"/>
          <w:sz w:val="20"/>
          <w:szCs w:val="20"/>
        </w:rPr>
        <w:t>Early Termination Liability charges will be assessed and in</w:t>
      </w:r>
      <w:r w:rsidRPr="00127ABE">
        <w:rPr>
          <w:rFonts w:ascii="Arial" w:hAnsi="Arial" w:cs="Arial"/>
          <w:sz w:val="20"/>
          <w:szCs w:val="20"/>
        </w:rPr>
        <w:t xml:space="preserve">voiced in the amount of 100% of the MRC for the remaining period of the original term as indicated in the VTA field of the originating </w:t>
      </w:r>
      <w:r w:rsidR="00C8244A" w:rsidRPr="00127ABE">
        <w:rPr>
          <w:rFonts w:ascii="Arial" w:hAnsi="Arial" w:cs="Arial"/>
          <w:sz w:val="20"/>
          <w:szCs w:val="20"/>
        </w:rPr>
        <w:t>ASR/</w:t>
      </w:r>
      <w:r w:rsidRPr="00127ABE">
        <w:rPr>
          <w:rFonts w:ascii="Arial" w:hAnsi="Arial" w:cs="Arial"/>
          <w:sz w:val="20"/>
          <w:szCs w:val="20"/>
        </w:rPr>
        <w:t>Service Order.</w:t>
      </w:r>
      <w:r w:rsidR="00BE20C6">
        <w:rPr>
          <w:rFonts w:ascii="Arial" w:hAnsi="Arial" w:cs="Arial"/>
          <w:sz w:val="20"/>
          <w:szCs w:val="20"/>
        </w:rPr>
        <w:t xml:space="preserve">  </w:t>
      </w:r>
    </w:p>
    <w:p w14:paraId="3AE9697B" w14:textId="188D5588"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 xml:space="preserve">Expedites or the ability to improve a delivery date outside of Frontier’s </w:t>
      </w:r>
      <w:r w:rsidR="00731C6F" w:rsidRPr="00127ABE">
        <w:rPr>
          <w:rFonts w:ascii="Arial" w:hAnsi="Arial" w:cs="Arial"/>
          <w:sz w:val="20"/>
          <w:szCs w:val="20"/>
        </w:rPr>
        <w:t>negotiated Firm Order Commitment date is</w:t>
      </w:r>
      <w:r w:rsidRPr="00127ABE">
        <w:rPr>
          <w:rFonts w:ascii="Arial" w:hAnsi="Arial" w:cs="Arial"/>
          <w:sz w:val="20"/>
          <w:szCs w:val="20"/>
        </w:rPr>
        <w:t xml:space="preserve"> permitted with this </w:t>
      </w:r>
      <w:r w:rsidR="00CF0C17">
        <w:rPr>
          <w:rFonts w:ascii="Arial" w:hAnsi="Arial" w:cs="Arial"/>
          <w:sz w:val="20"/>
          <w:szCs w:val="20"/>
        </w:rPr>
        <w:t>S</w:t>
      </w:r>
      <w:r w:rsidRPr="00127ABE">
        <w:rPr>
          <w:rFonts w:ascii="Arial" w:hAnsi="Arial" w:cs="Arial"/>
          <w:sz w:val="20"/>
          <w:szCs w:val="20"/>
        </w:rPr>
        <w:t>ervice</w:t>
      </w:r>
      <w:r w:rsidR="00731C6F" w:rsidRPr="00127ABE">
        <w:rPr>
          <w:rFonts w:ascii="Arial" w:hAnsi="Arial" w:cs="Arial"/>
          <w:sz w:val="20"/>
          <w:szCs w:val="20"/>
        </w:rPr>
        <w:t>.</w:t>
      </w:r>
      <w:r w:rsidRPr="00127ABE">
        <w:rPr>
          <w:rFonts w:ascii="Arial" w:hAnsi="Arial" w:cs="Arial"/>
          <w:sz w:val="20"/>
          <w:szCs w:val="20"/>
        </w:rPr>
        <w:t xml:space="preserve"> </w:t>
      </w:r>
      <w:r w:rsidR="00DC43AE">
        <w:rPr>
          <w:rFonts w:ascii="Arial" w:hAnsi="Arial" w:cs="Arial"/>
          <w:sz w:val="20"/>
          <w:szCs w:val="20"/>
        </w:rPr>
        <w:t xml:space="preserve"> </w:t>
      </w:r>
      <w:r w:rsidR="00731C6F" w:rsidRPr="00127ABE">
        <w:rPr>
          <w:rFonts w:ascii="Arial" w:hAnsi="Arial" w:cs="Arial"/>
          <w:sz w:val="20"/>
          <w:szCs w:val="20"/>
        </w:rPr>
        <w:t xml:space="preserve">This fee will only be </w:t>
      </w:r>
      <w:r w:rsidRPr="00127ABE">
        <w:rPr>
          <w:rFonts w:ascii="Arial" w:hAnsi="Arial" w:cs="Arial"/>
          <w:sz w:val="20"/>
          <w:szCs w:val="20"/>
        </w:rPr>
        <w:t xml:space="preserve">applied when the EXP field is populated with a “y” and Frontier </w:t>
      </w:r>
      <w:proofErr w:type="gramStart"/>
      <w:r w:rsidRPr="00127ABE">
        <w:rPr>
          <w:rFonts w:ascii="Arial" w:hAnsi="Arial" w:cs="Arial"/>
          <w:sz w:val="20"/>
          <w:szCs w:val="20"/>
        </w:rPr>
        <w:t>is capable of shortening</w:t>
      </w:r>
      <w:proofErr w:type="gramEnd"/>
      <w:r w:rsidRPr="00127ABE">
        <w:rPr>
          <w:rFonts w:ascii="Arial" w:hAnsi="Arial" w:cs="Arial"/>
          <w:sz w:val="20"/>
          <w:szCs w:val="20"/>
        </w:rPr>
        <w:t xml:space="preserve"> the </w:t>
      </w:r>
      <w:r w:rsidR="00731C6F" w:rsidRPr="00127ABE">
        <w:rPr>
          <w:rFonts w:ascii="Arial" w:hAnsi="Arial" w:cs="Arial"/>
          <w:sz w:val="20"/>
          <w:szCs w:val="20"/>
        </w:rPr>
        <w:t>negotiated delivery date</w:t>
      </w:r>
      <w:r w:rsidRPr="00127ABE">
        <w:rPr>
          <w:rFonts w:ascii="Arial" w:hAnsi="Arial" w:cs="Arial"/>
          <w:sz w:val="20"/>
          <w:szCs w:val="20"/>
        </w:rPr>
        <w:t>.</w:t>
      </w:r>
      <w:r w:rsidR="00DC43AE">
        <w:rPr>
          <w:rFonts w:ascii="Arial" w:hAnsi="Arial" w:cs="Arial"/>
          <w:sz w:val="20"/>
          <w:szCs w:val="20"/>
        </w:rPr>
        <w:t xml:space="preserve"> </w:t>
      </w:r>
      <w:r w:rsidRPr="00127ABE">
        <w:rPr>
          <w:rFonts w:ascii="Arial" w:hAnsi="Arial" w:cs="Arial"/>
          <w:sz w:val="20"/>
          <w:szCs w:val="20"/>
        </w:rPr>
        <w:t xml:space="preserve"> This does not guarantee a reduced </w:t>
      </w:r>
      <w:r w:rsidR="00731C6F" w:rsidRPr="00127ABE">
        <w:rPr>
          <w:rFonts w:ascii="Arial" w:hAnsi="Arial" w:cs="Arial"/>
          <w:sz w:val="20"/>
          <w:szCs w:val="20"/>
        </w:rPr>
        <w:t>delivery</w:t>
      </w:r>
      <w:r w:rsidRPr="00127ABE">
        <w:rPr>
          <w:rFonts w:ascii="Arial" w:hAnsi="Arial" w:cs="Arial"/>
          <w:sz w:val="20"/>
          <w:szCs w:val="20"/>
        </w:rPr>
        <w:t>.</w:t>
      </w:r>
      <w:r w:rsidR="00DC43AE">
        <w:rPr>
          <w:rFonts w:ascii="Arial" w:hAnsi="Arial" w:cs="Arial"/>
          <w:sz w:val="20"/>
          <w:szCs w:val="20"/>
        </w:rPr>
        <w:t xml:space="preserve"> </w:t>
      </w:r>
      <w:r w:rsidRPr="00127ABE">
        <w:rPr>
          <w:rFonts w:ascii="Arial" w:hAnsi="Arial" w:cs="Arial"/>
          <w:sz w:val="20"/>
          <w:szCs w:val="20"/>
        </w:rPr>
        <w:t xml:space="preserve"> However, should Frontier be </w:t>
      </w:r>
      <w:proofErr w:type="gramStart"/>
      <w:r w:rsidRPr="00127ABE">
        <w:rPr>
          <w:rFonts w:ascii="Arial" w:hAnsi="Arial" w:cs="Arial"/>
          <w:sz w:val="20"/>
          <w:szCs w:val="20"/>
        </w:rPr>
        <w:t>in a position</w:t>
      </w:r>
      <w:proofErr w:type="gramEnd"/>
      <w:r w:rsidRPr="00127ABE">
        <w:rPr>
          <w:rFonts w:ascii="Arial" w:hAnsi="Arial" w:cs="Arial"/>
          <w:sz w:val="20"/>
          <w:szCs w:val="20"/>
        </w:rPr>
        <w:t xml:space="preserve"> to better the delivery time prior to the </w:t>
      </w:r>
      <w:r w:rsidR="00731C6F" w:rsidRPr="00127ABE">
        <w:rPr>
          <w:rFonts w:ascii="Arial" w:hAnsi="Arial" w:cs="Arial"/>
          <w:sz w:val="20"/>
          <w:szCs w:val="20"/>
        </w:rPr>
        <w:t>firm order commitment date provided</w:t>
      </w:r>
      <w:r w:rsidRPr="00127ABE">
        <w:rPr>
          <w:rFonts w:ascii="Arial" w:hAnsi="Arial" w:cs="Arial"/>
          <w:sz w:val="20"/>
          <w:szCs w:val="20"/>
        </w:rPr>
        <w:t>, a fee of $4</w:t>
      </w:r>
      <w:r w:rsidR="00731C6F" w:rsidRPr="00127ABE">
        <w:rPr>
          <w:rFonts w:ascii="Arial" w:hAnsi="Arial" w:cs="Arial"/>
          <w:sz w:val="20"/>
          <w:szCs w:val="20"/>
        </w:rPr>
        <w:t>50</w:t>
      </w:r>
      <w:r w:rsidRPr="00127ABE">
        <w:rPr>
          <w:rFonts w:ascii="Arial" w:hAnsi="Arial" w:cs="Arial"/>
          <w:sz w:val="20"/>
          <w:szCs w:val="20"/>
        </w:rPr>
        <w:t xml:space="preserve"> will be applied for each day the delivery interval was improved upon.</w:t>
      </w:r>
    </w:p>
    <w:p w14:paraId="3AE9697C" w14:textId="6B75F328"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 xml:space="preserve">Cancellation charges will be administered as referenced in Section 4 of the </w:t>
      </w:r>
      <w:r w:rsidR="00342F23">
        <w:rPr>
          <w:rFonts w:ascii="Arial" w:hAnsi="Arial" w:cs="Arial"/>
          <w:sz w:val="20"/>
          <w:szCs w:val="20"/>
        </w:rPr>
        <w:t>FSA</w:t>
      </w:r>
      <w:r w:rsidRPr="00127ABE">
        <w:rPr>
          <w:rFonts w:ascii="Arial" w:hAnsi="Arial" w:cs="Arial"/>
          <w:sz w:val="20"/>
          <w:szCs w:val="20"/>
        </w:rPr>
        <w:t xml:space="preserve">, for this </w:t>
      </w:r>
      <w:r w:rsidR="00CF0C17">
        <w:rPr>
          <w:rFonts w:ascii="Arial" w:hAnsi="Arial" w:cs="Arial"/>
          <w:sz w:val="20"/>
          <w:szCs w:val="20"/>
        </w:rPr>
        <w:t>S</w:t>
      </w:r>
      <w:r w:rsidRPr="00127ABE">
        <w:rPr>
          <w:rFonts w:ascii="Arial" w:hAnsi="Arial" w:cs="Arial"/>
          <w:sz w:val="20"/>
          <w:szCs w:val="20"/>
        </w:rPr>
        <w:t xml:space="preserve">ervice and </w:t>
      </w:r>
      <w:r w:rsidR="00CF0C17">
        <w:rPr>
          <w:rFonts w:ascii="Arial" w:hAnsi="Arial" w:cs="Arial"/>
          <w:sz w:val="20"/>
          <w:szCs w:val="20"/>
        </w:rPr>
        <w:t>S</w:t>
      </w:r>
      <w:r w:rsidRPr="00127ABE">
        <w:rPr>
          <w:rFonts w:ascii="Arial" w:hAnsi="Arial" w:cs="Arial"/>
          <w:sz w:val="20"/>
          <w:szCs w:val="20"/>
        </w:rPr>
        <w:t>chedule.</w:t>
      </w:r>
    </w:p>
    <w:p w14:paraId="3AE9697D" w14:textId="4BB1EAA1"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 xml:space="preserve">Supplication Administrative fees will be charged in the amount of $75 for </w:t>
      </w:r>
      <w:proofErr w:type="gramStart"/>
      <w:r w:rsidRPr="00127ABE">
        <w:rPr>
          <w:rFonts w:ascii="Arial" w:hAnsi="Arial" w:cs="Arial"/>
          <w:sz w:val="20"/>
          <w:szCs w:val="20"/>
        </w:rPr>
        <w:t>any and all</w:t>
      </w:r>
      <w:proofErr w:type="gramEnd"/>
      <w:r w:rsidRPr="00127ABE">
        <w:rPr>
          <w:rFonts w:ascii="Arial" w:hAnsi="Arial" w:cs="Arial"/>
          <w:sz w:val="20"/>
          <w:szCs w:val="20"/>
        </w:rPr>
        <w:t xml:space="preserve"> activity populated as </w:t>
      </w:r>
      <w:r w:rsidR="00CF0C17">
        <w:rPr>
          <w:rFonts w:ascii="Arial" w:hAnsi="Arial" w:cs="Arial"/>
          <w:sz w:val="20"/>
          <w:szCs w:val="20"/>
        </w:rPr>
        <w:t>“</w:t>
      </w:r>
      <w:r w:rsidRPr="00127ABE">
        <w:rPr>
          <w:rFonts w:ascii="Arial" w:hAnsi="Arial" w:cs="Arial"/>
          <w:sz w:val="20"/>
          <w:szCs w:val="20"/>
        </w:rPr>
        <w:t>2</w:t>
      </w:r>
      <w:r w:rsidR="00CF0C17">
        <w:rPr>
          <w:rFonts w:ascii="Arial" w:hAnsi="Arial" w:cs="Arial"/>
          <w:sz w:val="20"/>
          <w:szCs w:val="20"/>
        </w:rPr>
        <w:t>”</w:t>
      </w:r>
      <w:r w:rsidRPr="00127ABE">
        <w:rPr>
          <w:rFonts w:ascii="Arial" w:hAnsi="Arial" w:cs="Arial"/>
          <w:sz w:val="20"/>
          <w:szCs w:val="20"/>
        </w:rPr>
        <w:t xml:space="preserve">, </w:t>
      </w:r>
      <w:r w:rsidR="00CF0C17">
        <w:rPr>
          <w:rFonts w:ascii="Arial" w:hAnsi="Arial" w:cs="Arial"/>
          <w:sz w:val="20"/>
          <w:szCs w:val="20"/>
        </w:rPr>
        <w:t>“</w:t>
      </w:r>
      <w:r w:rsidRPr="00127ABE">
        <w:rPr>
          <w:rFonts w:ascii="Arial" w:hAnsi="Arial" w:cs="Arial"/>
          <w:sz w:val="20"/>
          <w:szCs w:val="20"/>
        </w:rPr>
        <w:t>3</w:t>
      </w:r>
      <w:r w:rsidR="00CF0C17">
        <w:rPr>
          <w:rFonts w:ascii="Arial" w:hAnsi="Arial" w:cs="Arial"/>
          <w:sz w:val="20"/>
          <w:szCs w:val="20"/>
        </w:rPr>
        <w:t>”</w:t>
      </w:r>
      <w:r w:rsidRPr="00127ABE">
        <w:rPr>
          <w:rFonts w:ascii="Arial" w:hAnsi="Arial" w:cs="Arial"/>
          <w:sz w:val="20"/>
          <w:szCs w:val="20"/>
        </w:rPr>
        <w:t xml:space="preserve"> or </w:t>
      </w:r>
      <w:r w:rsidR="00CF0C17">
        <w:rPr>
          <w:rFonts w:ascii="Arial" w:hAnsi="Arial" w:cs="Arial"/>
          <w:sz w:val="20"/>
          <w:szCs w:val="20"/>
        </w:rPr>
        <w:t>“</w:t>
      </w:r>
      <w:r w:rsidRPr="00127ABE">
        <w:rPr>
          <w:rFonts w:ascii="Arial" w:hAnsi="Arial" w:cs="Arial"/>
          <w:sz w:val="20"/>
          <w:szCs w:val="20"/>
        </w:rPr>
        <w:t>4</w:t>
      </w:r>
      <w:r w:rsidR="00CF0C17">
        <w:rPr>
          <w:rFonts w:ascii="Arial" w:hAnsi="Arial" w:cs="Arial"/>
          <w:sz w:val="20"/>
          <w:szCs w:val="20"/>
        </w:rPr>
        <w:t>”</w:t>
      </w:r>
      <w:r w:rsidRPr="00127ABE">
        <w:rPr>
          <w:rFonts w:ascii="Arial" w:hAnsi="Arial" w:cs="Arial"/>
          <w:sz w:val="20"/>
          <w:szCs w:val="20"/>
        </w:rPr>
        <w:t xml:space="preserve"> within the SUP field of the Administrative Section of the Service Order.</w:t>
      </w:r>
      <w:r w:rsidR="00DC43AE">
        <w:rPr>
          <w:rFonts w:ascii="Arial" w:hAnsi="Arial" w:cs="Arial"/>
          <w:sz w:val="20"/>
          <w:szCs w:val="20"/>
        </w:rPr>
        <w:t xml:space="preserve"> </w:t>
      </w:r>
      <w:r w:rsidRPr="00127ABE">
        <w:rPr>
          <w:rFonts w:ascii="Arial" w:hAnsi="Arial" w:cs="Arial"/>
          <w:sz w:val="20"/>
          <w:szCs w:val="20"/>
        </w:rPr>
        <w:t xml:space="preserve"> Supplications populated as a </w:t>
      </w:r>
      <w:r w:rsidR="00CF0C17">
        <w:rPr>
          <w:rFonts w:ascii="Arial" w:hAnsi="Arial" w:cs="Arial"/>
          <w:sz w:val="20"/>
          <w:szCs w:val="20"/>
        </w:rPr>
        <w:t>“</w:t>
      </w:r>
      <w:r w:rsidRPr="00127ABE">
        <w:rPr>
          <w:rFonts w:ascii="Arial" w:hAnsi="Arial" w:cs="Arial"/>
          <w:sz w:val="20"/>
          <w:szCs w:val="20"/>
        </w:rPr>
        <w:t>1</w:t>
      </w:r>
      <w:r w:rsidR="00CF0C17">
        <w:rPr>
          <w:rFonts w:ascii="Arial" w:hAnsi="Arial" w:cs="Arial"/>
          <w:sz w:val="20"/>
          <w:szCs w:val="20"/>
        </w:rPr>
        <w:t>”</w:t>
      </w:r>
      <w:r w:rsidRPr="00127ABE">
        <w:rPr>
          <w:rFonts w:ascii="Arial" w:hAnsi="Arial" w:cs="Arial"/>
          <w:sz w:val="20"/>
          <w:szCs w:val="20"/>
        </w:rPr>
        <w:t xml:space="preserve"> within the SUP field, will automatically incur the appropriate fees associated with a Cancellation as stated above.</w:t>
      </w:r>
    </w:p>
    <w:p w14:paraId="3AE9697E" w14:textId="6C84E058" w:rsidR="002A34C7" w:rsidRPr="00127ABE" w:rsidRDefault="002A34C7" w:rsidP="00DC43AE">
      <w:pPr>
        <w:numPr>
          <w:ilvl w:val="1"/>
          <w:numId w:val="16"/>
        </w:numPr>
        <w:spacing w:after="120"/>
        <w:rPr>
          <w:rFonts w:ascii="Arial" w:hAnsi="Arial" w:cs="Arial"/>
          <w:sz w:val="20"/>
          <w:szCs w:val="20"/>
        </w:rPr>
      </w:pPr>
      <w:r w:rsidRPr="00127ABE">
        <w:rPr>
          <w:rFonts w:ascii="Arial" w:hAnsi="Arial" w:cs="Arial"/>
          <w:sz w:val="20"/>
          <w:szCs w:val="20"/>
        </w:rPr>
        <w:t>No Trouble Found Administration fees will be charged in the amount of $150, whenever a Frontier technician is dispatched for a customer reported trouble ticket and no issues were found or deemed the responsibility of Frontier.</w:t>
      </w:r>
    </w:p>
    <w:p w14:paraId="0934CEC0" w14:textId="77777777" w:rsidR="00A36CDB" w:rsidRPr="00FA3365" w:rsidRDefault="00A36CDB" w:rsidP="00A36CDB">
      <w:pPr>
        <w:pStyle w:val="ListParagraph"/>
        <w:numPr>
          <w:ilvl w:val="0"/>
          <w:numId w:val="16"/>
        </w:numPr>
        <w:spacing w:before="120"/>
        <w:rPr>
          <w:rFonts w:ascii="Arial" w:hAnsi="Arial" w:cs="Arial"/>
          <w:b/>
        </w:rPr>
      </w:pPr>
      <w:r w:rsidRPr="00FA3365">
        <w:rPr>
          <w:rFonts w:ascii="Arial" w:hAnsi="Arial" w:cs="Arial"/>
          <w:b/>
        </w:rPr>
        <w:t>Order</w:t>
      </w:r>
      <w:r w:rsidRPr="00FA3365">
        <w:rPr>
          <w:rFonts w:ascii="Arial" w:eastAsia="Calibri" w:hAnsi="Arial" w:cs="Arial"/>
          <w:b/>
        </w:rPr>
        <w:t xml:space="preserve"> Requirements</w:t>
      </w:r>
    </w:p>
    <w:p w14:paraId="49EC63D5" w14:textId="19C6EF0B" w:rsidR="00A36CDB" w:rsidRPr="005F28C1" w:rsidRDefault="00A36CDB" w:rsidP="00A36CDB">
      <w:pPr>
        <w:pStyle w:val="ListParagraph"/>
        <w:numPr>
          <w:ilvl w:val="1"/>
          <w:numId w:val="16"/>
        </w:numPr>
        <w:spacing w:before="120" w:after="120"/>
        <w:rPr>
          <w:rFonts w:ascii="Arial" w:hAnsi="Arial" w:cs="Arial"/>
        </w:rPr>
      </w:pPr>
      <w:r>
        <w:rPr>
          <w:rFonts w:ascii="Arial" w:hAnsi="Arial" w:cs="Arial"/>
        </w:rPr>
        <w:t xml:space="preserve">Ordering Period.  </w:t>
      </w:r>
      <w:r w:rsidRPr="00C149E3">
        <w:rPr>
          <w:rFonts w:ascii="Arial" w:hAnsi="Arial" w:cs="Arial"/>
        </w:rPr>
        <w:t>All Orders must be placed by Customer during the period beginning on the Schedule</w:t>
      </w:r>
      <w:r>
        <w:rPr>
          <w:rFonts w:ascii="Arial" w:hAnsi="Arial" w:cs="Arial"/>
        </w:rPr>
        <w:t xml:space="preserve"> Effective</w:t>
      </w:r>
      <w:r w:rsidRPr="00C149E3">
        <w:rPr>
          <w:rFonts w:ascii="Arial" w:hAnsi="Arial" w:cs="Arial"/>
        </w:rPr>
        <w:t xml:space="preserve"> Date and ending at 11:59 PM on </w:t>
      </w:r>
      <w:r w:rsidR="004D6491" w:rsidRPr="00A37439">
        <w:rPr>
          <w:rFonts w:ascii="Arial" w:hAnsi="Arial" w:cs="Arial"/>
        </w:rPr>
        <w:t>{{Effective_Date}}</w:t>
      </w:r>
      <w:r w:rsidRPr="00C149E3">
        <w:rPr>
          <w:rFonts w:ascii="Arial" w:hAnsi="Arial" w:cs="Arial"/>
        </w:rPr>
        <w:t xml:space="preserve"> (</w:t>
      </w:r>
      <w:r w:rsidRPr="00C149E3">
        <w:rPr>
          <w:rFonts w:ascii="Arial" w:hAnsi="Arial" w:cs="Arial"/>
          <w:snapToGrid w:val="0"/>
        </w:rPr>
        <w:t>“</w:t>
      </w:r>
      <w:r w:rsidRPr="00FA3365">
        <w:rPr>
          <w:rFonts w:ascii="Arial" w:hAnsi="Arial" w:cs="Arial"/>
          <w:b/>
        </w:rPr>
        <w:t>Ordering Period</w:t>
      </w:r>
      <w:r w:rsidRPr="00C149E3">
        <w:rPr>
          <w:rFonts w:ascii="Arial" w:hAnsi="Arial" w:cs="Arial"/>
        </w:rPr>
        <w:t>”) (which, for the avoidance of any doubt, does not include any orders in progress</w:t>
      </w:r>
      <w:r>
        <w:rPr>
          <w:rFonts w:ascii="Arial" w:hAnsi="Arial" w:cs="Arial"/>
        </w:rPr>
        <w:t xml:space="preserve"> or existing</w:t>
      </w:r>
      <w:r w:rsidRPr="00C149E3">
        <w:rPr>
          <w:rFonts w:ascii="Arial" w:hAnsi="Arial" w:cs="Arial"/>
        </w:rPr>
        <w:t xml:space="preserve"> as of the </w:t>
      </w:r>
      <w:r>
        <w:rPr>
          <w:rFonts w:ascii="Arial" w:hAnsi="Arial" w:cs="Arial"/>
        </w:rPr>
        <w:t xml:space="preserve">Schedule Effective </w:t>
      </w:r>
      <w:r w:rsidRPr="00C149E3">
        <w:rPr>
          <w:rFonts w:ascii="Arial" w:hAnsi="Arial" w:cs="Arial"/>
        </w:rPr>
        <w:t>Date).</w:t>
      </w:r>
      <w:r>
        <w:rPr>
          <w:rFonts w:ascii="Arial" w:hAnsi="Arial" w:cs="Arial"/>
        </w:rPr>
        <w:t xml:space="preserve">  </w:t>
      </w:r>
      <w:r w:rsidRPr="00AA3CB0">
        <w:rPr>
          <w:rFonts w:ascii="Arial" w:hAnsi="Arial" w:cs="Arial"/>
        </w:rPr>
        <w:t xml:space="preserve">The Ordering Period shall automatically be extended on a month-to-month basis after </w:t>
      </w:r>
      <w:r w:rsidR="004D6491">
        <w:rPr>
          <w:rFonts w:ascii="Arial" w:hAnsi="Arial" w:cs="Arial"/>
        </w:rPr>
        <w:t>{{</w:t>
      </w:r>
      <w:r w:rsidR="004D6491" w:rsidRPr="004D6491">
        <w:rPr>
          <w:rFonts w:ascii="Arial" w:hAnsi="Arial" w:cs="Arial"/>
        </w:rPr>
        <w:t>ContractTerm</w:t>
      </w:r>
      <w:r w:rsidR="004D6491">
        <w:rPr>
          <w:rFonts w:ascii="Arial" w:hAnsi="Arial" w:cs="Arial"/>
        </w:rPr>
        <w:t>}}</w:t>
      </w:r>
      <w:r>
        <w:rPr>
          <w:rFonts w:ascii="Arial" w:hAnsi="Arial" w:cs="Arial"/>
        </w:rPr>
        <w:t xml:space="preserve">, </w:t>
      </w:r>
      <w:r w:rsidRPr="00AA3CB0">
        <w:rPr>
          <w:rFonts w:ascii="Arial" w:hAnsi="Arial" w:cs="Arial"/>
        </w:rPr>
        <w:t>subject to termination by either Party on at least sixty (60) days prior written notice</w:t>
      </w:r>
      <w:r>
        <w:rPr>
          <w:rFonts w:ascii="Arial" w:hAnsi="Arial" w:cs="Arial"/>
        </w:rPr>
        <w:t xml:space="preserve">.  </w:t>
      </w:r>
    </w:p>
    <w:p w14:paraId="0CBEB22E" w14:textId="1ED41EF2" w:rsidR="00A36CDB" w:rsidRPr="00201AC9" w:rsidRDefault="00A36CDB" w:rsidP="00A36CDB">
      <w:pPr>
        <w:pStyle w:val="ListParagraph"/>
        <w:numPr>
          <w:ilvl w:val="1"/>
          <w:numId w:val="16"/>
        </w:numPr>
        <w:spacing w:before="120" w:after="120"/>
        <w:rPr>
          <w:rFonts w:ascii="Arial" w:hAnsi="Arial" w:cs="Arial"/>
        </w:rPr>
      </w:pPr>
      <w:r>
        <w:rPr>
          <w:rFonts w:ascii="Arial" w:hAnsi="Arial" w:cs="Arial"/>
        </w:rPr>
        <w:t>Placement of Orders</w:t>
      </w:r>
      <w:r w:rsidRPr="00201AC9">
        <w:rPr>
          <w:rFonts w:ascii="Arial" w:hAnsi="Arial" w:cs="Arial"/>
        </w:rPr>
        <w:t>.  Customer remains responsible in all respects for ensuring the accuracy of orders for the</w:t>
      </w:r>
      <w:r>
        <w:rPr>
          <w:rFonts w:ascii="Arial" w:hAnsi="Arial" w:cs="Arial"/>
        </w:rPr>
        <w:t xml:space="preserve"> FOTS</w:t>
      </w:r>
      <w:r w:rsidRPr="00201AC9">
        <w:rPr>
          <w:rFonts w:ascii="Arial" w:hAnsi="Arial" w:cs="Arial"/>
        </w:rPr>
        <w:t xml:space="preserve"> Services pursuant to this Schedule, as well as for post-ordering verification that the </w:t>
      </w:r>
      <w:r>
        <w:rPr>
          <w:rFonts w:ascii="Arial" w:hAnsi="Arial" w:cs="Arial"/>
        </w:rPr>
        <w:t xml:space="preserve">FOTS </w:t>
      </w:r>
      <w:r w:rsidRPr="00201AC9">
        <w:rPr>
          <w:rFonts w:ascii="Arial" w:hAnsi="Arial" w:cs="Arial"/>
        </w:rPr>
        <w:t xml:space="preserve">Services have been ordered with the appropriate Contract ID in order to obtain the applicable pricing for such </w:t>
      </w:r>
      <w:r>
        <w:rPr>
          <w:rFonts w:ascii="Arial" w:hAnsi="Arial" w:cs="Arial"/>
        </w:rPr>
        <w:t xml:space="preserve">FOTS </w:t>
      </w:r>
      <w:r w:rsidRPr="00201AC9">
        <w:rPr>
          <w:rFonts w:ascii="Arial" w:hAnsi="Arial" w:cs="Arial"/>
        </w:rPr>
        <w:t xml:space="preserve">Services.  </w:t>
      </w:r>
      <w:proofErr w:type="gramStart"/>
      <w:r w:rsidRPr="00201AC9">
        <w:rPr>
          <w:rFonts w:ascii="Arial" w:hAnsi="Arial" w:cs="Arial"/>
        </w:rPr>
        <w:t>In order for</w:t>
      </w:r>
      <w:proofErr w:type="gramEnd"/>
      <w:r w:rsidRPr="00201AC9">
        <w:rPr>
          <w:rFonts w:ascii="Arial" w:hAnsi="Arial" w:cs="Arial"/>
        </w:rPr>
        <w:t xml:space="preserve"> Customer to be eligible for the rates referenced in Exhibit </w:t>
      </w:r>
      <w:r>
        <w:rPr>
          <w:rFonts w:ascii="Arial" w:hAnsi="Arial" w:cs="Arial"/>
        </w:rPr>
        <w:t xml:space="preserve">B to this Schedule, </w:t>
      </w:r>
      <w:r w:rsidRPr="00201AC9">
        <w:rPr>
          <w:rFonts w:ascii="Arial" w:hAnsi="Arial" w:cs="Arial"/>
        </w:rPr>
        <w:t xml:space="preserve">Customer must populate the PNUM field </w:t>
      </w:r>
      <w:r>
        <w:rPr>
          <w:rFonts w:ascii="Arial" w:hAnsi="Arial" w:cs="Arial"/>
        </w:rPr>
        <w:t xml:space="preserve">of the ASR/Service Order </w:t>
      </w:r>
      <w:r w:rsidRPr="00201AC9">
        <w:rPr>
          <w:rFonts w:ascii="Arial" w:hAnsi="Arial" w:cs="Arial"/>
        </w:rPr>
        <w:t xml:space="preserve">with the following Contract ID:  </w:t>
      </w:r>
      <w:r w:rsidRPr="00A36CDB">
        <w:rPr>
          <w:rFonts w:ascii="Arial" w:hAnsi="Arial" w:cs="Arial"/>
          <w:b/>
          <w:bCs/>
        </w:rPr>
        <w:t>FOTS</w:t>
      </w:r>
      <w:r w:rsidR="004D6491">
        <w:rPr>
          <w:rFonts w:ascii="Arial" w:hAnsi="Arial" w:cs="Arial"/>
          <w:b/>
          <w:bCs/>
        </w:rPr>
        <w:t>{{</w:t>
      </w:r>
      <w:r w:rsidR="004D6491" w:rsidRPr="004D6491">
        <w:rPr>
          <w:rFonts w:ascii="Arial" w:hAnsi="Arial" w:cs="Arial"/>
          <w:b/>
        </w:rPr>
        <w:t>ScheduleId</w:t>
      </w:r>
      <w:r w:rsidR="004D6491">
        <w:rPr>
          <w:rFonts w:ascii="Arial" w:hAnsi="Arial" w:cs="Arial"/>
          <w:b/>
        </w:rPr>
        <w:t>}}</w:t>
      </w:r>
      <w:r>
        <w:rPr>
          <w:rFonts w:ascii="Arial" w:hAnsi="Arial" w:cs="Arial"/>
        </w:rPr>
        <w:t xml:space="preserve">.  </w:t>
      </w:r>
      <w:r w:rsidRPr="00201AC9">
        <w:rPr>
          <w:rFonts w:ascii="Arial" w:hAnsi="Arial" w:cs="Arial"/>
        </w:rPr>
        <w:t xml:space="preserve">If Customer fails to use the appropriate </w:t>
      </w:r>
      <w:r>
        <w:rPr>
          <w:rFonts w:ascii="Arial" w:hAnsi="Arial" w:cs="Arial"/>
        </w:rPr>
        <w:t>Contract ID in the ASR/Service Order</w:t>
      </w:r>
      <w:r w:rsidRPr="00201AC9">
        <w:rPr>
          <w:rFonts w:ascii="Arial" w:hAnsi="Arial" w:cs="Arial"/>
        </w:rPr>
        <w:t xml:space="preserve"> to order </w:t>
      </w:r>
      <w:proofErr w:type="gramStart"/>
      <w:r w:rsidRPr="00201AC9">
        <w:rPr>
          <w:rFonts w:ascii="Arial" w:hAnsi="Arial" w:cs="Arial"/>
        </w:rPr>
        <w:t>Service</w:t>
      </w:r>
      <w:proofErr w:type="gramEnd"/>
      <w:r w:rsidRPr="00201AC9">
        <w:rPr>
          <w:rFonts w:ascii="Arial" w:hAnsi="Arial" w:cs="Arial"/>
        </w:rPr>
        <w:t xml:space="preserve"> then Customer is responsible to submit an </w:t>
      </w:r>
      <w:r>
        <w:rPr>
          <w:rFonts w:ascii="Arial" w:hAnsi="Arial" w:cs="Arial"/>
        </w:rPr>
        <w:t>ASR/Service Order</w:t>
      </w:r>
      <w:r w:rsidRPr="00201AC9">
        <w:rPr>
          <w:rFonts w:ascii="Arial" w:hAnsi="Arial" w:cs="Arial"/>
        </w:rPr>
        <w:t xml:space="preserve"> change order correcting the </w:t>
      </w:r>
      <w:r>
        <w:rPr>
          <w:rFonts w:ascii="Arial" w:hAnsi="Arial" w:cs="Arial"/>
        </w:rPr>
        <w:t>Contract ID</w:t>
      </w:r>
      <w:r w:rsidRPr="00201AC9">
        <w:rPr>
          <w:rFonts w:ascii="Arial" w:hAnsi="Arial" w:cs="Arial"/>
        </w:rPr>
        <w:t>.</w:t>
      </w:r>
      <w:r>
        <w:rPr>
          <w:rFonts w:ascii="Arial" w:hAnsi="Arial" w:cs="Arial"/>
        </w:rPr>
        <w:t xml:space="preserve"> </w:t>
      </w:r>
      <w:r w:rsidRPr="00201AC9">
        <w:rPr>
          <w:rFonts w:ascii="Arial" w:hAnsi="Arial" w:cs="Arial"/>
        </w:rPr>
        <w:t xml:space="preserve"> In cases where the rates associated with the corrected </w:t>
      </w:r>
      <w:r>
        <w:rPr>
          <w:rFonts w:ascii="Arial" w:hAnsi="Arial" w:cs="Arial"/>
        </w:rPr>
        <w:t>Contract ID</w:t>
      </w:r>
      <w:r w:rsidRPr="00201AC9">
        <w:rPr>
          <w:rFonts w:ascii="Arial" w:hAnsi="Arial" w:cs="Arial"/>
        </w:rPr>
        <w:t xml:space="preserve"> are lower, </w:t>
      </w:r>
      <w:r>
        <w:rPr>
          <w:rFonts w:ascii="Arial" w:hAnsi="Arial" w:cs="Arial"/>
        </w:rPr>
        <w:t xml:space="preserve">Frontier will correct the billing on a </w:t>
      </w:r>
      <w:r w:rsidRPr="00201AC9">
        <w:rPr>
          <w:rFonts w:ascii="Arial" w:hAnsi="Arial" w:cs="Arial"/>
        </w:rPr>
        <w:t xml:space="preserve">prospective basis, beginning with the next billing period after the date on which </w:t>
      </w:r>
      <w:r>
        <w:rPr>
          <w:rFonts w:ascii="Arial" w:hAnsi="Arial" w:cs="Arial"/>
        </w:rPr>
        <w:t>Frontier</w:t>
      </w:r>
      <w:r w:rsidRPr="00201AC9">
        <w:rPr>
          <w:rFonts w:ascii="Arial" w:hAnsi="Arial" w:cs="Arial"/>
        </w:rPr>
        <w:t xml:space="preserve"> receives and processes </w:t>
      </w:r>
      <w:r>
        <w:rPr>
          <w:rFonts w:ascii="Arial" w:hAnsi="Arial" w:cs="Arial"/>
        </w:rPr>
        <w:t>Customer’s ASR/Service Order</w:t>
      </w:r>
      <w:r w:rsidRPr="00201AC9">
        <w:rPr>
          <w:rFonts w:ascii="Arial" w:hAnsi="Arial" w:cs="Arial"/>
        </w:rPr>
        <w:t xml:space="preserve"> change order. </w:t>
      </w:r>
      <w:r>
        <w:rPr>
          <w:rFonts w:ascii="Arial" w:hAnsi="Arial" w:cs="Arial"/>
        </w:rPr>
        <w:t xml:space="preserve"> If Customer </w:t>
      </w:r>
      <w:r w:rsidRPr="00201AC9">
        <w:rPr>
          <w:rFonts w:ascii="Arial" w:hAnsi="Arial" w:cs="Arial"/>
        </w:rPr>
        <w:t xml:space="preserve">orders </w:t>
      </w:r>
      <w:r>
        <w:rPr>
          <w:rFonts w:ascii="Arial" w:hAnsi="Arial" w:cs="Arial"/>
        </w:rPr>
        <w:t xml:space="preserve">FOTS </w:t>
      </w:r>
      <w:r w:rsidRPr="00201AC9">
        <w:rPr>
          <w:rFonts w:ascii="Arial" w:hAnsi="Arial" w:cs="Arial"/>
        </w:rPr>
        <w:t xml:space="preserve">Service with an incorrect </w:t>
      </w:r>
      <w:r>
        <w:rPr>
          <w:rFonts w:ascii="Arial" w:hAnsi="Arial" w:cs="Arial"/>
        </w:rPr>
        <w:t>Contract ID</w:t>
      </w:r>
      <w:r w:rsidRPr="00201AC9">
        <w:rPr>
          <w:rFonts w:ascii="Arial" w:hAnsi="Arial" w:cs="Arial"/>
        </w:rPr>
        <w:t xml:space="preserve"> </w:t>
      </w:r>
      <w:r>
        <w:rPr>
          <w:rFonts w:ascii="Arial" w:hAnsi="Arial" w:cs="Arial"/>
        </w:rPr>
        <w:t xml:space="preserve">on the ASR/Service Order </w:t>
      </w:r>
      <w:r w:rsidRPr="00201AC9">
        <w:rPr>
          <w:rFonts w:ascii="Arial" w:hAnsi="Arial" w:cs="Arial"/>
        </w:rPr>
        <w:t xml:space="preserve">resulting in </w:t>
      </w:r>
      <w:r>
        <w:rPr>
          <w:rFonts w:ascii="Arial" w:hAnsi="Arial" w:cs="Arial"/>
        </w:rPr>
        <w:t xml:space="preserve">Customer </w:t>
      </w:r>
      <w:r w:rsidRPr="00201AC9">
        <w:rPr>
          <w:rFonts w:ascii="Arial" w:hAnsi="Arial" w:cs="Arial"/>
        </w:rPr>
        <w:t>being under-billed for</w:t>
      </w:r>
      <w:r>
        <w:rPr>
          <w:rFonts w:ascii="Arial" w:hAnsi="Arial" w:cs="Arial"/>
        </w:rPr>
        <w:t xml:space="preserve"> FOTS </w:t>
      </w:r>
      <w:r w:rsidRPr="00201AC9">
        <w:rPr>
          <w:rFonts w:ascii="Arial" w:hAnsi="Arial" w:cs="Arial"/>
        </w:rPr>
        <w:t xml:space="preserve">Service, </w:t>
      </w:r>
      <w:r>
        <w:rPr>
          <w:rFonts w:ascii="Arial" w:hAnsi="Arial" w:cs="Arial"/>
        </w:rPr>
        <w:t>Frontier</w:t>
      </w:r>
      <w:r w:rsidRPr="00201AC9">
        <w:rPr>
          <w:rFonts w:ascii="Arial" w:hAnsi="Arial" w:cs="Arial"/>
        </w:rPr>
        <w:t xml:space="preserve"> may subsequently correct the </w:t>
      </w:r>
      <w:r>
        <w:rPr>
          <w:rFonts w:ascii="Arial" w:hAnsi="Arial" w:cs="Arial"/>
        </w:rPr>
        <w:t>Contract ID</w:t>
      </w:r>
      <w:r w:rsidRPr="00201AC9">
        <w:rPr>
          <w:rFonts w:ascii="Arial" w:hAnsi="Arial" w:cs="Arial"/>
        </w:rPr>
        <w:t xml:space="preserve"> and retroactively bill </w:t>
      </w:r>
      <w:r>
        <w:rPr>
          <w:rFonts w:ascii="Arial" w:hAnsi="Arial" w:cs="Arial"/>
        </w:rPr>
        <w:t xml:space="preserve">Customer </w:t>
      </w:r>
      <w:r w:rsidRPr="00201AC9">
        <w:rPr>
          <w:rFonts w:ascii="Arial" w:hAnsi="Arial" w:cs="Arial"/>
        </w:rPr>
        <w:t xml:space="preserve">the appropriate charges associated with the correct </w:t>
      </w:r>
      <w:r>
        <w:rPr>
          <w:rFonts w:ascii="Arial" w:hAnsi="Arial" w:cs="Arial"/>
        </w:rPr>
        <w:t>Contract ID</w:t>
      </w:r>
      <w:r w:rsidRPr="00201AC9">
        <w:rPr>
          <w:rFonts w:ascii="Arial" w:hAnsi="Arial" w:cs="Arial"/>
        </w:rPr>
        <w:t xml:space="preserve"> for the full period for which </w:t>
      </w:r>
      <w:r>
        <w:rPr>
          <w:rFonts w:ascii="Arial" w:hAnsi="Arial" w:cs="Arial"/>
        </w:rPr>
        <w:t>Customer</w:t>
      </w:r>
      <w:r w:rsidRPr="00201AC9">
        <w:rPr>
          <w:rFonts w:ascii="Arial" w:hAnsi="Arial" w:cs="Arial"/>
        </w:rPr>
        <w:t xml:space="preserve"> was underbilled</w:t>
      </w:r>
      <w:r>
        <w:rPr>
          <w:rFonts w:ascii="Arial" w:hAnsi="Arial" w:cs="Arial"/>
        </w:rPr>
        <w:t xml:space="preserve"> subject to </w:t>
      </w:r>
      <w:r w:rsidRPr="00201AC9">
        <w:rPr>
          <w:rFonts w:ascii="Arial" w:hAnsi="Arial" w:cs="Arial"/>
        </w:rPr>
        <w:t>the applicable statute of limitations.</w:t>
      </w:r>
    </w:p>
    <w:p w14:paraId="0AC65359" w14:textId="2C631E1D" w:rsidR="00A36CDB" w:rsidRPr="005C2D6C" w:rsidRDefault="00A36CDB" w:rsidP="00A36CDB">
      <w:pPr>
        <w:pStyle w:val="ListParagraph"/>
        <w:numPr>
          <w:ilvl w:val="1"/>
          <w:numId w:val="16"/>
        </w:numPr>
        <w:spacing w:before="120" w:after="120"/>
        <w:rPr>
          <w:rFonts w:ascii="Arial" w:hAnsi="Arial" w:cs="Arial"/>
        </w:rPr>
      </w:pPr>
      <w:r>
        <w:rPr>
          <w:rFonts w:ascii="Arial" w:hAnsi="Arial" w:cs="Arial"/>
        </w:rPr>
        <w:t>New Orders Only</w:t>
      </w:r>
      <w:r w:rsidRPr="003645DB">
        <w:rPr>
          <w:rFonts w:ascii="Arial" w:hAnsi="Arial" w:cs="Arial"/>
        </w:rPr>
        <w:t>.  The rates, terms and conditions of this Schedule are only available for new orders and shall not apply to any pending orders, upgrades</w:t>
      </w:r>
      <w:r>
        <w:rPr>
          <w:rFonts w:ascii="Arial" w:hAnsi="Arial" w:cs="Arial"/>
        </w:rPr>
        <w:t>, moves, rehomes</w:t>
      </w:r>
      <w:r w:rsidRPr="003645DB">
        <w:rPr>
          <w:rFonts w:ascii="Arial" w:hAnsi="Arial" w:cs="Arial"/>
        </w:rPr>
        <w:t xml:space="preserve"> or re-terms of existing circuits ordered prior to </w:t>
      </w:r>
      <w:r>
        <w:rPr>
          <w:rFonts w:ascii="Arial" w:hAnsi="Arial" w:cs="Arial"/>
        </w:rPr>
        <w:t>the Schedule Effective Date.</w:t>
      </w:r>
      <w:r w:rsidRPr="003645DB">
        <w:rPr>
          <w:rFonts w:ascii="Arial" w:hAnsi="Arial" w:cs="Arial"/>
        </w:rPr>
        <w:t xml:space="preserve">  </w:t>
      </w:r>
      <w:r w:rsidRPr="00C149E3">
        <w:rPr>
          <w:rFonts w:ascii="Arial" w:hAnsi="Arial" w:cs="Arial"/>
        </w:rPr>
        <w:t>I</w:t>
      </w:r>
      <w:r w:rsidRPr="00C149E3">
        <w:rPr>
          <w:rFonts w:ascii="Arial" w:eastAsia="Calibri" w:hAnsi="Arial" w:cs="Arial"/>
        </w:rPr>
        <w:t xml:space="preserve">n the event </w:t>
      </w:r>
      <w:r w:rsidRPr="00C149E3">
        <w:rPr>
          <w:rFonts w:ascii="Arial" w:hAnsi="Arial" w:cs="Arial"/>
        </w:rPr>
        <w:t>that</w:t>
      </w:r>
      <w:r w:rsidRPr="00C149E3">
        <w:rPr>
          <w:rFonts w:ascii="Arial" w:eastAsia="Calibri" w:hAnsi="Arial" w:cs="Arial"/>
        </w:rPr>
        <w:t xml:space="preserve"> Customer orders </w:t>
      </w:r>
      <w:r>
        <w:rPr>
          <w:rFonts w:ascii="Arial" w:eastAsia="Calibri" w:hAnsi="Arial" w:cs="Arial"/>
        </w:rPr>
        <w:t xml:space="preserve">FOTS </w:t>
      </w:r>
      <w:r w:rsidRPr="00C149E3">
        <w:rPr>
          <w:rFonts w:ascii="Arial" w:eastAsia="Calibri" w:hAnsi="Arial" w:cs="Arial"/>
        </w:rPr>
        <w:t>Services that do not qualify</w:t>
      </w:r>
      <w:r>
        <w:rPr>
          <w:rFonts w:ascii="Arial" w:eastAsia="Calibri" w:hAnsi="Arial" w:cs="Arial"/>
        </w:rPr>
        <w:t xml:space="preserve"> </w:t>
      </w:r>
      <w:r w:rsidRPr="003645DB">
        <w:rPr>
          <w:rFonts w:ascii="Arial" w:eastAsiaTheme="minorHAnsi" w:hAnsi="Arial" w:cs="Arial"/>
        </w:rPr>
        <w:t xml:space="preserve">(including, but not limited to new orders that replace </w:t>
      </w:r>
      <w:r>
        <w:rPr>
          <w:rFonts w:ascii="Arial" w:eastAsiaTheme="minorHAnsi" w:hAnsi="Arial" w:cs="Arial"/>
        </w:rPr>
        <w:t xml:space="preserve">disconnected </w:t>
      </w:r>
      <w:r w:rsidRPr="003B0321">
        <w:rPr>
          <w:rFonts w:ascii="Arial" w:eastAsiaTheme="minorHAnsi" w:hAnsi="Arial" w:cs="Arial"/>
        </w:rPr>
        <w:t xml:space="preserve">circuits </w:t>
      </w:r>
      <w:r>
        <w:rPr>
          <w:rFonts w:ascii="Arial" w:eastAsiaTheme="minorHAnsi" w:hAnsi="Arial" w:cs="Arial"/>
        </w:rPr>
        <w:t>ordered under previous products or contracts)</w:t>
      </w:r>
      <w:r w:rsidRPr="00C149E3">
        <w:rPr>
          <w:rFonts w:ascii="Arial" w:eastAsia="Calibri" w:hAnsi="Arial" w:cs="Arial"/>
        </w:rPr>
        <w:t xml:space="preserve">, the rates, terms and conditions of this </w:t>
      </w:r>
      <w:r w:rsidRPr="00BF1FA5">
        <w:rPr>
          <w:rFonts w:ascii="Arial" w:hAnsi="Arial" w:cs="Arial"/>
        </w:rPr>
        <w:t>Schedule</w:t>
      </w:r>
      <w:r w:rsidRPr="00C149E3">
        <w:rPr>
          <w:rFonts w:ascii="Arial" w:eastAsia="Calibri" w:hAnsi="Arial" w:cs="Arial"/>
        </w:rPr>
        <w:t xml:space="preserve"> shall not apply to such orders and Frontier, at any time after discovering the error, may use retroactive and prospective billing adjustments as necessary to apply the correct rates for the entire period for which Customer incorrectly received the benefits of this Schedule, subject to the applicable statute of limitations.</w:t>
      </w:r>
    </w:p>
    <w:p w14:paraId="3AE96980" w14:textId="77777777" w:rsidR="00D2257F" w:rsidRPr="00127ABE" w:rsidRDefault="00D2257F" w:rsidP="00DC43AE">
      <w:pPr>
        <w:spacing w:after="12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0"/>
      </w:tblGrid>
      <w:tr w:rsidR="00952777" w:rsidRPr="00127ABE" w14:paraId="3AE96990" w14:textId="77777777" w:rsidTr="00952777">
        <w:trPr>
          <w:trHeight w:val="288"/>
        </w:trPr>
        <w:tc>
          <w:tcPr>
            <w:tcW w:w="11100" w:type="dxa"/>
            <w:tcBorders>
              <w:top w:val="single" w:sz="4" w:space="0" w:color="auto"/>
              <w:left w:val="single" w:sz="4" w:space="0" w:color="auto"/>
              <w:bottom w:val="single" w:sz="4" w:space="0" w:color="auto"/>
              <w:right w:val="single" w:sz="4" w:space="0" w:color="auto"/>
            </w:tcBorders>
            <w:shd w:val="clear" w:color="auto" w:fill="auto"/>
            <w:vAlign w:val="center"/>
          </w:tcPr>
          <w:p w14:paraId="3AE9698B" w14:textId="77777777" w:rsidR="00952777" w:rsidRPr="0092634C" w:rsidRDefault="00952777" w:rsidP="00DC43AE">
            <w:pPr>
              <w:pStyle w:val="Footer"/>
              <w:spacing w:after="120"/>
              <w:jc w:val="both"/>
              <w:rPr>
                <w:rFonts w:ascii="Arial" w:hAnsi="Arial" w:cs="Arial"/>
                <w:bCs/>
                <w:sz w:val="20"/>
                <w:szCs w:val="20"/>
              </w:rPr>
            </w:pPr>
            <w:r w:rsidRPr="0092634C">
              <w:rPr>
                <w:rFonts w:ascii="Arial" w:hAnsi="Arial" w:cs="Arial"/>
                <w:b/>
                <w:bCs/>
                <w:sz w:val="20"/>
                <w:szCs w:val="20"/>
                <w:u w:val="single"/>
              </w:rPr>
              <w:lastRenderedPageBreak/>
              <w:t>Interstate / Intrastate Pricing Certification</w:t>
            </w:r>
            <w:r w:rsidRPr="0092634C">
              <w:rPr>
                <w:rFonts w:ascii="Arial" w:hAnsi="Arial" w:cs="Arial"/>
                <w:b/>
                <w:bCs/>
                <w:sz w:val="20"/>
                <w:szCs w:val="20"/>
              </w:rPr>
              <w:t xml:space="preserve">:  </w:t>
            </w:r>
            <w:r w:rsidRPr="0092634C">
              <w:rPr>
                <w:rFonts w:ascii="Arial" w:hAnsi="Arial" w:cs="Arial"/>
                <w:bCs/>
                <w:sz w:val="20"/>
                <w:szCs w:val="20"/>
              </w:rPr>
              <w:t xml:space="preserve">Customer certifies that its dedicated point-to-point traffic over such Services:  </w:t>
            </w:r>
          </w:p>
          <w:p w14:paraId="3AE9698C" w14:textId="77777777" w:rsidR="00952777" w:rsidRPr="0092634C" w:rsidRDefault="00952777" w:rsidP="00DC43AE">
            <w:pPr>
              <w:pStyle w:val="Footer"/>
              <w:spacing w:after="120"/>
              <w:jc w:val="both"/>
              <w:rPr>
                <w:rFonts w:ascii="Arial" w:hAnsi="Arial" w:cs="Arial"/>
                <w:bCs/>
                <w:sz w:val="20"/>
                <w:szCs w:val="20"/>
              </w:rPr>
            </w:pPr>
          </w:p>
          <w:p w14:paraId="3AE9698D" w14:textId="1CFE1E56" w:rsidR="00952777" w:rsidRPr="0092634C" w:rsidRDefault="004D6491" w:rsidP="004D6491">
            <w:pPr>
              <w:rPr>
                <w:rFonts w:ascii="Calibri" w:hAnsi="Calibri" w:cs="Calibri"/>
                <w:color w:val="000000"/>
                <w:sz w:val="20"/>
                <w:szCs w:val="20"/>
              </w:rPr>
            </w:pPr>
            <w:r w:rsidRPr="002C026A">
              <w:rPr>
                <w:rFonts w:ascii="Calibri" w:hAnsi="Calibri" w:cs="Calibri"/>
                <w:color w:val="000000"/>
                <w:sz w:val="2"/>
                <w:szCs w:val="2"/>
              </w:rPr>
              <w:t>{{#IF_INTERSTATE_PRICE_MORE_THAN_10}}</w:t>
            </w:r>
            <w:r w:rsidRPr="0092634C">
              <w:rPr>
                <w:rFonts w:ascii="Calibri" w:hAnsi="Calibri" w:cs="Arial"/>
                <w:sz w:val="20"/>
                <w:szCs w:val="20"/>
              </w:rPr>
              <w:sym w:font="Wingdings" w:char="F0FE"/>
            </w:r>
            <w:r w:rsidRPr="002C026A">
              <w:rPr>
                <w:rFonts w:ascii="Calibri" w:hAnsi="Calibri" w:cs="Calibri"/>
                <w:color w:val="000000"/>
                <w:sz w:val="2"/>
                <w:szCs w:val="2"/>
              </w:rPr>
              <w:t>{{/IF_INTERSTATE_PRICE_MORE_THAN_10}}</w:t>
            </w:r>
            <w:r w:rsidR="009E37E0" w:rsidRPr="002C026A">
              <w:rPr>
                <w:rFonts w:ascii="Calibri" w:hAnsi="Calibri" w:cs="Calibri"/>
                <w:color w:val="000000"/>
                <w:sz w:val="2"/>
                <w:szCs w:val="2"/>
              </w:rPr>
              <w:t>{{^IF_INTERSTATE_PRICE_MORE_THAN_10}}</w:t>
            </w:r>
            <w:r w:rsidR="009E37E0" w:rsidRPr="0092634C">
              <w:rPr>
                <w:rFonts w:ascii="Calibri" w:hAnsi="Calibri" w:cs="Arial"/>
                <w:sz w:val="20"/>
                <w:szCs w:val="20"/>
              </w:rPr>
              <w:sym w:font="Wingdings" w:char="F0A8"/>
            </w:r>
            <w:r w:rsidR="009E37E0" w:rsidRPr="002C026A">
              <w:rPr>
                <w:rFonts w:ascii="Calibri" w:hAnsi="Calibri" w:cs="Calibri"/>
                <w:color w:val="000000"/>
                <w:sz w:val="2"/>
                <w:szCs w:val="2"/>
              </w:rPr>
              <w:t>{{/IF_INTERSTATE_PRICE_MORE_THAN_10}}</w:t>
            </w:r>
            <w:r w:rsidR="00952777" w:rsidRPr="0092634C">
              <w:rPr>
                <w:rFonts w:ascii="Arial" w:hAnsi="Arial" w:cs="Arial"/>
                <w:bCs/>
                <w:sz w:val="20"/>
                <w:szCs w:val="20"/>
              </w:rPr>
              <w:t xml:space="preserve">will be </w:t>
            </w:r>
            <w:r w:rsidR="00952777" w:rsidRPr="0092634C">
              <w:rPr>
                <w:rFonts w:ascii="Arial" w:hAnsi="Arial" w:cs="Arial"/>
                <w:b/>
                <w:bCs/>
                <w:sz w:val="20"/>
                <w:szCs w:val="20"/>
              </w:rPr>
              <w:t>more than 10%</w:t>
            </w:r>
            <w:r w:rsidR="00952777" w:rsidRPr="0092634C">
              <w:rPr>
                <w:rFonts w:ascii="Arial" w:hAnsi="Arial" w:cs="Arial"/>
                <w:bCs/>
                <w:sz w:val="20"/>
                <w:szCs w:val="20"/>
              </w:rPr>
              <w:t xml:space="preserve"> interstate in </w:t>
            </w:r>
            <w:r w:rsidR="00D87B09" w:rsidRPr="0092634C">
              <w:rPr>
                <w:rFonts w:ascii="Arial" w:hAnsi="Arial" w:cs="Arial"/>
                <w:bCs/>
                <w:sz w:val="20"/>
                <w:szCs w:val="20"/>
              </w:rPr>
              <w:t>nature; OR</w:t>
            </w:r>
            <w:r w:rsidRPr="0092634C">
              <w:rPr>
                <w:rFonts w:ascii="Arial" w:hAnsi="Arial" w:cs="Arial"/>
                <w:bCs/>
                <w:sz w:val="20"/>
                <w:szCs w:val="20"/>
              </w:rPr>
              <w:t xml:space="preserve">  </w:t>
            </w:r>
            <w:r w:rsidR="009E37E0" w:rsidRPr="002C026A">
              <w:rPr>
                <w:rFonts w:ascii="Calibri" w:hAnsi="Calibri" w:cs="Calibri"/>
                <w:color w:val="000000"/>
                <w:sz w:val="2"/>
                <w:szCs w:val="2"/>
              </w:rPr>
              <w:t>{{#IF_INTERSTATE_PRICE_LESS_THAN_10}}</w:t>
            </w:r>
            <w:r w:rsidR="0092634C" w:rsidRPr="0092634C">
              <w:rPr>
                <w:rFonts w:ascii="Calibri" w:hAnsi="Calibri" w:cs="Arial"/>
                <w:sz w:val="20"/>
                <w:szCs w:val="20"/>
              </w:rPr>
              <w:sym w:font="Wingdings" w:char="F0FE"/>
            </w:r>
            <w:r w:rsidR="009E37E0" w:rsidRPr="002C026A">
              <w:rPr>
                <w:rFonts w:ascii="Calibri" w:hAnsi="Calibri" w:cs="Calibri"/>
                <w:color w:val="000000"/>
                <w:sz w:val="2"/>
                <w:szCs w:val="2"/>
              </w:rPr>
              <w:t>{{/IF_INTERSTATE_PRICE_LESS_THAN_10}}</w:t>
            </w:r>
            <w:r w:rsidRPr="002C026A">
              <w:rPr>
                <w:rFonts w:ascii="Calibri" w:hAnsi="Calibri" w:cs="Calibri"/>
                <w:color w:val="000000"/>
                <w:sz w:val="2"/>
                <w:szCs w:val="2"/>
              </w:rPr>
              <w:t>{{</w:t>
            </w:r>
            <w:r w:rsidR="0092634C" w:rsidRPr="002C026A">
              <w:rPr>
                <w:rFonts w:ascii="Calibri" w:hAnsi="Calibri" w:cs="Calibri"/>
                <w:color w:val="000000"/>
                <w:sz w:val="2"/>
                <w:szCs w:val="2"/>
              </w:rPr>
              <w:t>^</w:t>
            </w:r>
            <w:r w:rsidRPr="002C026A">
              <w:rPr>
                <w:rFonts w:ascii="Calibri" w:hAnsi="Calibri" w:cs="Calibri"/>
                <w:color w:val="000000"/>
                <w:sz w:val="2"/>
                <w:szCs w:val="2"/>
              </w:rPr>
              <w:t>IF_INTERSTATE_PRICE_LESS_THAN_10}}</w:t>
            </w:r>
            <w:r w:rsidRPr="0092634C">
              <w:rPr>
                <w:rFonts w:ascii="Calibri" w:hAnsi="Calibri" w:cs="Arial"/>
                <w:sz w:val="20"/>
                <w:szCs w:val="20"/>
              </w:rPr>
              <w:sym w:font="Wingdings" w:char="F0A8"/>
            </w:r>
            <w:r w:rsidRPr="002C026A">
              <w:rPr>
                <w:rFonts w:ascii="Calibri" w:hAnsi="Calibri" w:cs="Calibri"/>
                <w:color w:val="000000"/>
                <w:sz w:val="2"/>
                <w:szCs w:val="2"/>
              </w:rPr>
              <w:t>{{/IF_INTERSTATE_PRICE_LESS_THAN_10}}</w:t>
            </w:r>
            <w:r w:rsidR="00952777" w:rsidRPr="002C026A">
              <w:rPr>
                <w:rFonts w:ascii="Arial" w:hAnsi="Arial" w:cs="Arial"/>
                <w:bCs/>
                <w:sz w:val="2"/>
                <w:szCs w:val="2"/>
              </w:rPr>
              <w:t xml:space="preserve"> </w:t>
            </w:r>
            <w:r w:rsidR="00952777" w:rsidRPr="0092634C">
              <w:rPr>
                <w:rFonts w:ascii="Arial" w:hAnsi="Arial" w:cs="Arial"/>
                <w:bCs/>
                <w:sz w:val="20"/>
                <w:szCs w:val="20"/>
              </w:rPr>
              <w:t xml:space="preserve">will be </w:t>
            </w:r>
            <w:r w:rsidR="00952777" w:rsidRPr="0092634C">
              <w:rPr>
                <w:rFonts w:ascii="Arial" w:hAnsi="Arial" w:cs="Arial"/>
                <w:b/>
                <w:bCs/>
                <w:sz w:val="20"/>
                <w:szCs w:val="20"/>
              </w:rPr>
              <w:t>10% or less</w:t>
            </w:r>
            <w:r w:rsidR="00952777" w:rsidRPr="0092634C">
              <w:rPr>
                <w:rFonts w:ascii="Arial" w:hAnsi="Arial" w:cs="Arial"/>
                <w:bCs/>
                <w:sz w:val="20"/>
                <w:szCs w:val="20"/>
              </w:rPr>
              <w:t xml:space="preserve"> interstate in nature.</w:t>
            </w:r>
          </w:p>
          <w:p w14:paraId="3AE9698E" w14:textId="77777777" w:rsidR="00952777" w:rsidRPr="0092634C" w:rsidRDefault="00952777" w:rsidP="00DC43AE">
            <w:pPr>
              <w:pStyle w:val="Footer"/>
              <w:spacing w:after="120"/>
              <w:jc w:val="both"/>
              <w:rPr>
                <w:rFonts w:ascii="Arial" w:hAnsi="Arial" w:cs="Arial"/>
                <w:bCs/>
                <w:sz w:val="20"/>
                <w:szCs w:val="20"/>
              </w:rPr>
            </w:pPr>
          </w:p>
          <w:p w14:paraId="3AE9698F" w14:textId="77777777" w:rsidR="00952777" w:rsidRPr="0092634C" w:rsidRDefault="00952777" w:rsidP="00DC43AE">
            <w:pPr>
              <w:spacing w:after="120"/>
              <w:jc w:val="both"/>
              <w:rPr>
                <w:rFonts w:ascii="Arial" w:hAnsi="Arial" w:cs="Arial"/>
                <w:sz w:val="20"/>
                <w:szCs w:val="20"/>
              </w:rPr>
            </w:pPr>
            <w:r w:rsidRPr="0092634C">
              <w:rPr>
                <w:rFonts w:ascii="Arial" w:hAnsi="Arial" w:cs="Arial"/>
                <w:bCs/>
                <w:sz w:val="20"/>
                <w:szCs w:val="20"/>
              </w:rPr>
              <w:t>The term “interstate in nature” means that the traffic originates in one state and terminates in another state or outside the United States, regardless of how it is routed.</w:t>
            </w:r>
          </w:p>
        </w:tc>
      </w:tr>
    </w:tbl>
    <w:p w14:paraId="3AE96992" w14:textId="77777777" w:rsidR="00952777" w:rsidRDefault="00952777" w:rsidP="00DC43AE">
      <w:pPr>
        <w:pStyle w:val="Footer"/>
        <w:spacing w:after="120"/>
        <w:rPr>
          <w:rFonts w:ascii="Arial" w:hAnsi="Arial" w:cs="Arial"/>
          <w:sz w:val="20"/>
          <w:szCs w:val="20"/>
        </w:rPr>
      </w:pPr>
    </w:p>
    <w:p w14:paraId="0297EACE" w14:textId="0E0CE20D" w:rsidR="00A27774" w:rsidRPr="00635A27" w:rsidRDefault="00A27774" w:rsidP="00635A27">
      <w:pPr>
        <w:pStyle w:val="Footer"/>
        <w:spacing w:after="120"/>
        <w:jc w:val="center"/>
        <w:rPr>
          <w:rFonts w:ascii="Arial" w:hAnsi="Arial" w:cs="Arial"/>
          <w:b/>
          <w:sz w:val="20"/>
          <w:szCs w:val="20"/>
        </w:rPr>
      </w:pPr>
      <w:r w:rsidRPr="00635A27">
        <w:rPr>
          <w:rFonts w:ascii="Arial" w:hAnsi="Arial" w:cs="Arial"/>
          <w:b/>
          <w:sz w:val="20"/>
          <w:szCs w:val="20"/>
        </w:rPr>
        <w:t>[SIGNATURE PAGE FOLLOWS]</w:t>
      </w:r>
    </w:p>
    <w:p w14:paraId="1C47051E" w14:textId="77777777" w:rsidR="001A3CB3" w:rsidRDefault="001A3CB3" w:rsidP="00DC43AE">
      <w:pPr>
        <w:pStyle w:val="Footer"/>
        <w:spacing w:after="120"/>
        <w:rPr>
          <w:rFonts w:ascii="Arial" w:hAnsi="Arial" w:cs="Arial"/>
          <w:sz w:val="20"/>
          <w:szCs w:val="20"/>
        </w:rPr>
        <w:sectPr w:rsidR="001A3CB3" w:rsidSect="002823DD">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432" w:footer="432" w:gutter="0"/>
          <w:cols w:space="720"/>
          <w:docGrid w:linePitch="272"/>
        </w:sectPr>
      </w:pPr>
    </w:p>
    <w:p w14:paraId="191790A5" w14:textId="26801F8C" w:rsidR="00A27774" w:rsidRPr="00127ABE" w:rsidRDefault="00A27774" w:rsidP="00DC43AE">
      <w:pPr>
        <w:pStyle w:val="Footer"/>
        <w:spacing w:after="120"/>
        <w:rPr>
          <w:rFonts w:ascii="Arial" w:hAnsi="Arial" w:cs="Arial"/>
          <w:sz w:val="20"/>
          <w:szCs w:val="20"/>
        </w:rPr>
      </w:pPr>
    </w:p>
    <w:p w14:paraId="1F48BF87" w14:textId="44E8575D" w:rsidR="00A27774" w:rsidRDefault="00A27774" w:rsidP="00635A27">
      <w:pPr>
        <w:pStyle w:val="List2"/>
        <w:spacing w:after="120"/>
        <w:ind w:left="360" w:firstLine="0"/>
        <w:jc w:val="center"/>
        <w:rPr>
          <w:rFonts w:ascii="Arial" w:hAnsi="Arial" w:cs="Arial"/>
          <w:b/>
          <w:sz w:val="20"/>
          <w:szCs w:val="20"/>
        </w:rPr>
      </w:pPr>
      <w:r w:rsidRPr="00635A27">
        <w:rPr>
          <w:rFonts w:ascii="Arial" w:hAnsi="Arial" w:cs="Arial"/>
          <w:b/>
          <w:sz w:val="20"/>
          <w:szCs w:val="20"/>
        </w:rPr>
        <w:t>SIGNATURE PAGE</w:t>
      </w:r>
    </w:p>
    <w:p w14:paraId="206C62E7" w14:textId="77777777" w:rsidR="00A27774" w:rsidRPr="00635A27" w:rsidRDefault="00A27774" w:rsidP="00635A27">
      <w:pPr>
        <w:pStyle w:val="List2"/>
        <w:spacing w:after="120"/>
        <w:ind w:left="360" w:firstLine="0"/>
        <w:jc w:val="center"/>
        <w:rPr>
          <w:rFonts w:ascii="Arial" w:hAnsi="Arial" w:cs="Arial"/>
          <w:b/>
          <w:sz w:val="20"/>
          <w:szCs w:val="20"/>
        </w:rPr>
      </w:pPr>
    </w:p>
    <w:p w14:paraId="3AE96993" w14:textId="0DDC4DCB" w:rsidR="00952777" w:rsidRDefault="00952777" w:rsidP="003461C2">
      <w:pPr>
        <w:pStyle w:val="List2"/>
        <w:spacing w:after="120"/>
        <w:ind w:left="360" w:firstLine="0"/>
        <w:rPr>
          <w:rFonts w:ascii="Arial" w:hAnsi="Arial" w:cs="Arial"/>
          <w:sz w:val="20"/>
          <w:szCs w:val="20"/>
        </w:rPr>
      </w:pPr>
      <w:r w:rsidRPr="003461C2">
        <w:rPr>
          <w:rFonts w:ascii="Arial" w:hAnsi="Arial" w:cs="Arial"/>
          <w:sz w:val="20"/>
          <w:szCs w:val="20"/>
        </w:rPr>
        <w:t xml:space="preserve">This Schedule is not </w:t>
      </w:r>
      <w:proofErr w:type="gramStart"/>
      <w:r w:rsidRPr="003461C2">
        <w:rPr>
          <w:rFonts w:ascii="Arial" w:hAnsi="Arial" w:cs="Arial"/>
          <w:sz w:val="20"/>
          <w:szCs w:val="20"/>
        </w:rPr>
        <w:t>effective</w:t>
      </w:r>
      <w:proofErr w:type="gramEnd"/>
      <w:r w:rsidRPr="003461C2">
        <w:rPr>
          <w:rFonts w:ascii="Arial" w:hAnsi="Arial" w:cs="Arial"/>
          <w:sz w:val="20"/>
          <w:szCs w:val="20"/>
        </w:rPr>
        <w:t xml:space="preserve"> and pricing, dates and terms are subject to change until signed by both parties, and may not be effective until approved by the FCC and/or applicable State Commission.  This Schedule and any of the provisions hereof may </w:t>
      </w:r>
      <w:r w:rsidRPr="003461C2">
        <w:rPr>
          <w:rFonts w:ascii="Arial" w:hAnsi="Arial" w:cs="Arial"/>
          <w:sz w:val="20"/>
          <w:szCs w:val="20"/>
          <w:u w:val="single"/>
        </w:rPr>
        <w:t>not</w:t>
      </w:r>
      <w:r w:rsidRPr="003461C2">
        <w:rPr>
          <w:rFonts w:ascii="Arial" w:hAnsi="Arial" w:cs="Arial"/>
          <w:sz w:val="20"/>
          <w:szCs w:val="20"/>
        </w:rPr>
        <w:t xml:space="preserve"> be modified in any manner except by mutual written agreement.  The rates </w:t>
      </w:r>
      <w:r w:rsidR="00DE32C7" w:rsidRPr="003461C2">
        <w:rPr>
          <w:rFonts w:ascii="Arial" w:hAnsi="Arial" w:cs="Arial"/>
          <w:sz w:val="20"/>
          <w:szCs w:val="20"/>
        </w:rPr>
        <w:t xml:space="preserve">in Exhibit </w:t>
      </w:r>
      <w:r w:rsidR="008F0E7A">
        <w:rPr>
          <w:rFonts w:ascii="Arial" w:hAnsi="Arial" w:cs="Arial"/>
          <w:sz w:val="20"/>
          <w:szCs w:val="20"/>
        </w:rPr>
        <w:t>B</w:t>
      </w:r>
      <w:r w:rsidR="00DE32C7" w:rsidRPr="003461C2">
        <w:rPr>
          <w:rFonts w:ascii="Arial" w:hAnsi="Arial" w:cs="Arial"/>
          <w:sz w:val="20"/>
          <w:szCs w:val="20"/>
        </w:rPr>
        <w:t xml:space="preserve"> </w:t>
      </w:r>
      <w:r w:rsidRPr="003461C2">
        <w:rPr>
          <w:rFonts w:ascii="Arial" w:hAnsi="Arial" w:cs="Arial"/>
          <w:sz w:val="20"/>
          <w:szCs w:val="20"/>
        </w:rPr>
        <w:t xml:space="preserve">do not include any taxes, fees or surcharges applicable to the Service. </w:t>
      </w:r>
      <w:r w:rsidR="00DE32C7" w:rsidRPr="003461C2">
        <w:rPr>
          <w:rFonts w:ascii="Arial" w:hAnsi="Arial" w:cs="Arial"/>
          <w:sz w:val="20"/>
          <w:szCs w:val="20"/>
        </w:rPr>
        <w:t xml:space="preserve"> </w:t>
      </w:r>
      <w:r w:rsidRPr="003461C2">
        <w:rPr>
          <w:rFonts w:ascii="Arial" w:hAnsi="Arial" w:cs="Arial"/>
          <w:sz w:val="20"/>
          <w:szCs w:val="20"/>
        </w:rPr>
        <w:t xml:space="preserve">This Schedule, and all terms and conditions of the FSA, is the entire agreement between the parties with respect to the Services described herein, and supersedes </w:t>
      </w:r>
      <w:proofErr w:type="gramStart"/>
      <w:r w:rsidRPr="003461C2">
        <w:rPr>
          <w:rFonts w:ascii="Arial" w:hAnsi="Arial" w:cs="Arial"/>
          <w:sz w:val="20"/>
          <w:szCs w:val="20"/>
        </w:rPr>
        <w:t>any and all</w:t>
      </w:r>
      <w:proofErr w:type="gramEnd"/>
      <w:r w:rsidRPr="003461C2">
        <w:rPr>
          <w:rFonts w:ascii="Arial" w:hAnsi="Arial" w:cs="Arial"/>
          <w:sz w:val="20"/>
          <w:szCs w:val="20"/>
        </w:rPr>
        <w:t xml:space="preserve"> prior or contemporaneous agreements, representations, statements, negotiations, and undertakings written or oral with respect to the subject matter hereof.   </w:t>
      </w:r>
    </w:p>
    <w:p w14:paraId="1053D662" w14:textId="77777777" w:rsidR="003314B5" w:rsidRPr="003461C2" w:rsidRDefault="003314B5" w:rsidP="003461C2">
      <w:pPr>
        <w:pStyle w:val="List2"/>
        <w:spacing w:after="120"/>
        <w:ind w:left="360" w:firstLine="0"/>
        <w:rPr>
          <w:rFonts w:ascii="Arial" w:hAnsi="Arial" w:cs="Arial"/>
          <w:sz w:val="20"/>
          <w:szCs w:val="20"/>
        </w:rPr>
      </w:pPr>
    </w:p>
    <w:tbl>
      <w:tblPr>
        <w:tblW w:w="9540" w:type="dxa"/>
        <w:jc w:val="center"/>
        <w:tblLayout w:type="fixed"/>
        <w:tblLook w:val="0000" w:firstRow="0" w:lastRow="0" w:firstColumn="0" w:lastColumn="0" w:noHBand="0" w:noVBand="0"/>
      </w:tblPr>
      <w:tblGrid>
        <w:gridCol w:w="4770"/>
        <w:gridCol w:w="4770"/>
      </w:tblGrid>
      <w:tr w:rsidR="002715E8" w:rsidRPr="003314B5" w14:paraId="6206100A" w14:textId="02B812C0" w:rsidTr="002715E8">
        <w:trPr>
          <w:jc w:val="center"/>
        </w:trPr>
        <w:tc>
          <w:tcPr>
            <w:tcW w:w="4770" w:type="dxa"/>
          </w:tcPr>
          <w:p w14:paraId="0C061FFE" w14:textId="1A261709" w:rsidR="002715E8" w:rsidRPr="003314B5" w:rsidRDefault="005F1BDB" w:rsidP="002715E8">
            <w:pPr>
              <w:pStyle w:val="Footer"/>
              <w:tabs>
                <w:tab w:val="left" w:pos="5040"/>
              </w:tabs>
              <w:rPr>
                <w:rFonts w:ascii="Arial" w:hAnsi="Arial" w:cs="Arial"/>
                <w:sz w:val="20"/>
                <w:szCs w:val="20"/>
              </w:rPr>
            </w:pPr>
            <w:r>
              <w:rPr>
                <w:rFonts w:ascii="Arial" w:hAnsi="Arial" w:cs="Arial"/>
                <w:b/>
                <w:sz w:val="20"/>
                <w:szCs w:val="20"/>
              </w:rPr>
              <w:t>{{</w:t>
            </w:r>
            <w:proofErr w:type="spellStart"/>
            <w:r>
              <w:rPr>
                <w:rFonts w:ascii="Arial" w:hAnsi="Arial" w:cs="Arial"/>
                <w:b/>
                <w:sz w:val="20"/>
                <w:szCs w:val="20"/>
              </w:rPr>
              <w:t>Subscriber_Name</w:t>
            </w:r>
            <w:proofErr w:type="spellEnd"/>
            <w:r>
              <w:rPr>
                <w:rFonts w:ascii="Arial" w:hAnsi="Arial" w:cs="Arial"/>
                <w:b/>
                <w:sz w:val="20"/>
                <w:szCs w:val="20"/>
              </w:rPr>
              <w:t>}}</w:t>
            </w:r>
          </w:p>
        </w:tc>
        <w:tc>
          <w:tcPr>
            <w:tcW w:w="4770" w:type="dxa"/>
          </w:tcPr>
          <w:p w14:paraId="17F0EA6B" w14:textId="77777777" w:rsidR="002715E8" w:rsidRPr="003314B5" w:rsidRDefault="002715E8" w:rsidP="002715E8">
            <w:pPr>
              <w:pStyle w:val="Footer"/>
              <w:tabs>
                <w:tab w:val="left" w:pos="5040"/>
              </w:tabs>
              <w:rPr>
                <w:rFonts w:ascii="Arial" w:eastAsia="MS Mincho" w:hAnsi="Arial" w:cs="Arial"/>
                <w:b/>
                <w:bCs/>
                <w:sz w:val="20"/>
                <w:szCs w:val="20"/>
              </w:rPr>
            </w:pPr>
            <w:r w:rsidRPr="003314B5">
              <w:rPr>
                <w:rFonts w:ascii="Arial" w:eastAsia="MS Mincho" w:hAnsi="Arial" w:cs="Arial"/>
                <w:b/>
                <w:bCs/>
                <w:sz w:val="20"/>
                <w:szCs w:val="20"/>
              </w:rPr>
              <w:t xml:space="preserve">Citizens Telecom Services Company LLC, </w:t>
            </w:r>
            <w:r w:rsidRPr="00687A7E">
              <w:rPr>
                <w:rFonts w:ascii="Arial" w:eastAsia="MS Mincho" w:hAnsi="Arial" w:cs="Arial"/>
                <w:bCs/>
                <w:sz w:val="20"/>
                <w:szCs w:val="20"/>
              </w:rPr>
              <w:t>on behalf of the Frontier Telephone Companies identified in Exhibit 1 of the FSA:</w:t>
            </w:r>
          </w:p>
          <w:p w14:paraId="6AB3FEE1" w14:textId="77777777" w:rsidR="002715E8" w:rsidRPr="002715E8" w:rsidRDefault="002715E8" w:rsidP="002715E8">
            <w:pPr>
              <w:pStyle w:val="Footer"/>
              <w:tabs>
                <w:tab w:val="left" w:pos="5040"/>
              </w:tabs>
              <w:rPr>
                <w:rFonts w:ascii="Arial" w:hAnsi="Arial" w:cs="Arial"/>
                <w:b/>
                <w:sz w:val="20"/>
                <w:szCs w:val="20"/>
              </w:rPr>
            </w:pPr>
          </w:p>
        </w:tc>
      </w:tr>
      <w:tr w:rsidR="002715E8" w:rsidRPr="003314B5" w14:paraId="1EC8367F" w14:textId="1645E140" w:rsidTr="002715E8">
        <w:trPr>
          <w:jc w:val="center"/>
        </w:trPr>
        <w:tc>
          <w:tcPr>
            <w:tcW w:w="4770" w:type="dxa"/>
          </w:tcPr>
          <w:p w14:paraId="72E6E410" w14:textId="77777777" w:rsidR="002715E8" w:rsidRPr="003314B5" w:rsidRDefault="002715E8" w:rsidP="002715E8">
            <w:pPr>
              <w:pStyle w:val="Footer"/>
              <w:tabs>
                <w:tab w:val="right" w:leader="underscore" w:pos="4212"/>
                <w:tab w:val="left" w:pos="5040"/>
              </w:tabs>
              <w:rPr>
                <w:rFonts w:ascii="Arial" w:hAnsi="Arial" w:cs="Arial"/>
                <w:sz w:val="20"/>
                <w:szCs w:val="20"/>
              </w:rPr>
            </w:pPr>
          </w:p>
        </w:tc>
        <w:tc>
          <w:tcPr>
            <w:tcW w:w="4770" w:type="dxa"/>
          </w:tcPr>
          <w:p w14:paraId="11DF00C3" w14:textId="77777777" w:rsidR="002715E8" w:rsidRPr="003314B5" w:rsidRDefault="002715E8" w:rsidP="002715E8">
            <w:pPr>
              <w:pStyle w:val="Footer"/>
              <w:tabs>
                <w:tab w:val="right" w:leader="underscore" w:pos="4212"/>
                <w:tab w:val="left" w:pos="5040"/>
              </w:tabs>
              <w:rPr>
                <w:rFonts w:ascii="Arial" w:hAnsi="Arial" w:cs="Arial"/>
                <w:sz w:val="20"/>
                <w:szCs w:val="20"/>
              </w:rPr>
            </w:pPr>
          </w:p>
        </w:tc>
      </w:tr>
      <w:tr w:rsidR="002715E8" w:rsidRPr="003314B5" w14:paraId="43B2C427" w14:textId="332CE845" w:rsidTr="002715E8">
        <w:trPr>
          <w:jc w:val="center"/>
        </w:trPr>
        <w:tc>
          <w:tcPr>
            <w:tcW w:w="4770" w:type="dxa"/>
          </w:tcPr>
          <w:p w14:paraId="71ED9D27" w14:textId="77777777" w:rsidR="002715E8" w:rsidRPr="003314B5" w:rsidRDefault="002715E8" w:rsidP="002715E8">
            <w:pPr>
              <w:pStyle w:val="Footer"/>
              <w:tabs>
                <w:tab w:val="right" w:leader="underscore" w:pos="4212"/>
                <w:tab w:val="left" w:pos="5040"/>
              </w:tabs>
              <w:rPr>
                <w:rFonts w:ascii="Arial" w:hAnsi="Arial" w:cs="Arial"/>
                <w:sz w:val="20"/>
                <w:szCs w:val="20"/>
              </w:rPr>
            </w:pPr>
          </w:p>
        </w:tc>
        <w:tc>
          <w:tcPr>
            <w:tcW w:w="4770" w:type="dxa"/>
          </w:tcPr>
          <w:p w14:paraId="5CD77814" w14:textId="77777777" w:rsidR="002715E8" w:rsidRPr="003314B5" w:rsidRDefault="002715E8" w:rsidP="002715E8">
            <w:pPr>
              <w:pStyle w:val="Footer"/>
              <w:tabs>
                <w:tab w:val="right" w:leader="underscore" w:pos="4212"/>
                <w:tab w:val="left" w:pos="5040"/>
              </w:tabs>
              <w:rPr>
                <w:rFonts w:ascii="Arial" w:hAnsi="Arial" w:cs="Arial"/>
                <w:sz w:val="20"/>
                <w:szCs w:val="20"/>
              </w:rPr>
            </w:pPr>
          </w:p>
        </w:tc>
      </w:tr>
      <w:tr w:rsidR="002715E8" w:rsidRPr="003314B5" w14:paraId="5639A7CF" w14:textId="51268F60" w:rsidTr="002715E8">
        <w:trPr>
          <w:trHeight w:val="162"/>
          <w:jc w:val="center"/>
        </w:trPr>
        <w:tc>
          <w:tcPr>
            <w:tcW w:w="4770" w:type="dxa"/>
          </w:tcPr>
          <w:p w14:paraId="12B8CA68" w14:textId="163610DC" w:rsidR="002715E8" w:rsidRPr="003314B5" w:rsidRDefault="002715E8" w:rsidP="002715E8">
            <w:pPr>
              <w:pStyle w:val="Footer"/>
              <w:tabs>
                <w:tab w:val="right" w:leader="underscore" w:pos="4212"/>
                <w:tab w:val="left" w:pos="5040"/>
              </w:tabs>
              <w:rPr>
                <w:rFonts w:ascii="Arial" w:hAnsi="Arial" w:cs="Arial"/>
                <w:sz w:val="20"/>
                <w:szCs w:val="20"/>
              </w:rPr>
            </w:pPr>
            <w:r w:rsidRPr="003314B5">
              <w:rPr>
                <w:rFonts w:ascii="Arial" w:hAnsi="Arial" w:cs="Arial"/>
                <w:sz w:val="20"/>
                <w:szCs w:val="20"/>
              </w:rPr>
              <w:t>Signature:</w:t>
            </w:r>
            <w:r w:rsidR="00A37439">
              <w:rPr>
                <w:rFonts w:ascii="Arial" w:hAnsi="Arial" w:cs="Arial"/>
                <w:sz w:val="20"/>
                <w:szCs w:val="20"/>
              </w:rPr>
              <w:t xml:space="preserve"> </w:t>
            </w:r>
            <w:r w:rsidR="00A37439" w:rsidRPr="00A37439">
              <w:rPr>
                <w:rFonts w:ascii="Arial" w:hAnsi="Arial" w:cs="Arial"/>
                <w:color w:val="FFFFFF" w:themeColor="background1"/>
                <w:sz w:val="20"/>
                <w:szCs w:val="20"/>
              </w:rPr>
              <w:t>{{Signer1Signature}}</w:t>
            </w:r>
          </w:p>
        </w:tc>
        <w:tc>
          <w:tcPr>
            <w:tcW w:w="4770" w:type="dxa"/>
          </w:tcPr>
          <w:p w14:paraId="4F57363B" w14:textId="49100EA7" w:rsidR="002715E8" w:rsidRPr="003314B5" w:rsidRDefault="002715E8" w:rsidP="002715E8">
            <w:pPr>
              <w:pStyle w:val="Footer"/>
              <w:tabs>
                <w:tab w:val="right" w:leader="underscore" w:pos="4212"/>
                <w:tab w:val="left" w:pos="5040"/>
              </w:tabs>
              <w:rPr>
                <w:rFonts w:ascii="Arial" w:hAnsi="Arial" w:cs="Arial"/>
                <w:sz w:val="20"/>
                <w:szCs w:val="20"/>
              </w:rPr>
            </w:pPr>
            <w:r w:rsidRPr="003314B5">
              <w:rPr>
                <w:rFonts w:ascii="Arial" w:hAnsi="Arial" w:cs="Arial"/>
                <w:sz w:val="20"/>
                <w:szCs w:val="20"/>
              </w:rPr>
              <w:t>Signature:</w:t>
            </w:r>
            <w:r w:rsidR="00A37439">
              <w:rPr>
                <w:rFonts w:ascii="Arial" w:hAnsi="Arial" w:cs="Arial"/>
                <w:sz w:val="20"/>
                <w:szCs w:val="20"/>
              </w:rPr>
              <w:t xml:space="preserve"> </w:t>
            </w:r>
            <w:r w:rsidR="00A37439" w:rsidRPr="008D2264">
              <w:rPr>
                <w:rFonts w:ascii="Arial" w:hAnsi="Arial" w:cs="Arial"/>
                <w:color w:val="FFFFFF" w:themeColor="background1"/>
                <w:sz w:val="20"/>
                <w:szCs w:val="20"/>
              </w:rPr>
              <w:t>{{Signer2Signature}}</w:t>
            </w:r>
          </w:p>
        </w:tc>
      </w:tr>
      <w:tr w:rsidR="002715E8" w:rsidRPr="003314B5" w14:paraId="3AC8BAA3" w14:textId="5FC865E6" w:rsidTr="002715E8">
        <w:trPr>
          <w:jc w:val="center"/>
        </w:trPr>
        <w:tc>
          <w:tcPr>
            <w:tcW w:w="4770" w:type="dxa"/>
          </w:tcPr>
          <w:p w14:paraId="5C22B6B9" w14:textId="77777777" w:rsidR="002715E8" w:rsidRPr="003314B5" w:rsidRDefault="002715E8" w:rsidP="002715E8">
            <w:pPr>
              <w:pStyle w:val="Footer"/>
              <w:tabs>
                <w:tab w:val="left" w:pos="5040"/>
              </w:tabs>
              <w:rPr>
                <w:rFonts w:ascii="Arial" w:hAnsi="Arial" w:cs="Arial"/>
                <w:sz w:val="20"/>
                <w:szCs w:val="20"/>
              </w:rPr>
            </w:pPr>
          </w:p>
        </w:tc>
        <w:tc>
          <w:tcPr>
            <w:tcW w:w="4770" w:type="dxa"/>
          </w:tcPr>
          <w:p w14:paraId="25FA1B0C" w14:textId="77777777" w:rsidR="002715E8" w:rsidRPr="003314B5" w:rsidRDefault="002715E8" w:rsidP="002715E8">
            <w:pPr>
              <w:pStyle w:val="Footer"/>
              <w:tabs>
                <w:tab w:val="left" w:pos="5040"/>
              </w:tabs>
              <w:rPr>
                <w:rFonts w:ascii="Arial" w:hAnsi="Arial" w:cs="Arial"/>
                <w:sz w:val="20"/>
                <w:szCs w:val="20"/>
              </w:rPr>
            </w:pPr>
          </w:p>
        </w:tc>
      </w:tr>
      <w:tr w:rsidR="002715E8" w:rsidRPr="003314B5" w14:paraId="69762AC9" w14:textId="06EC63D2" w:rsidTr="002715E8">
        <w:trPr>
          <w:jc w:val="center"/>
        </w:trPr>
        <w:tc>
          <w:tcPr>
            <w:tcW w:w="4770" w:type="dxa"/>
          </w:tcPr>
          <w:p w14:paraId="1F465D4E" w14:textId="77777777" w:rsidR="002715E8" w:rsidRPr="003314B5" w:rsidRDefault="002715E8" w:rsidP="002715E8">
            <w:pPr>
              <w:pStyle w:val="Footer"/>
              <w:tabs>
                <w:tab w:val="left" w:pos="5040"/>
              </w:tabs>
              <w:rPr>
                <w:rFonts w:ascii="Arial" w:hAnsi="Arial" w:cs="Arial"/>
                <w:sz w:val="20"/>
                <w:szCs w:val="20"/>
              </w:rPr>
            </w:pPr>
          </w:p>
        </w:tc>
        <w:tc>
          <w:tcPr>
            <w:tcW w:w="4770" w:type="dxa"/>
          </w:tcPr>
          <w:p w14:paraId="35BE1534" w14:textId="77777777" w:rsidR="002715E8" w:rsidRPr="003314B5" w:rsidRDefault="002715E8" w:rsidP="002715E8">
            <w:pPr>
              <w:pStyle w:val="Footer"/>
              <w:tabs>
                <w:tab w:val="left" w:pos="5040"/>
              </w:tabs>
              <w:rPr>
                <w:rFonts w:ascii="Arial" w:hAnsi="Arial" w:cs="Arial"/>
                <w:sz w:val="20"/>
                <w:szCs w:val="20"/>
              </w:rPr>
            </w:pPr>
          </w:p>
        </w:tc>
      </w:tr>
      <w:tr w:rsidR="002715E8" w:rsidRPr="003314B5" w14:paraId="0EE22657" w14:textId="58404248" w:rsidTr="002715E8">
        <w:trPr>
          <w:jc w:val="center"/>
        </w:trPr>
        <w:tc>
          <w:tcPr>
            <w:tcW w:w="4770" w:type="dxa"/>
          </w:tcPr>
          <w:p w14:paraId="40762124" w14:textId="01AD2E6F" w:rsidR="002715E8" w:rsidRPr="003314B5" w:rsidRDefault="002715E8" w:rsidP="002715E8">
            <w:pPr>
              <w:pStyle w:val="Footer"/>
              <w:tabs>
                <w:tab w:val="right" w:leader="underscore" w:pos="4212"/>
                <w:tab w:val="left" w:pos="5040"/>
              </w:tabs>
              <w:rPr>
                <w:rFonts w:ascii="Arial" w:hAnsi="Arial" w:cs="Arial"/>
                <w:sz w:val="20"/>
                <w:szCs w:val="20"/>
              </w:rPr>
            </w:pPr>
            <w:r w:rsidRPr="003314B5">
              <w:rPr>
                <w:rFonts w:ascii="Arial" w:hAnsi="Arial" w:cs="Arial"/>
                <w:sz w:val="20"/>
                <w:szCs w:val="20"/>
              </w:rPr>
              <w:t xml:space="preserve">Printed Name: </w:t>
            </w:r>
            <w:r w:rsidR="00A37439" w:rsidRPr="00A37439">
              <w:rPr>
                <w:rFonts w:ascii="Arial" w:hAnsi="Arial" w:cs="Arial"/>
                <w:color w:val="FFFFFF" w:themeColor="background1"/>
                <w:sz w:val="20"/>
                <w:szCs w:val="20"/>
              </w:rPr>
              <w:t>{{Signer1FullName}}</w:t>
            </w:r>
          </w:p>
        </w:tc>
        <w:tc>
          <w:tcPr>
            <w:tcW w:w="4770" w:type="dxa"/>
          </w:tcPr>
          <w:p w14:paraId="343BAE8E" w14:textId="27F1E0BE" w:rsidR="002715E8" w:rsidRPr="003314B5" w:rsidRDefault="002715E8" w:rsidP="002715E8">
            <w:pPr>
              <w:pStyle w:val="Footer"/>
              <w:tabs>
                <w:tab w:val="right" w:leader="underscore" w:pos="4212"/>
                <w:tab w:val="left" w:pos="5040"/>
              </w:tabs>
              <w:rPr>
                <w:rFonts w:ascii="Arial" w:hAnsi="Arial" w:cs="Arial"/>
                <w:sz w:val="20"/>
                <w:szCs w:val="20"/>
              </w:rPr>
            </w:pPr>
            <w:r w:rsidRPr="003314B5">
              <w:rPr>
                <w:rFonts w:ascii="Arial" w:hAnsi="Arial" w:cs="Arial"/>
                <w:sz w:val="20"/>
                <w:szCs w:val="20"/>
              </w:rPr>
              <w:t>Printed Name:</w:t>
            </w:r>
            <w:r w:rsidR="00A37439">
              <w:rPr>
                <w:rFonts w:ascii="Arial" w:hAnsi="Arial" w:cs="Arial"/>
                <w:sz w:val="20"/>
                <w:szCs w:val="20"/>
              </w:rPr>
              <w:t xml:space="preserve"> </w:t>
            </w:r>
            <w:r w:rsidR="00A37439" w:rsidRPr="008D2264">
              <w:rPr>
                <w:rFonts w:ascii="Arial" w:hAnsi="Arial" w:cs="Arial"/>
                <w:color w:val="FFFFFF" w:themeColor="background1"/>
                <w:sz w:val="20"/>
                <w:szCs w:val="20"/>
              </w:rPr>
              <w:t>{{Signer2FullName}}</w:t>
            </w:r>
          </w:p>
        </w:tc>
      </w:tr>
      <w:tr w:rsidR="002715E8" w:rsidRPr="003314B5" w14:paraId="5E58A5B6" w14:textId="70A454BA" w:rsidTr="002715E8">
        <w:trPr>
          <w:jc w:val="center"/>
        </w:trPr>
        <w:tc>
          <w:tcPr>
            <w:tcW w:w="4770" w:type="dxa"/>
          </w:tcPr>
          <w:p w14:paraId="3A7CBC82" w14:textId="77777777" w:rsidR="002715E8" w:rsidRPr="003314B5" w:rsidRDefault="002715E8" w:rsidP="002715E8">
            <w:pPr>
              <w:pStyle w:val="Footer"/>
              <w:tabs>
                <w:tab w:val="left" w:pos="5040"/>
              </w:tabs>
              <w:rPr>
                <w:rFonts w:ascii="Arial" w:hAnsi="Arial" w:cs="Arial"/>
                <w:sz w:val="20"/>
                <w:szCs w:val="20"/>
              </w:rPr>
            </w:pPr>
          </w:p>
        </w:tc>
        <w:tc>
          <w:tcPr>
            <w:tcW w:w="4770" w:type="dxa"/>
          </w:tcPr>
          <w:p w14:paraId="6B5346EC" w14:textId="77777777" w:rsidR="002715E8" w:rsidRPr="003314B5" w:rsidRDefault="002715E8" w:rsidP="002715E8">
            <w:pPr>
              <w:pStyle w:val="Footer"/>
              <w:tabs>
                <w:tab w:val="left" w:pos="5040"/>
              </w:tabs>
              <w:rPr>
                <w:rFonts w:ascii="Arial" w:hAnsi="Arial" w:cs="Arial"/>
                <w:sz w:val="20"/>
                <w:szCs w:val="20"/>
              </w:rPr>
            </w:pPr>
          </w:p>
        </w:tc>
      </w:tr>
      <w:tr w:rsidR="002715E8" w:rsidRPr="003314B5" w14:paraId="453C1581" w14:textId="74D4C68A" w:rsidTr="002715E8">
        <w:trPr>
          <w:trHeight w:val="280"/>
          <w:jc w:val="center"/>
        </w:trPr>
        <w:tc>
          <w:tcPr>
            <w:tcW w:w="4770" w:type="dxa"/>
          </w:tcPr>
          <w:p w14:paraId="0E113572" w14:textId="4F7CF0D5" w:rsidR="002715E8" w:rsidRPr="003314B5" w:rsidRDefault="002715E8" w:rsidP="002715E8">
            <w:pPr>
              <w:pStyle w:val="Footer"/>
              <w:tabs>
                <w:tab w:val="right" w:leader="underscore" w:pos="4212"/>
                <w:tab w:val="left" w:pos="5040"/>
              </w:tabs>
              <w:rPr>
                <w:rFonts w:ascii="Arial" w:hAnsi="Arial" w:cs="Arial"/>
                <w:sz w:val="20"/>
                <w:szCs w:val="20"/>
              </w:rPr>
            </w:pPr>
            <w:r w:rsidRPr="003314B5">
              <w:rPr>
                <w:rFonts w:ascii="Arial" w:hAnsi="Arial" w:cs="Arial"/>
                <w:sz w:val="20"/>
                <w:szCs w:val="20"/>
              </w:rPr>
              <w:t>Title:</w:t>
            </w:r>
            <w:r w:rsidR="00A37439">
              <w:rPr>
                <w:rFonts w:ascii="Arial" w:hAnsi="Arial" w:cs="Arial"/>
                <w:sz w:val="20"/>
                <w:szCs w:val="20"/>
              </w:rPr>
              <w:t xml:space="preserve"> </w:t>
            </w:r>
            <w:r w:rsidR="00A37439" w:rsidRPr="00A37439">
              <w:rPr>
                <w:rFonts w:ascii="Arial" w:hAnsi="Arial" w:cs="Arial"/>
                <w:color w:val="FFFFFF" w:themeColor="background1"/>
                <w:sz w:val="20"/>
                <w:szCs w:val="20"/>
              </w:rPr>
              <w:t>{{Signer1Title}}</w:t>
            </w:r>
          </w:p>
        </w:tc>
        <w:tc>
          <w:tcPr>
            <w:tcW w:w="4770" w:type="dxa"/>
          </w:tcPr>
          <w:p w14:paraId="21D1913F" w14:textId="0C1CAA74" w:rsidR="002715E8" w:rsidRPr="003314B5" w:rsidRDefault="002715E8" w:rsidP="002715E8">
            <w:pPr>
              <w:pStyle w:val="Footer"/>
              <w:tabs>
                <w:tab w:val="right" w:leader="underscore" w:pos="4212"/>
                <w:tab w:val="left" w:pos="5040"/>
              </w:tabs>
              <w:rPr>
                <w:rFonts w:ascii="Arial" w:hAnsi="Arial" w:cs="Arial"/>
                <w:sz w:val="20"/>
                <w:szCs w:val="20"/>
              </w:rPr>
            </w:pPr>
            <w:r w:rsidRPr="003314B5">
              <w:rPr>
                <w:rFonts w:ascii="Arial" w:hAnsi="Arial" w:cs="Arial"/>
                <w:sz w:val="20"/>
                <w:szCs w:val="20"/>
              </w:rPr>
              <w:t xml:space="preserve">Title: </w:t>
            </w:r>
            <w:r w:rsidR="00A37439" w:rsidRPr="008D2264">
              <w:rPr>
                <w:rFonts w:ascii="Arial" w:hAnsi="Arial" w:cs="Arial"/>
                <w:color w:val="FFFFFF" w:themeColor="background1"/>
                <w:sz w:val="20"/>
                <w:szCs w:val="20"/>
              </w:rPr>
              <w:t>{{Signer2Title}}</w:t>
            </w:r>
          </w:p>
        </w:tc>
      </w:tr>
      <w:tr w:rsidR="002715E8" w:rsidRPr="003314B5" w14:paraId="6E341C7B" w14:textId="7FBDF420" w:rsidTr="002715E8">
        <w:trPr>
          <w:trHeight w:val="225"/>
          <w:jc w:val="center"/>
        </w:trPr>
        <w:tc>
          <w:tcPr>
            <w:tcW w:w="4770" w:type="dxa"/>
          </w:tcPr>
          <w:p w14:paraId="1F03C1F2" w14:textId="77777777" w:rsidR="002715E8" w:rsidRPr="003314B5" w:rsidRDefault="002715E8" w:rsidP="002715E8">
            <w:pPr>
              <w:pStyle w:val="Footer"/>
              <w:tabs>
                <w:tab w:val="right" w:leader="underscore" w:pos="4212"/>
              </w:tabs>
              <w:rPr>
                <w:rFonts w:ascii="Arial" w:hAnsi="Arial" w:cs="Arial"/>
                <w:sz w:val="20"/>
                <w:szCs w:val="20"/>
              </w:rPr>
            </w:pPr>
          </w:p>
        </w:tc>
        <w:tc>
          <w:tcPr>
            <w:tcW w:w="4770" w:type="dxa"/>
          </w:tcPr>
          <w:p w14:paraId="354B7273" w14:textId="77777777" w:rsidR="002715E8" w:rsidRPr="003314B5" w:rsidRDefault="002715E8" w:rsidP="002715E8">
            <w:pPr>
              <w:pStyle w:val="Footer"/>
              <w:tabs>
                <w:tab w:val="right" w:leader="underscore" w:pos="4212"/>
              </w:tabs>
              <w:rPr>
                <w:rFonts w:ascii="Arial" w:hAnsi="Arial" w:cs="Arial"/>
                <w:sz w:val="20"/>
                <w:szCs w:val="20"/>
              </w:rPr>
            </w:pPr>
          </w:p>
        </w:tc>
      </w:tr>
      <w:tr w:rsidR="002715E8" w:rsidRPr="003314B5" w14:paraId="0FC35732" w14:textId="2A728550" w:rsidTr="002715E8">
        <w:trPr>
          <w:trHeight w:val="225"/>
          <w:jc w:val="center"/>
        </w:trPr>
        <w:tc>
          <w:tcPr>
            <w:tcW w:w="4770" w:type="dxa"/>
          </w:tcPr>
          <w:p w14:paraId="00170FBC" w14:textId="5823DCE4" w:rsidR="002715E8" w:rsidRPr="003314B5" w:rsidRDefault="00D87B09" w:rsidP="002715E8">
            <w:pPr>
              <w:pStyle w:val="Footer"/>
              <w:tabs>
                <w:tab w:val="right" w:leader="underscore" w:pos="4212"/>
              </w:tabs>
              <w:rPr>
                <w:rFonts w:ascii="Arial" w:hAnsi="Arial" w:cs="Arial"/>
                <w:sz w:val="20"/>
                <w:szCs w:val="20"/>
              </w:rPr>
            </w:pPr>
            <w:r>
              <w:rPr>
                <w:rFonts w:ascii="Arial" w:hAnsi="Arial" w:cs="Arial"/>
                <w:sz w:val="20"/>
                <w:szCs w:val="20"/>
              </w:rPr>
              <w:t>Date</w:t>
            </w:r>
            <w:proofErr w:type="gramStart"/>
            <w:r>
              <w:rPr>
                <w:rFonts w:ascii="Arial" w:hAnsi="Arial" w:cs="Arial"/>
                <w:sz w:val="20"/>
                <w:szCs w:val="20"/>
              </w:rPr>
              <w:t xml:space="preserve">:  </w:t>
            </w:r>
            <w:r w:rsidR="00A37439" w:rsidRPr="00A37439">
              <w:rPr>
                <w:rFonts w:ascii="Arial" w:hAnsi="Arial" w:cs="Arial"/>
                <w:color w:val="FFFFFF" w:themeColor="background1"/>
                <w:sz w:val="20"/>
                <w:szCs w:val="20"/>
              </w:rPr>
              <w:t>{</w:t>
            </w:r>
            <w:proofErr w:type="gramEnd"/>
            <w:r w:rsidR="00A37439" w:rsidRPr="00A37439">
              <w:rPr>
                <w:rFonts w:ascii="Arial" w:hAnsi="Arial" w:cs="Arial"/>
                <w:color w:val="FFFFFF" w:themeColor="background1"/>
                <w:sz w:val="20"/>
                <w:szCs w:val="20"/>
              </w:rPr>
              <w:t>{Signer1Date}}</w:t>
            </w:r>
          </w:p>
        </w:tc>
        <w:tc>
          <w:tcPr>
            <w:tcW w:w="4770" w:type="dxa"/>
          </w:tcPr>
          <w:p w14:paraId="0671183F" w14:textId="6621CD88" w:rsidR="002715E8" w:rsidRPr="003314B5" w:rsidRDefault="00D87B09" w:rsidP="002715E8">
            <w:pPr>
              <w:pStyle w:val="Footer"/>
              <w:tabs>
                <w:tab w:val="right" w:leader="underscore" w:pos="4212"/>
              </w:tabs>
              <w:rPr>
                <w:rFonts w:ascii="Arial" w:hAnsi="Arial" w:cs="Arial"/>
                <w:sz w:val="20"/>
                <w:szCs w:val="20"/>
              </w:rPr>
            </w:pPr>
            <w:r>
              <w:rPr>
                <w:rFonts w:ascii="Arial" w:hAnsi="Arial" w:cs="Arial"/>
                <w:sz w:val="20"/>
                <w:szCs w:val="20"/>
              </w:rPr>
              <w:t>Date</w:t>
            </w:r>
            <w:proofErr w:type="gramStart"/>
            <w:r>
              <w:rPr>
                <w:rFonts w:ascii="Arial" w:hAnsi="Arial" w:cs="Arial"/>
                <w:sz w:val="20"/>
                <w:szCs w:val="20"/>
              </w:rPr>
              <w:t xml:space="preserve">:  </w:t>
            </w:r>
            <w:r w:rsidR="00A37439" w:rsidRPr="008D2264">
              <w:rPr>
                <w:rFonts w:ascii="Arial" w:hAnsi="Arial" w:cs="Arial"/>
                <w:color w:val="FFFFFF" w:themeColor="background1"/>
                <w:sz w:val="20"/>
                <w:szCs w:val="20"/>
              </w:rPr>
              <w:t>{</w:t>
            </w:r>
            <w:proofErr w:type="gramEnd"/>
            <w:r w:rsidR="00A37439" w:rsidRPr="008D2264">
              <w:rPr>
                <w:rFonts w:ascii="Arial" w:hAnsi="Arial" w:cs="Arial"/>
                <w:color w:val="FFFFFF" w:themeColor="background1"/>
                <w:sz w:val="20"/>
                <w:szCs w:val="20"/>
              </w:rPr>
              <w:t>{Signer2Date}}</w:t>
            </w:r>
          </w:p>
        </w:tc>
      </w:tr>
    </w:tbl>
    <w:p w14:paraId="3773BD16" w14:textId="77777777" w:rsidR="001A3CB3" w:rsidRDefault="001A3CB3" w:rsidP="00DC43AE">
      <w:pPr>
        <w:spacing w:after="120"/>
        <w:rPr>
          <w:rFonts w:ascii="Arial" w:hAnsi="Arial" w:cs="Arial"/>
          <w:sz w:val="20"/>
          <w:szCs w:val="20"/>
        </w:rPr>
        <w:sectPr w:rsidR="001A3CB3" w:rsidSect="001A3CB3">
          <w:pgSz w:w="12240" w:h="15840" w:code="1"/>
          <w:pgMar w:top="720" w:right="720" w:bottom="720" w:left="720" w:header="432" w:footer="432" w:gutter="0"/>
          <w:cols w:space="720"/>
          <w:docGrid w:linePitch="272"/>
        </w:sectPr>
      </w:pPr>
    </w:p>
    <w:p w14:paraId="3AE96995" w14:textId="303D3700" w:rsidR="00136081" w:rsidRDefault="00136081" w:rsidP="00DC43AE">
      <w:pPr>
        <w:spacing w:after="120"/>
        <w:rPr>
          <w:rFonts w:ascii="Arial" w:hAnsi="Arial" w:cs="Arial"/>
          <w:sz w:val="20"/>
          <w:szCs w:val="20"/>
        </w:rPr>
      </w:pPr>
    </w:p>
    <w:p w14:paraId="3AE969C3" w14:textId="14B55F80" w:rsidR="00A851C3" w:rsidRPr="003461C2" w:rsidRDefault="00A851C3" w:rsidP="000B1E53">
      <w:pPr>
        <w:spacing w:after="120"/>
        <w:jc w:val="center"/>
        <w:rPr>
          <w:rFonts w:ascii="Arial" w:hAnsi="Arial" w:cs="Arial"/>
          <w:b/>
        </w:rPr>
      </w:pPr>
      <w:r w:rsidRPr="003461C2">
        <w:rPr>
          <w:rFonts w:ascii="Arial" w:hAnsi="Arial" w:cs="Arial"/>
          <w:b/>
        </w:rPr>
        <w:t>Exhibit A</w:t>
      </w:r>
    </w:p>
    <w:p w14:paraId="3AE969C5" w14:textId="409F8B73" w:rsidR="00A851C3" w:rsidRPr="003461C2" w:rsidRDefault="00A851C3" w:rsidP="00D349B1">
      <w:pPr>
        <w:jc w:val="center"/>
        <w:rPr>
          <w:rFonts w:ascii="Arial" w:hAnsi="Arial" w:cs="Arial"/>
          <w:b/>
        </w:rPr>
      </w:pPr>
      <w:r w:rsidRPr="003461C2">
        <w:rPr>
          <w:rFonts w:ascii="Arial" w:hAnsi="Arial" w:cs="Arial"/>
          <w:b/>
        </w:rPr>
        <w:t>FRONTIER OPTICAL TRANSPORT SERVICES</w:t>
      </w:r>
    </w:p>
    <w:p w14:paraId="3AE969C6" w14:textId="57A11BF8" w:rsidR="00A851C3" w:rsidRPr="003461C2" w:rsidRDefault="00A851C3" w:rsidP="00D349B1">
      <w:pPr>
        <w:jc w:val="center"/>
        <w:rPr>
          <w:rFonts w:ascii="Arial" w:hAnsi="Arial" w:cs="Arial"/>
          <w:b/>
        </w:rPr>
      </w:pPr>
      <w:r w:rsidRPr="003461C2">
        <w:rPr>
          <w:rFonts w:ascii="Arial" w:hAnsi="Arial" w:cs="Arial"/>
          <w:b/>
        </w:rPr>
        <w:t>SERVICE LEVEL AGREEMENT</w:t>
      </w:r>
    </w:p>
    <w:p w14:paraId="3AE969C7" w14:textId="77777777" w:rsidR="00A851C3" w:rsidRPr="00127ABE" w:rsidRDefault="00A851C3" w:rsidP="00DC43AE">
      <w:pPr>
        <w:spacing w:after="120"/>
        <w:jc w:val="center"/>
        <w:rPr>
          <w:rFonts w:ascii="Arial" w:hAnsi="Arial" w:cs="Arial"/>
          <w:sz w:val="20"/>
          <w:szCs w:val="20"/>
        </w:rPr>
      </w:pPr>
    </w:p>
    <w:p w14:paraId="3AE969C8" w14:textId="2672244B" w:rsidR="00A851C3" w:rsidRPr="00127ABE" w:rsidRDefault="00A851C3" w:rsidP="00DC43AE">
      <w:pPr>
        <w:numPr>
          <w:ilvl w:val="0"/>
          <w:numId w:val="18"/>
        </w:numPr>
        <w:spacing w:after="120"/>
        <w:rPr>
          <w:rFonts w:ascii="Arial" w:hAnsi="Arial" w:cs="Arial"/>
          <w:sz w:val="20"/>
          <w:szCs w:val="20"/>
        </w:rPr>
      </w:pPr>
      <w:r w:rsidRPr="00127ABE">
        <w:rPr>
          <w:rFonts w:ascii="Arial" w:hAnsi="Arial" w:cs="Arial"/>
          <w:sz w:val="20"/>
          <w:szCs w:val="20"/>
        </w:rPr>
        <w:t>Service Level Agreement (</w:t>
      </w:r>
      <w:r w:rsidR="00872290">
        <w:rPr>
          <w:rFonts w:ascii="Arial" w:hAnsi="Arial" w:cs="Arial"/>
          <w:sz w:val="20"/>
          <w:szCs w:val="20"/>
        </w:rPr>
        <w:t>“</w:t>
      </w:r>
      <w:r w:rsidRPr="00D87B09">
        <w:rPr>
          <w:rFonts w:ascii="Arial" w:hAnsi="Arial" w:cs="Arial"/>
          <w:b/>
          <w:sz w:val="20"/>
          <w:szCs w:val="20"/>
        </w:rPr>
        <w:t>SLA</w:t>
      </w:r>
      <w:r w:rsidR="00872290">
        <w:rPr>
          <w:rFonts w:ascii="Arial" w:hAnsi="Arial" w:cs="Arial"/>
          <w:sz w:val="20"/>
          <w:szCs w:val="20"/>
        </w:rPr>
        <w:t>”</w:t>
      </w:r>
      <w:r w:rsidRPr="00127ABE">
        <w:rPr>
          <w:rFonts w:ascii="Arial" w:hAnsi="Arial" w:cs="Arial"/>
          <w:sz w:val="20"/>
          <w:szCs w:val="20"/>
        </w:rPr>
        <w:t>) Summary</w:t>
      </w:r>
    </w:p>
    <w:p w14:paraId="3AE969C9" w14:textId="43B5A1CE" w:rsidR="00A851C3" w:rsidRPr="00127ABE" w:rsidRDefault="00A851C3" w:rsidP="00DC43AE">
      <w:pPr>
        <w:spacing w:after="120"/>
        <w:ind w:left="720"/>
        <w:rPr>
          <w:rFonts w:ascii="Arial" w:hAnsi="Arial" w:cs="Arial"/>
          <w:sz w:val="20"/>
          <w:szCs w:val="20"/>
        </w:rPr>
      </w:pPr>
      <w:r w:rsidRPr="00127ABE">
        <w:rPr>
          <w:rFonts w:ascii="Arial" w:hAnsi="Arial" w:cs="Arial"/>
          <w:sz w:val="20"/>
          <w:szCs w:val="20"/>
        </w:rPr>
        <w:t xml:space="preserve">The following applies to Frontier Optical Transport Service only and is meant to provide Customer’s sole and exclusive remedy for service interruptions and or service deficiencies as outlined herein. </w:t>
      </w:r>
    </w:p>
    <w:p w14:paraId="3AE969CA" w14:textId="0A530A18" w:rsidR="00A851C3" w:rsidRPr="00127ABE" w:rsidRDefault="00D2257F" w:rsidP="00DC43AE">
      <w:pPr>
        <w:numPr>
          <w:ilvl w:val="0"/>
          <w:numId w:val="18"/>
        </w:numPr>
        <w:spacing w:after="120"/>
        <w:rPr>
          <w:rFonts w:ascii="Arial" w:hAnsi="Arial" w:cs="Arial"/>
          <w:sz w:val="20"/>
          <w:szCs w:val="20"/>
        </w:rPr>
      </w:pPr>
      <w:r w:rsidRPr="00127ABE">
        <w:rPr>
          <w:rFonts w:ascii="Arial" w:hAnsi="Arial" w:cs="Arial"/>
          <w:sz w:val="20"/>
          <w:szCs w:val="20"/>
        </w:rPr>
        <w:t>Service Level Guarantee (</w:t>
      </w:r>
      <w:r w:rsidR="00A27774">
        <w:rPr>
          <w:rFonts w:ascii="Arial" w:hAnsi="Arial" w:cs="Arial"/>
          <w:sz w:val="20"/>
          <w:szCs w:val="20"/>
        </w:rPr>
        <w:t>“</w:t>
      </w:r>
      <w:r w:rsidRPr="00D87B09">
        <w:rPr>
          <w:rFonts w:ascii="Arial" w:hAnsi="Arial" w:cs="Arial"/>
          <w:b/>
          <w:sz w:val="20"/>
          <w:szCs w:val="20"/>
        </w:rPr>
        <w:t>SLG</w:t>
      </w:r>
      <w:r w:rsidR="00A27774">
        <w:rPr>
          <w:rFonts w:ascii="Arial" w:hAnsi="Arial" w:cs="Arial"/>
          <w:sz w:val="20"/>
          <w:szCs w:val="20"/>
        </w:rPr>
        <w:t>”</w:t>
      </w:r>
      <w:r w:rsidRPr="00127ABE">
        <w:rPr>
          <w:rFonts w:ascii="Arial" w:hAnsi="Arial" w:cs="Arial"/>
          <w:sz w:val="20"/>
          <w:szCs w:val="20"/>
        </w:rPr>
        <w:t>)</w:t>
      </w:r>
      <w:r w:rsidR="00A851C3" w:rsidRPr="00127ABE">
        <w:rPr>
          <w:rFonts w:ascii="Arial" w:hAnsi="Arial" w:cs="Arial"/>
          <w:sz w:val="20"/>
          <w:szCs w:val="20"/>
        </w:rPr>
        <w:t xml:space="preserve"> and Missed Performance Credits (</w:t>
      </w:r>
      <w:r w:rsidR="00A27774">
        <w:rPr>
          <w:rFonts w:ascii="Arial" w:hAnsi="Arial" w:cs="Arial"/>
          <w:sz w:val="20"/>
          <w:szCs w:val="20"/>
        </w:rPr>
        <w:t>“</w:t>
      </w:r>
      <w:r w:rsidR="00A851C3" w:rsidRPr="00D87B09">
        <w:rPr>
          <w:rFonts w:ascii="Arial" w:hAnsi="Arial" w:cs="Arial"/>
          <w:b/>
          <w:sz w:val="20"/>
          <w:szCs w:val="20"/>
        </w:rPr>
        <w:t>MPCs</w:t>
      </w:r>
      <w:r w:rsidR="00A27774">
        <w:rPr>
          <w:rFonts w:ascii="Arial" w:hAnsi="Arial" w:cs="Arial"/>
          <w:sz w:val="20"/>
          <w:szCs w:val="20"/>
        </w:rPr>
        <w:t>”</w:t>
      </w:r>
      <w:r w:rsidR="00A851C3" w:rsidRPr="00127ABE">
        <w:rPr>
          <w:rFonts w:ascii="Arial" w:hAnsi="Arial" w:cs="Arial"/>
          <w:sz w:val="20"/>
          <w:szCs w:val="20"/>
        </w:rPr>
        <w:t>)</w:t>
      </w:r>
    </w:p>
    <w:p w14:paraId="3AE969CB" w14:textId="4DA18462" w:rsidR="00A851C3" w:rsidRPr="00127ABE" w:rsidRDefault="00D2257F" w:rsidP="003461C2">
      <w:pPr>
        <w:spacing w:after="120"/>
        <w:ind w:left="720"/>
        <w:rPr>
          <w:rFonts w:ascii="Arial" w:hAnsi="Arial" w:cs="Arial"/>
          <w:sz w:val="20"/>
          <w:szCs w:val="20"/>
        </w:rPr>
      </w:pPr>
      <w:r w:rsidRPr="00127ABE">
        <w:rPr>
          <w:rFonts w:ascii="Arial" w:hAnsi="Arial" w:cs="Arial"/>
          <w:sz w:val="20"/>
          <w:szCs w:val="20"/>
        </w:rPr>
        <w:t>This</w:t>
      </w:r>
      <w:r w:rsidR="00A851C3" w:rsidRPr="00127ABE">
        <w:rPr>
          <w:rFonts w:ascii="Arial" w:hAnsi="Arial" w:cs="Arial"/>
          <w:sz w:val="20"/>
          <w:szCs w:val="20"/>
        </w:rPr>
        <w:t xml:space="preserve"> </w:t>
      </w:r>
      <w:r w:rsidR="000558B0" w:rsidRPr="00127ABE">
        <w:rPr>
          <w:rFonts w:ascii="Arial" w:hAnsi="Arial" w:cs="Arial"/>
          <w:sz w:val="20"/>
          <w:szCs w:val="20"/>
        </w:rPr>
        <w:t>table</w:t>
      </w:r>
      <w:r w:rsidR="00A851C3" w:rsidRPr="00127ABE">
        <w:rPr>
          <w:rFonts w:ascii="Arial" w:hAnsi="Arial" w:cs="Arial"/>
          <w:sz w:val="20"/>
          <w:szCs w:val="20"/>
        </w:rPr>
        <w:t xml:space="preserve"> demonstrates Fro</w:t>
      </w:r>
      <w:r w:rsidR="000558B0" w:rsidRPr="00127ABE">
        <w:rPr>
          <w:rFonts w:ascii="Arial" w:hAnsi="Arial" w:cs="Arial"/>
          <w:sz w:val="20"/>
          <w:szCs w:val="20"/>
        </w:rPr>
        <w:t>ntier’s</w:t>
      </w:r>
      <w:r w:rsidRPr="00127ABE">
        <w:rPr>
          <w:rFonts w:ascii="Arial" w:hAnsi="Arial" w:cs="Arial"/>
          <w:sz w:val="20"/>
          <w:szCs w:val="20"/>
        </w:rPr>
        <w:t xml:space="preserve"> </w:t>
      </w:r>
      <w:r w:rsidR="00A27774">
        <w:rPr>
          <w:rFonts w:ascii="Arial" w:hAnsi="Arial" w:cs="Arial"/>
          <w:sz w:val="20"/>
          <w:szCs w:val="20"/>
        </w:rPr>
        <w:t>SLG</w:t>
      </w:r>
      <w:r w:rsidR="00A851C3" w:rsidRPr="00127ABE">
        <w:rPr>
          <w:rFonts w:ascii="Arial" w:hAnsi="Arial" w:cs="Arial"/>
          <w:sz w:val="20"/>
          <w:szCs w:val="20"/>
        </w:rPr>
        <w:t xml:space="preserve"> and available </w:t>
      </w:r>
      <w:r w:rsidR="00A27774">
        <w:rPr>
          <w:rFonts w:ascii="Arial" w:hAnsi="Arial" w:cs="Arial"/>
          <w:sz w:val="20"/>
          <w:szCs w:val="20"/>
        </w:rPr>
        <w:t>MPCs</w:t>
      </w:r>
      <w:r w:rsidR="00A851C3" w:rsidRPr="00127ABE">
        <w:rPr>
          <w:rFonts w:ascii="Arial" w:hAnsi="Arial" w:cs="Arial"/>
          <w:sz w:val="20"/>
          <w:szCs w:val="20"/>
        </w:rPr>
        <w:t xml:space="preserve"> followed by definitions and calculations in support thereof. </w:t>
      </w:r>
      <w:r w:rsidR="004B1FBF">
        <w:rPr>
          <w:rFonts w:ascii="Arial" w:hAnsi="Arial" w:cs="Arial"/>
          <w:sz w:val="20"/>
          <w:szCs w:val="20"/>
        </w:rPr>
        <w:t xml:space="preserve"> </w:t>
      </w:r>
      <w:r w:rsidR="00A851C3" w:rsidRPr="00127ABE">
        <w:rPr>
          <w:rFonts w:ascii="Arial" w:hAnsi="Arial" w:cs="Arial"/>
          <w:sz w:val="20"/>
          <w:szCs w:val="20"/>
        </w:rPr>
        <w:t>All performance attributes and operational attributes are based on definitions and recommendations provided by the International Telecommunication Union (</w:t>
      </w:r>
      <w:r w:rsidR="00A27774">
        <w:rPr>
          <w:rFonts w:ascii="Arial" w:hAnsi="Arial" w:cs="Arial"/>
          <w:sz w:val="20"/>
          <w:szCs w:val="20"/>
        </w:rPr>
        <w:t>“</w:t>
      </w:r>
      <w:r w:rsidR="00A851C3" w:rsidRPr="00D87B09">
        <w:rPr>
          <w:rFonts w:ascii="Arial" w:hAnsi="Arial" w:cs="Arial"/>
          <w:b/>
          <w:sz w:val="20"/>
          <w:szCs w:val="20"/>
        </w:rPr>
        <w:t>ITU</w:t>
      </w:r>
      <w:r w:rsidR="00A27774">
        <w:rPr>
          <w:rFonts w:ascii="Arial" w:hAnsi="Arial" w:cs="Arial"/>
          <w:sz w:val="20"/>
          <w:szCs w:val="20"/>
        </w:rPr>
        <w:t>”</w:t>
      </w:r>
      <w:r w:rsidR="00A851C3" w:rsidRPr="00127ABE">
        <w:rPr>
          <w:rFonts w:ascii="Arial" w:hAnsi="Arial" w:cs="Arial"/>
          <w:sz w:val="20"/>
          <w:szCs w:val="20"/>
        </w:rPr>
        <w:t>) standards, for the sake of continuity and comparison.</w:t>
      </w:r>
    </w:p>
    <w:p w14:paraId="3AE969CD" w14:textId="48606F5B" w:rsidR="00A851C3" w:rsidRPr="00127ABE" w:rsidRDefault="00A851C3" w:rsidP="00DC43AE">
      <w:pPr>
        <w:spacing w:after="120"/>
        <w:ind w:left="720"/>
        <w:rPr>
          <w:rFonts w:ascii="Arial" w:hAnsi="Arial" w:cs="Arial"/>
          <w:sz w:val="20"/>
          <w:szCs w:val="20"/>
        </w:rPr>
      </w:pPr>
      <w:r w:rsidRPr="00127ABE">
        <w:rPr>
          <w:rFonts w:ascii="Arial" w:hAnsi="Arial" w:cs="Arial"/>
          <w:sz w:val="20"/>
          <w:szCs w:val="20"/>
        </w:rPr>
        <w:t>Table 2.1</w:t>
      </w:r>
    </w:p>
    <w:p w14:paraId="3AE969CF" w14:textId="2D23E227" w:rsidR="00A851C3" w:rsidRPr="00127ABE" w:rsidRDefault="00E71AFE" w:rsidP="00DC43AE">
      <w:pPr>
        <w:spacing w:after="120"/>
        <w:rPr>
          <w:rFonts w:ascii="Arial" w:hAnsi="Arial" w:cs="Arial"/>
          <w:sz w:val="20"/>
          <w:szCs w:val="20"/>
        </w:rPr>
      </w:pPr>
      <w:r>
        <w:rPr>
          <w:noProof/>
        </w:rPr>
        <w:drawing>
          <wp:inline distT="0" distB="0" distL="0" distR="0" wp14:anchorId="0170D43D" wp14:editId="0D6075B8">
            <wp:extent cx="6858000" cy="2265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265680"/>
                    </a:xfrm>
                    <a:prstGeom prst="rect">
                      <a:avLst/>
                    </a:prstGeom>
                  </pic:spPr>
                </pic:pic>
              </a:graphicData>
            </a:graphic>
          </wp:inline>
        </w:drawing>
      </w:r>
    </w:p>
    <w:p w14:paraId="3AE969D1" w14:textId="77777777" w:rsidR="00A851C3" w:rsidRPr="00127ABE" w:rsidRDefault="00A851C3" w:rsidP="00DC43AE">
      <w:pPr>
        <w:numPr>
          <w:ilvl w:val="0"/>
          <w:numId w:val="18"/>
        </w:numPr>
        <w:spacing w:after="120"/>
        <w:rPr>
          <w:rFonts w:ascii="Arial" w:hAnsi="Arial" w:cs="Arial"/>
          <w:sz w:val="20"/>
          <w:szCs w:val="20"/>
        </w:rPr>
      </w:pPr>
      <w:r w:rsidRPr="00127ABE">
        <w:rPr>
          <w:rFonts w:ascii="Arial" w:hAnsi="Arial" w:cs="Arial"/>
          <w:sz w:val="20"/>
          <w:szCs w:val="20"/>
        </w:rPr>
        <w:t>Definitions</w:t>
      </w:r>
    </w:p>
    <w:p w14:paraId="3AE969D2" w14:textId="77777777" w:rsidR="00A851C3" w:rsidRPr="00127ABE" w:rsidRDefault="00A851C3" w:rsidP="00DC43AE">
      <w:pPr>
        <w:numPr>
          <w:ilvl w:val="1"/>
          <w:numId w:val="18"/>
        </w:numPr>
        <w:spacing w:after="120"/>
        <w:rPr>
          <w:rFonts w:ascii="Arial" w:hAnsi="Arial" w:cs="Arial"/>
          <w:sz w:val="20"/>
          <w:szCs w:val="20"/>
        </w:rPr>
      </w:pPr>
      <w:r w:rsidRPr="00127ABE">
        <w:rPr>
          <w:rFonts w:ascii="Arial" w:hAnsi="Arial" w:cs="Arial"/>
          <w:sz w:val="20"/>
          <w:szCs w:val="20"/>
        </w:rPr>
        <w:t>Service Level Agreement</w:t>
      </w:r>
    </w:p>
    <w:p w14:paraId="3AE969D3" w14:textId="77777777"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t>To be used as the vehicle between Frontier and Customer solidifying the scope of performance metrics applied in the</w:t>
      </w:r>
      <w:r w:rsidR="000558B0" w:rsidRPr="00127ABE">
        <w:rPr>
          <w:rFonts w:ascii="Arial" w:hAnsi="Arial" w:cs="Arial"/>
          <w:sz w:val="20"/>
          <w:szCs w:val="20"/>
        </w:rPr>
        <w:t xml:space="preserve"> delivery of Optical Transport Services.</w:t>
      </w:r>
    </w:p>
    <w:p w14:paraId="3AE969D4" w14:textId="77777777" w:rsidR="00A851C3" w:rsidRPr="00127ABE" w:rsidRDefault="00D2257F" w:rsidP="00DC43AE">
      <w:pPr>
        <w:numPr>
          <w:ilvl w:val="1"/>
          <w:numId w:val="18"/>
        </w:numPr>
        <w:spacing w:after="120"/>
        <w:rPr>
          <w:rFonts w:ascii="Arial" w:hAnsi="Arial" w:cs="Arial"/>
          <w:sz w:val="20"/>
          <w:szCs w:val="20"/>
        </w:rPr>
      </w:pPr>
      <w:r w:rsidRPr="00127ABE">
        <w:rPr>
          <w:rFonts w:ascii="Arial" w:hAnsi="Arial" w:cs="Arial"/>
          <w:sz w:val="20"/>
          <w:szCs w:val="20"/>
        </w:rPr>
        <w:t>Service Level Guarantee</w:t>
      </w:r>
    </w:p>
    <w:p w14:paraId="3AE969D5" w14:textId="369CC209" w:rsidR="000558B0" w:rsidRPr="00127ABE" w:rsidRDefault="00D2257F" w:rsidP="00DC43AE">
      <w:pPr>
        <w:numPr>
          <w:ilvl w:val="2"/>
          <w:numId w:val="18"/>
        </w:numPr>
        <w:spacing w:after="120"/>
        <w:rPr>
          <w:rFonts w:ascii="Arial" w:hAnsi="Arial" w:cs="Arial"/>
          <w:sz w:val="20"/>
          <w:szCs w:val="20"/>
        </w:rPr>
      </w:pPr>
      <w:r w:rsidRPr="00127ABE">
        <w:rPr>
          <w:rFonts w:ascii="Arial" w:hAnsi="Arial" w:cs="Arial"/>
          <w:sz w:val="20"/>
          <w:szCs w:val="20"/>
        </w:rPr>
        <w:t>Frontier</w:t>
      </w:r>
      <w:r w:rsidR="00342F23">
        <w:rPr>
          <w:rFonts w:ascii="Arial" w:hAnsi="Arial" w:cs="Arial"/>
          <w:sz w:val="20"/>
          <w:szCs w:val="20"/>
        </w:rPr>
        <w:t>’</w:t>
      </w:r>
      <w:r w:rsidRPr="00127ABE">
        <w:rPr>
          <w:rFonts w:ascii="Arial" w:hAnsi="Arial" w:cs="Arial"/>
          <w:sz w:val="20"/>
          <w:szCs w:val="20"/>
        </w:rPr>
        <w:t xml:space="preserve">s defined level of performance associated with the delivery of Optical Transport Services surrounding network performance measurements for </w:t>
      </w:r>
      <w:r w:rsidR="00340ECC" w:rsidRPr="00127ABE">
        <w:rPr>
          <w:rFonts w:ascii="Arial" w:hAnsi="Arial" w:cs="Arial"/>
          <w:sz w:val="20"/>
          <w:szCs w:val="20"/>
        </w:rPr>
        <w:t>repair intervals, availability, transfer rate and restoration</w:t>
      </w:r>
      <w:r w:rsidRPr="00127ABE">
        <w:rPr>
          <w:rFonts w:ascii="Arial" w:hAnsi="Arial" w:cs="Arial"/>
          <w:sz w:val="20"/>
          <w:szCs w:val="20"/>
        </w:rPr>
        <w:t xml:space="preserve">. </w:t>
      </w:r>
      <w:r w:rsidR="003461C2">
        <w:rPr>
          <w:rFonts w:ascii="Arial" w:hAnsi="Arial" w:cs="Arial"/>
          <w:sz w:val="20"/>
          <w:szCs w:val="20"/>
        </w:rPr>
        <w:t xml:space="preserve"> </w:t>
      </w:r>
      <w:r w:rsidRPr="00127ABE">
        <w:rPr>
          <w:rFonts w:ascii="Arial" w:hAnsi="Arial" w:cs="Arial"/>
          <w:sz w:val="20"/>
          <w:szCs w:val="20"/>
        </w:rPr>
        <w:t xml:space="preserve">In order to qualify for this </w:t>
      </w:r>
      <w:r w:rsidR="00A27774">
        <w:rPr>
          <w:rFonts w:ascii="Arial" w:hAnsi="Arial" w:cs="Arial"/>
          <w:sz w:val="20"/>
          <w:szCs w:val="20"/>
        </w:rPr>
        <w:t>SLG</w:t>
      </w:r>
      <w:r w:rsidRPr="00127ABE">
        <w:rPr>
          <w:rFonts w:ascii="Arial" w:hAnsi="Arial" w:cs="Arial"/>
          <w:sz w:val="20"/>
          <w:szCs w:val="20"/>
        </w:rPr>
        <w:t>, Customer must adhere to and agree to the common understanding, pre-established and supportable measurements as outlined within Frontier’s S</w:t>
      </w:r>
      <w:r w:rsidR="00342F23">
        <w:rPr>
          <w:rFonts w:ascii="Arial" w:hAnsi="Arial" w:cs="Arial"/>
          <w:sz w:val="20"/>
          <w:szCs w:val="20"/>
        </w:rPr>
        <w:t>LA</w:t>
      </w:r>
      <w:r w:rsidR="00EB0780">
        <w:rPr>
          <w:rFonts w:ascii="Arial" w:hAnsi="Arial" w:cs="Arial"/>
          <w:sz w:val="20"/>
          <w:szCs w:val="20"/>
        </w:rPr>
        <w:t>.</w:t>
      </w:r>
    </w:p>
    <w:p w14:paraId="3AE969D6" w14:textId="77777777" w:rsidR="00A851C3" w:rsidRPr="00127ABE" w:rsidRDefault="00A851C3" w:rsidP="00DC43AE">
      <w:pPr>
        <w:numPr>
          <w:ilvl w:val="1"/>
          <w:numId w:val="18"/>
        </w:numPr>
        <w:spacing w:after="120"/>
        <w:rPr>
          <w:rFonts w:ascii="Arial" w:hAnsi="Arial" w:cs="Arial"/>
          <w:sz w:val="20"/>
          <w:szCs w:val="20"/>
        </w:rPr>
      </w:pPr>
      <w:r w:rsidRPr="00127ABE">
        <w:rPr>
          <w:rFonts w:ascii="Arial" w:hAnsi="Arial" w:cs="Arial"/>
          <w:sz w:val="20"/>
          <w:szCs w:val="20"/>
        </w:rPr>
        <w:t>Missed Performance Credits</w:t>
      </w:r>
    </w:p>
    <w:p w14:paraId="3AE969D7" w14:textId="77777777"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t>Financial credits associated with missed performance metrics, as demonstrated in the above-mentioned, within a billing cycle and as further defined herein.</w:t>
      </w:r>
    </w:p>
    <w:p w14:paraId="3AE969D8" w14:textId="77777777" w:rsidR="00A851C3" w:rsidRPr="00127ABE" w:rsidRDefault="00A851C3" w:rsidP="00DC43AE">
      <w:pPr>
        <w:numPr>
          <w:ilvl w:val="1"/>
          <w:numId w:val="18"/>
        </w:numPr>
        <w:spacing w:after="120"/>
        <w:rPr>
          <w:rFonts w:ascii="Arial" w:hAnsi="Arial" w:cs="Arial"/>
          <w:sz w:val="20"/>
          <w:szCs w:val="20"/>
        </w:rPr>
      </w:pPr>
      <w:r w:rsidRPr="00127ABE">
        <w:rPr>
          <w:rFonts w:ascii="Arial" w:hAnsi="Arial" w:cs="Arial"/>
          <w:sz w:val="20"/>
          <w:szCs w:val="20"/>
        </w:rPr>
        <w:t>Billing Cycle</w:t>
      </w:r>
    </w:p>
    <w:p w14:paraId="3AE969D9" w14:textId="41882C1B"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t xml:space="preserve">Frontier billing cycle is measured as a </w:t>
      </w:r>
      <w:r w:rsidR="00A27774">
        <w:rPr>
          <w:rFonts w:ascii="Arial" w:hAnsi="Arial" w:cs="Arial"/>
          <w:sz w:val="20"/>
          <w:szCs w:val="20"/>
        </w:rPr>
        <w:t>thirty (</w:t>
      </w:r>
      <w:r w:rsidRPr="00127ABE">
        <w:rPr>
          <w:rFonts w:ascii="Arial" w:hAnsi="Arial" w:cs="Arial"/>
          <w:sz w:val="20"/>
          <w:szCs w:val="20"/>
        </w:rPr>
        <w:t>30</w:t>
      </w:r>
      <w:r w:rsidR="00A27774">
        <w:rPr>
          <w:rFonts w:ascii="Arial" w:hAnsi="Arial" w:cs="Arial"/>
          <w:sz w:val="20"/>
          <w:szCs w:val="20"/>
        </w:rPr>
        <w:t>)</w:t>
      </w:r>
      <w:r w:rsidRPr="00127ABE">
        <w:rPr>
          <w:rFonts w:ascii="Arial" w:hAnsi="Arial" w:cs="Arial"/>
          <w:sz w:val="20"/>
          <w:szCs w:val="20"/>
        </w:rPr>
        <w:t xml:space="preserve"> calendar day assignment.</w:t>
      </w:r>
    </w:p>
    <w:p w14:paraId="3AE969DA" w14:textId="77777777" w:rsidR="00A851C3" w:rsidRPr="00127ABE" w:rsidRDefault="00340ECC" w:rsidP="00DC43AE">
      <w:pPr>
        <w:numPr>
          <w:ilvl w:val="1"/>
          <w:numId w:val="18"/>
        </w:numPr>
        <w:spacing w:after="120"/>
        <w:rPr>
          <w:rFonts w:ascii="Arial" w:hAnsi="Arial" w:cs="Arial"/>
          <w:sz w:val="20"/>
          <w:szCs w:val="20"/>
        </w:rPr>
      </w:pPr>
      <w:r w:rsidRPr="00127ABE">
        <w:rPr>
          <w:rFonts w:ascii="Arial" w:hAnsi="Arial" w:cs="Arial"/>
          <w:sz w:val="20"/>
          <w:szCs w:val="20"/>
        </w:rPr>
        <w:t xml:space="preserve">Mean Time </w:t>
      </w:r>
      <w:proofErr w:type="gramStart"/>
      <w:r w:rsidRPr="00127ABE">
        <w:rPr>
          <w:rFonts w:ascii="Arial" w:hAnsi="Arial" w:cs="Arial"/>
          <w:sz w:val="20"/>
          <w:szCs w:val="20"/>
        </w:rPr>
        <w:t>To</w:t>
      </w:r>
      <w:proofErr w:type="gramEnd"/>
      <w:r w:rsidRPr="00127ABE">
        <w:rPr>
          <w:rFonts w:ascii="Arial" w:hAnsi="Arial" w:cs="Arial"/>
          <w:sz w:val="20"/>
          <w:szCs w:val="20"/>
        </w:rPr>
        <w:t xml:space="preserve"> Repair</w:t>
      </w:r>
    </w:p>
    <w:p w14:paraId="3AE969DB" w14:textId="18AE8EEC" w:rsidR="00DB27A6" w:rsidRPr="00127ABE" w:rsidRDefault="00DB27A6" w:rsidP="00DC43AE">
      <w:pPr>
        <w:numPr>
          <w:ilvl w:val="2"/>
          <w:numId w:val="18"/>
        </w:numPr>
        <w:spacing w:after="120"/>
        <w:rPr>
          <w:rFonts w:ascii="Arial" w:hAnsi="Arial" w:cs="Arial"/>
          <w:sz w:val="20"/>
          <w:szCs w:val="20"/>
        </w:rPr>
      </w:pPr>
      <w:r w:rsidRPr="00127ABE">
        <w:rPr>
          <w:rFonts w:ascii="Arial" w:hAnsi="Arial" w:cs="Arial"/>
          <w:sz w:val="20"/>
          <w:szCs w:val="20"/>
        </w:rPr>
        <w:lastRenderedPageBreak/>
        <w:t>Mean Time to Repair (</w:t>
      </w:r>
      <w:r w:rsidR="00A27774">
        <w:rPr>
          <w:rFonts w:ascii="Arial" w:hAnsi="Arial" w:cs="Arial"/>
          <w:sz w:val="20"/>
          <w:szCs w:val="20"/>
        </w:rPr>
        <w:t>“</w:t>
      </w:r>
      <w:r w:rsidRPr="00D87B09">
        <w:rPr>
          <w:rFonts w:ascii="Arial" w:hAnsi="Arial" w:cs="Arial"/>
          <w:b/>
          <w:sz w:val="20"/>
          <w:szCs w:val="20"/>
        </w:rPr>
        <w:t>MTTR</w:t>
      </w:r>
      <w:r w:rsidR="00A27774">
        <w:rPr>
          <w:rFonts w:ascii="Arial" w:hAnsi="Arial" w:cs="Arial"/>
          <w:sz w:val="20"/>
          <w:szCs w:val="20"/>
        </w:rPr>
        <w:t>”</w:t>
      </w:r>
      <w:r w:rsidRPr="00127ABE">
        <w:rPr>
          <w:rFonts w:ascii="Arial" w:hAnsi="Arial" w:cs="Arial"/>
          <w:sz w:val="20"/>
          <w:szCs w:val="20"/>
        </w:rPr>
        <w:t>) is defined as the average elapsed time between the opening of a trouble ticket, assessment of the trouble ticket and a return to complete service availability, as the result of a confirmable service interruption.</w:t>
      </w:r>
    </w:p>
    <w:p w14:paraId="3AE969DC" w14:textId="77777777" w:rsidR="00DB27A6" w:rsidRPr="00127ABE" w:rsidRDefault="00DB27A6" w:rsidP="00DC43AE">
      <w:pPr>
        <w:numPr>
          <w:ilvl w:val="1"/>
          <w:numId w:val="18"/>
        </w:numPr>
        <w:spacing w:after="120"/>
        <w:rPr>
          <w:rFonts w:ascii="Arial" w:hAnsi="Arial" w:cs="Arial"/>
          <w:sz w:val="20"/>
          <w:szCs w:val="20"/>
        </w:rPr>
      </w:pPr>
      <w:r w:rsidRPr="00127ABE">
        <w:rPr>
          <w:rFonts w:ascii="Arial" w:hAnsi="Arial" w:cs="Arial"/>
          <w:sz w:val="20"/>
          <w:szCs w:val="20"/>
        </w:rPr>
        <w:t>Service Interruption</w:t>
      </w:r>
    </w:p>
    <w:p w14:paraId="3AE969DD" w14:textId="0B3927B9" w:rsidR="00DB27A6" w:rsidRPr="00127ABE" w:rsidRDefault="00DB27A6" w:rsidP="00DC43AE">
      <w:pPr>
        <w:numPr>
          <w:ilvl w:val="2"/>
          <w:numId w:val="18"/>
        </w:numPr>
        <w:spacing w:after="120"/>
        <w:rPr>
          <w:rFonts w:ascii="Arial" w:hAnsi="Arial" w:cs="Arial"/>
          <w:sz w:val="20"/>
          <w:szCs w:val="20"/>
        </w:rPr>
      </w:pPr>
      <w:r w:rsidRPr="00127ABE">
        <w:rPr>
          <w:rFonts w:ascii="Arial" w:hAnsi="Arial" w:cs="Arial"/>
          <w:sz w:val="20"/>
          <w:szCs w:val="20"/>
        </w:rPr>
        <w:t xml:space="preserve">An unscheduled duration of service unavailability, due to a fault caused solely by Frontier, resulting in nonuse of a </w:t>
      </w:r>
      <w:r w:rsidR="003216B7" w:rsidRPr="00127ABE">
        <w:rPr>
          <w:rFonts w:ascii="Arial" w:hAnsi="Arial" w:cs="Arial"/>
          <w:sz w:val="20"/>
          <w:szCs w:val="20"/>
        </w:rPr>
        <w:t>p</w:t>
      </w:r>
      <w:r w:rsidRPr="00127ABE">
        <w:rPr>
          <w:rFonts w:ascii="Arial" w:hAnsi="Arial" w:cs="Arial"/>
          <w:sz w:val="20"/>
          <w:szCs w:val="20"/>
        </w:rPr>
        <w:t>oint-to-</w:t>
      </w:r>
      <w:r w:rsidR="003216B7" w:rsidRPr="00127ABE">
        <w:rPr>
          <w:rFonts w:ascii="Arial" w:hAnsi="Arial" w:cs="Arial"/>
          <w:sz w:val="20"/>
          <w:szCs w:val="20"/>
        </w:rPr>
        <w:t>p</w:t>
      </w:r>
      <w:r w:rsidRPr="00127ABE">
        <w:rPr>
          <w:rFonts w:ascii="Arial" w:hAnsi="Arial" w:cs="Arial"/>
          <w:sz w:val="20"/>
          <w:szCs w:val="20"/>
        </w:rPr>
        <w:t>oint optical transport path for more than sixty</w:t>
      </w:r>
      <w:r w:rsidR="00A27774">
        <w:rPr>
          <w:rFonts w:ascii="Arial" w:hAnsi="Arial" w:cs="Arial"/>
          <w:sz w:val="20"/>
          <w:szCs w:val="20"/>
        </w:rPr>
        <w:t xml:space="preserve"> (60)</w:t>
      </w:r>
      <w:r w:rsidRPr="00127ABE">
        <w:rPr>
          <w:rFonts w:ascii="Arial" w:hAnsi="Arial" w:cs="Arial"/>
          <w:sz w:val="20"/>
          <w:szCs w:val="20"/>
        </w:rPr>
        <w:t xml:space="preserve"> seconds within a fifteen</w:t>
      </w:r>
      <w:r w:rsidR="00A27774">
        <w:rPr>
          <w:rFonts w:ascii="Arial" w:hAnsi="Arial" w:cs="Arial"/>
          <w:sz w:val="20"/>
          <w:szCs w:val="20"/>
        </w:rPr>
        <w:t xml:space="preserve"> (15)</w:t>
      </w:r>
      <w:r w:rsidRPr="00127ABE">
        <w:rPr>
          <w:rFonts w:ascii="Arial" w:hAnsi="Arial" w:cs="Arial"/>
          <w:sz w:val="20"/>
          <w:szCs w:val="20"/>
        </w:rPr>
        <w:t xml:space="preserve"> minute period.</w:t>
      </w:r>
    </w:p>
    <w:p w14:paraId="3AE969DE" w14:textId="06B58E3E" w:rsidR="00DB27A6" w:rsidRPr="00127ABE" w:rsidRDefault="00DB27A6" w:rsidP="00DC43AE">
      <w:pPr>
        <w:numPr>
          <w:ilvl w:val="1"/>
          <w:numId w:val="18"/>
        </w:numPr>
        <w:spacing w:after="120"/>
        <w:rPr>
          <w:rFonts w:ascii="Arial" w:hAnsi="Arial" w:cs="Arial"/>
          <w:sz w:val="20"/>
          <w:szCs w:val="20"/>
        </w:rPr>
      </w:pPr>
      <w:r w:rsidRPr="00127ABE">
        <w:rPr>
          <w:rFonts w:ascii="Arial" w:hAnsi="Arial" w:cs="Arial"/>
          <w:sz w:val="20"/>
          <w:szCs w:val="20"/>
        </w:rPr>
        <w:t>Circuit Availability (</w:t>
      </w:r>
      <w:r w:rsidR="00A27774">
        <w:rPr>
          <w:rFonts w:ascii="Arial" w:hAnsi="Arial" w:cs="Arial"/>
          <w:sz w:val="20"/>
          <w:szCs w:val="20"/>
        </w:rPr>
        <w:t>“</w:t>
      </w:r>
      <w:r w:rsidRPr="00D87B09">
        <w:rPr>
          <w:rFonts w:ascii="Arial" w:hAnsi="Arial" w:cs="Arial"/>
          <w:b/>
          <w:sz w:val="20"/>
          <w:szCs w:val="20"/>
        </w:rPr>
        <w:t>CA</w:t>
      </w:r>
      <w:r w:rsidR="00A27774">
        <w:rPr>
          <w:rFonts w:ascii="Arial" w:hAnsi="Arial" w:cs="Arial"/>
          <w:sz w:val="20"/>
          <w:szCs w:val="20"/>
        </w:rPr>
        <w:t>”</w:t>
      </w:r>
      <w:r w:rsidRPr="00127ABE">
        <w:rPr>
          <w:rFonts w:ascii="Arial" w:hAnsi="Arial" w:cs="Arial"/>
          <w:sz w:val="20"/>
          <w:szCs w:val="20"/>
        </w:rPr>
        <w:t xml:space="preserve">) is defined as the percentage of time within a calendar month that Frontier Optical Transport Service is available for use by </w:t>
      </w:r>
      <w:r w:rsidR="003216B7" w:rsidRPr="00127ABE">
        <w:rPr>
          <w:rFonts w:ascii="Arial" w:hAnsi="Arial" w:cs="Arial"/>
          <w:sz w:val="20"/>
          <w:szCs w:val="20"/>
        </w:rPr>
        <w:t xml:space="preserve">the </w:t>
      </w:r>
      <w:r w:rsidRPr="00127ABE">
        <w:rPr>
          <w:rFonts w:ascii="Arial" w:hAnsi="Arial" w:cs="Arial"/>
          <w:sz w:val="20"/>
          <w:szCs w:val="20"/>
        </w:rPr>
        <w:t>Customer.</w:t>
      </w:r>
    </w:p>
    <w:p w14:paraId="3AE969DF" w14:textId="5F7FB138" w:rsidR="00DB27A6" w:rsidRPr="00127ABE" w:rsidRDefault="00DB27A6" w:rsidP="00DC43AE">
      <w:pPr>
        <w:numPr>
          <w:ilvl w:val="1"/>
          <w:numId w:val="18"/>
        </w:numPr>
        <w:spacing w:after="120"/>
        <w:rPr>
          <w:rFonts w:ascii="Arial" w:hAnsi="Arial" w:cs="Arial"/>
          <w:sz w:val="20"/>
          <w:szCs w:val="20"/>
        </w:rPr>
      </w:pPr>
      <w:r w:rsidRPr="00127ABE">
        <w:rPr>
          <w:rFonts w:ascii="Arial" w:hAnsi="Arial" w:cs="Arial"/>
          <w:sz w:val="20"/>
          <w:szCs w:val="20"/>
        </w:rPr>
        <w:t>Bit Error Rate (</w:t>
      </w:r>
      <w:r w:rsidR="00A27774">
        <w:rPr>
          <w:rFonts w:ascii="Arial" w:hAnsi="Arial" w:cs="Arial"/>
          <w:sz w:val="20"/>
          <w:szCs w:val="20"/>
        </w:rPr>
        <w:t>“</w:t>
      </w:r>
      <w:r w:rsidRPr="00D87B09">
        <w:rPr>
          <w:rFonts w:ascii="Arial" w:hAnsi="Arial" w:cs="Arial"/>
          <w:b/>
          <w:sz w:val="20"/>
          <w:szCs w:val="20"/>
        </w:rPr>
        <w:t>BER</w:t>
      </w:r>
      <w:r w:rsidR="00A27774">
        <w:rPr>
          <w:rFonts w:ascii="Arial" w:hAnsi="Arial" w:cs="Arial"/>
          <w:sz w:val="20"/>
          <w:szCs w:val="20"/>
        </w:rPr>
        <w:t>”</w:t>
      </w:r>
      <w:r w:rsidRPr="00127ABE">
        <w:rPr>
          <w:rFonts w:ascii="Arial" w:hAnsi="Arial" w:cs="Arial"/>
          <w:sz w:val="20"/>
          <w:szCs w:val="20"/>
        </w:rPr>
        <w:t>)</w:t>
      </w:r>
      <w:r w:rsidR="004D69A4" w:rsidRPr="00127ABE">
        <w:rPr>
          <w:rFonts w:ascii="Arial" w:hAnsi="Arial" w:cs="Arial"/>
          <w:sz w:val="20"/>
          <w:szCs w:val="20"/>
        </w:rPr>
        <w:t xml:space="preserve"> is defined as the number of data stream bits received over a communication medium altered by noise, interference, distortion </w:t>
      </w:r>
      <w:r w:rsidR="003F444A" w:rsidRPr="00127ABE">
        <w:rPr>
          <w:rFonts w:ascii="Arial" w:hAnsi="Arial" w:cs="Arial"/>
          <w:sz w:val="20"/>
          <w:szCs w:val="20"/>
        </w:rPr>
        <w:t xml:space="preserve">and </w:t>
      </w:r>
      <w:r w:rsidR="00605403" w:rsidRPr="00127ABE">
        <w:rPr>
          <w:rFonts w:ascii="Arial" w:hAnsi="Arial" w:cs="Arial"/>
          <w:sz w:val="20"/>
          <w:szCs w:val="20"/>
        </w:rPr>
        <w:t xml:space="preserve">or synchronization </w:t>
      </w:r>
      <w:r w:rsidR="004D69A4" w:rsidRPr="00127ABE">
        <w:rPr>
          <w:rFonts w:ascii="Arial" w:hAnsi="Arial" w:cs="Arial"/>
          <w:sz w:val="20"/>
          <w:szCs w:val="20"/>
        </w:rPr>
        <w:t>errors.</w:t>
      </w:r>
    </w:p>
    <w:p w14:paraId="3AE969E0" w14:textId="77777777" w:rsidR="003F444A" w:rsidRPr="00127ABE" w:rsidRDefault="003F444A" w:rsidP="00DC43AE">
      <w:pPr>
        <w:numPr>
          <w:ilvl w:val="1"/>
          <w:numId w:val="18"/>
        </w:numPr>
        <w:spacing w:after="120"/>
        <w:rPr>
          <w:rFonts w:ascii="Arial" w:hAnsi="Arial" w:cs="Arial"/>
          <w:sz w:val="20"/>
          <w:szCs w:val="20"/>
        </w:rPr>
      </w:pPr>
      <w:r w:rsidRPr="00127ABE">
        <w:rPr>
          <w:rFonts w:ascii="Arial" w:hAnsi="Arial" w:cs="Arial"/>
          <w:sz w:val="20"/>
          <w:szCs w:val="20"/>
        </w:rPr>
        <w:t xml:space="preserve">Restoration is defined as </w:t>
      </w:r>
      <w:r w:rsidR="00605403" w:rsidRPr="00127ABE">
        <w:rPr>
          <w:rFonts w:ascii="Arial" w:hAnsi="Arial" w:cs="Arial"/>
          <w:sz w:val="20"/>
          <w:szCs w:val="20"/>
        </w:rPr>
        <w:t xml:space="preserve">the amount of time, described in milliseconds for the </w:t>
      </w:r>
      <w:r w:rsidR="003216B7" w:rsidRPr="00127ABE">
        <w:rPr>
          <w:rFonts w:ascii="Arial" w:hAnsi="Arial" w:cs="Arial"/>
          <w:sz w:val="20"/>
          <w:szCs w:val="20"/>
        </w:rPr>
        <w:t xml:space="preserve">optical transport </w:t>
      </w:r>
      <w:r w:rsidR="00605403" w:rsidRPr="00127ABE">
        <w:rPr>
          <w:rFonts w:ascii="Arial" w:hAnsi="Arial" w:cs="Arial"/>
          <w:sz w:val="20"/>
          <w:szCs w:val="20"/>
        </w:rPr>
        <w:t>path to reroute and re-establish a communications path as the result of an interruption in service</w:t>
      </w:r>
      <w:r w:rsidR="00605403" w:rsidRPr="00127ABE">
        <w:rPr>
          <w:rStyle w:val="FootnoteReference"/>
          <w:rFonts w:ascii="Arial" w:hAnsi="Arial" w:cs="Arial"/>
          <w:sz w:val="20"/>
          <w:szCs w:val="20"/>
        </w:rPr>
        <w:footnoteReference w:id="2"/>
      </w:r>
      <w:r w:rsidR="00605403" w:rsidRPr="00127ABE">
        <w:rPr>
          <w:rFonts w:ascii="Arial" w:hAnsi="Arial" w:cs="Arial"/>
          <w:sz w:val="20"/>
          <w:szCs w:val="20"/>
        </w:rPr>
        <w:t>.</w:t>
      </w:r>
    </w:p>
    <w:p w14:paraId="3AE969E1" w14:textId="77777777" w:rsidR="00A851C3" w:rsidRPr="00127ABE" w:rsidRDefault="00A851C3" w:rsidP="00DC43AE">
      <w:pPr>
        <w:numPr>
          <w:ilvl w:val="0"/>
          <w:numId w:val="18"/>
        </w:numPr>
        <w:spacing w:after="120"/>
        <w:rPr>
          <w:rFonts w:ascii="Arial" w:hAnsi="Arial" w:cs="Arial"/>
          <w:sz w:val="20"/>
          <w:szCs w:val="20"/>
        </w:rPr>
      </w:pPr>
      <w:r w:rsidRPr="00127ABE">
        <w:rPr>
          <w:rFonts w:ascii="Arial" w:hAnsi="Arial" w:cs="Arial"/>
          <w:sz w:val="20"/>
          <w:szCs w:val="20"/>
        </w:rPr>
        <w:t>Calculations</w:t>
      </w:r>
    </w:p>
    <w:p w14:paraId="3AE969E2" w14:textId="36CCB427" w:rsidR="00A851C3" w:rsidRPr="00127ABE" w:rsidRDefault="00A27774" w:rsidP="00DC43AE">
      <w:pPr>
        <w:numPr>
          <w:ilvl w:val="1"/>
          <w:numId w:val="18"/>
        </w:numPr>
        <w:spacing w:after="120"/>
        <w:rPr>
          <w:rFonts w:ascii="Arial" w:hAnsi="Arial" w:cs="Arial"/>
          <w:sz w:val="20"/>
          <w:szCs w:val="20"/>
        </w:rPr>
      </w:pPr>
      <w:r>
        <w:rPr>
          <w:rFonts w:ascii="Arial" w:hAnsi="Arial" w:cs="Arial"/>
          <w:sz w:val="20"/>
          <w:szCs w:val="20"/>
        </w:rPr>
        <w:t xml:space="preserve">MTTR </w:t>
      </w:r>
      <w:r w:rsidR="00A851C3" w:rsidRPr="00127ABE">
        <w:rPr>
          <w:rFonts w:ascii="Arial" w:hAnsi="Arial" w:cs="Arial"/>
          <w:sz w:val="20"/>
          <w:szCs w:val="20"/>
        </w:rPr>
        <w:t>is calculated from the moment a trouble ticket is confirmed (in minutes) through closure and released back into service to the Customer.</w:t>
      </w:r>
    </w:p>
    <w:p w14:paraId="3AE969E3" w14:textId="0383F036" w:rsidR="00A851C3" w:rsidRPr="00127ABE" w:rsidRDefault="00A27774" w:rsidP="00DC43AE">
      <w:pPr>
        <w:numPr>
          <w:ilvl w:val="1"/>
          <w:numId w:val="18"/>
        </w:numPr>
        <w:spacing w:after="120"/>
        <w:rPr>
          <w:rFonts w:ascii="Arial" w:hAnsi="Arial" w:cs="Arial"/>
          <w:sz w:val="20"/>
          <w:szCs w:val="20"/>
        </w:rPr>
      </w:pPr>
      <w:r>
        <w:rPr>
          <w:rFonts w:ascii="Arial" w:hAnsi="Arial" w:cs="Arial"/>
          <w:sz w:val="20"/>
          <w:szCs w:val="20"/>
        </w:rPr>
        <w:t>CA</w:t>
      </w:r>
      <w:r w:rsidR="00A851C3" w:rsidRPr="00127ABE">
        <w:rPr>
          <w:rFonts w:ascii="Arial" w:hAnsi="Arial" w:cs="Arial"/>
          <w:sz w:val="20"/>
          <w:szCs w:val="20"/>
        </w:rPr>
        <w:t xml:space="preserve"> is calculated as follows: twenty</w:t>
      </w:r>
      <w:r>
        <w:rPr>
          <w:rFonts w:ascii="Arial" w:hAnsi="Arial" w:cs="Arial"/>
          <w:sz w:val="20"/>
          <w:szCs w:val="20"/>
        </w:rPr>
        <w:t>-</w:t>
      </w:r>
      <w:r w:rsidR="00A851C3" w:rsidRPr="00127ABE">
        <w:rPr>
          <w:rFonts w:ascii="Arial" w:hAnsi="Arial" w:cs="Arial"/>
          <w:sz w:val="20"/>
          <w:szCs w:val="20"/>
        </w:rPr>
        <w:t xml:space="preserve">four </w:t>
      </w:r>
      <w:r>
        <w:rPr>
          <w:rFonts w:ascii="Arial" w:hAnsi="Arial" w:cs="Arial"/>
          <w:sz w:val="20"/>
          <w:szCs w:val="20"/>
        </w:rPr>
        <w:t xml:space="preserve">(24) </w:t>
      </w:r>
      <w:r w:rsidR="00A851C3" w:rsidRPr="00127ABE">
        <w:rPr>
          <w:rFonts w:ascii="Arial" w:hAnsi="Arial" w:cs="Arial"/>
          <w:sz w:val="20"/>
          <w:szCs w:val="20"/>
        </w:rPr>
        <w:t xml:space="preserve">times the number of days in a month, times </w:t>
      </w:r>
      <w:r w:rsidR="003216B7" w:rsidRPr="00127ABE">
        <w:rPr>
          <w:rFonts w:ascii="Arial" w:hAnsi="Arial" w:cs="Arial"/>
          <w:sz w:val="20"/>
          <w:szCs w:val="20"/>
        </w:rPr>
        <w:t>one</w:t>
      </w:r>
      <w:r>
        <w:rPr>
          <w:rFonts w:ascii="Arial" w:hAnsi="Arial" w:cs="Arial"/>
          <w:sz w:val="20"/>
          <w:szCs w:val="20"/>
        </w:rPr>
        <w:t xml:space="preserve"> (1)</w:t>
      </w:r>
      <w:r w:rsidR="003216B7" w:rsidRPr="00127ABE">
        <w:rPr>
          <w:rFonts w:ascii="Arial" w:hAnsi="Arial" w:cs="Arial"/>
          <w:sz w:val="20"/>
          <w:szCs w:val="20"/>
        </w:rPr>
        <w:t xml:space="preserve"> minus the number of hours an optical transport</w:t>
      </w:r>
      <w:r w:rsidR="00A851C3" w:rsidRPr="00127ABE">
        <w:rPr>
          <w:rFonts w:ascii="Arial" w:hAnsi="Arial" w:cs="Arial"/>
          <w:sz w:val="20"/>
          <w:szCs w:val="20"/>
        </w:rPr>
        <w:t xml:space="preserve"> path was out of service divided by twenty</w:t>
      </w:r>
      <w:r w:rsidR="00635A27">
        <w:rPr>
          <w:rFonts w:ascii="Arial" w:hAnsi="Arial" w:cs="Arial"/>
          <w:sz w:val="20"/>
          <w:szCs w:val="20"/>
        </w:rPr>
        <w:t>-</w:t>
      </w:r>
      <w:r w:rsidR="00A851C3" w:rsidRPr="00127ABE">
        <w:rPr>
          <w:rFonts w:ascii="Arial" w:hAnsi="Arial" w:cs="Arial"/>
          <w:sz w:val="20"/>
          <w:szCs w:val="20"/>
        </w:rPr>
        <w:t>four</w:t>
      </w:r>
      <w:r w:rsidR="00635A27">
        <w:rPr>
          <w:rFonts w:ascii="Arial" w:hAnsi="Arial" w:cs="Arial"/>
          <w:sz w:val="20"/>
          <w:szCs w:val="20"/>
        </w:rPr>
        <w:t xml:space="preserve"> (24)</w:t>
      </w:r>
      <w:r w:rsidR="00A851C3" w:rsidRPr="00127ABE">
        <w:rPr>
          <w:rFonts w:ascii="Arial" w:hAnsi="Arial" w:cs="Arial"/>
          <w:sz w:val="20"/>
          <w:szCs w:val="20"/>
        </w:rPr>
        <w:t xml:space="preserve">, times the number of days in a month </w:t>
      </w:r>
      <w:proofErr w:type="gramStart"/>
      <w:r w:rsidR="00A851C3" w:rsidRPr="00127ABE">
        <w:rPr>
          <w:rFonts w:ascii="Arial" w:hAnsi="Arial" w:cs="Arial"/>
          <w:sz w:val="20"/>
          <w:szCs w:val="20"/>
        </w:rPr>
        <w:t>times</w:t>
      </w:r>
      <w:proofErr w:type="gramEnd"/>
      <w:r w:rsidR="00A851C3" w:rsidRPr="00127ABE">
        <w:rPr>
          <w:rFonts w:ascii="Arial" w:hAnsi="Arial" w:cs="Arial"/>
          <w:sz w:val="20"/>
          <w:szCs w:val="20"/>
        </w:rPr>
        <w:t xml:space="preserve"> one</w:t>
      </w:r>
      <w:r w:rsidR="00635A27">
        <w:rPr>
          <w:rFonts w:ascii="Arial" w:hAnsi="Arial" w:cs="Arial"/>
          <w:sz w:val="20"/>
          <w:szCs w:val="20"/>
        </w:rPr>
        <w:t xml:space="preserve"> (1)</w:t>
      </w:r>
      <w:r w:rsidR="00A851C3" w:rsidRPr="00127ABE">
        <w:rPr>
          <w:rFonts w:ascii="Arial" w:hAnsi="Arial" w:cs="Arial"/>
          <w:sz w:val="20"/>
          <w:szCs w:val="20"/>
        </w:rPr>
        <w:t>.</w:t>
      </w:r>
    </w:p>
    <w:p w14:paraId="3AE969E4" w14:textId="77A2FB3D" w:rsidR="003216B7" w:rsidRPr="00127ABE" w:rsidRDefault="00635A27" w:rsidP="00DC43AE">
      <w:pPr>
        <w:numPr>
          <w:ilvl w:val="1"/>
          <w:numId w:val="18"/>
        </w:numPr>
        <w:spacing w:after="120"/>
        <w:rPr>
          <w:rFonts w:ascii="Arial" w:hAnsi="Arial" w:cs="Arial"/>
          <w:sz w:val="20"/>
          <w:szCs w:val="20"/>
        </w:rPr>
      </w:pPr>
      <w:r>
        <w:rPr>
          <w:rFonts w:ascii="Arial" w:hAnsi="Arial" w:cs="Arial"/>
          <w:sz w:val="20"/>
          <w:szCs w:val="20"/>
        </w:rPr>
        <w:t xml:space="preserve">BER </w:t>
      </w:r>
      <w:r w:rsidR="003216B7" w:rsidRPr="00127ABE">
        <w:rPr>
          <w:rFonts w:ascii="Arial" w:hAnsi="Arial" w:cs="Arial"/>
          <w:sz w:val="20"/>
          <w:szCs w:val="20"/>
        </w:rPr>
        <w:t>of one in one trillion is demonstrated and cared for at the time of installation or after a service interruption and made available to the customer from their assigned project manager, through a birth certificate.</w:t>
      </w:r>
    </w:p>
    <w:p w14:paraId="3AE969E5" w14:textId="77777777" w:rsidR="003216B7" w:rsidRPr="00127ABE" w:rsidRDefault="003216B7" w:rsidP="00DC43AE">
      <w:pPr>
        <w:numPr>
          <w:ilvl w:val="1"/>
          <w:numId w:val="18"/>
        </w:numPr>
        <w:spacing w:after="120"/>
        <w:rPr>
          <w:rFonts w:ascii="Arial" w:hAnsi="Arial" w:cs="Arial"/>
          <w:sz w:val="20"/>
          <w:szCs w:val="20"/>
        </w:rPr>
      </w:pPr>
      <w:r w:rsidRPr="00127ABE">
        <w:rPr>
          <w:rFonts w:ascii="Arial" w:hAnsi="Arial" w:cs="Arial"/>
          <w:sz w:val="20"/>
          <w:szCs w:val="20"/>
        </w:rPr>
        <w:t>Restoration is demonstrated and cared for at the time of installation or after a service interruption and made available to the customer from their assigned project manager, through a birth certificate.</w:t>
      </w:r>
    </w:p>
    <w:p w14:paraId="3AE969E6" w14:textId="77777777" w:rsidR="00A851C3" w:rsidRPr="00127ABE" w:rsidRDefault="00A851C3" w:rsidP="00DC43AE">
      <w:pPr>
        <w:numPr>
          <w:ilvl w:val="0"/>
          <w:numId w:val="18"/>
        </w:numPr>
        <w:spacing w:after="120"/>
        <w:rPr>
          <w:rFonts w:ascii="Arial" w:hAnsi="Arial" w:cs="Arial"/>
          <w:sz w:val="20"/>
          <w:szCs w:val="20"/>
        </w:rPr>
      </w:pPr>
      <w:r w:rsidRPr="00127ABE">
        <w:rPr>
          <w:rFonts w:ascii="Arial" w:hAnsi="Arial" w:cs="Arial"/>
          <w:sz w:val="20"/>
          <w:szCs w:val="20"/>
        </w:rPr>
        <w:t>Exclusions</w:t>
      </w:r>
    </w:p>
    <w:p w14:paraId="3AE969E7" w14:textId="77777777" w:rsidR="00A851C3" w:rsidRPr="00127ABE" w:rsidRDefault="00A851C3" w:rsidP="00DC43AE">
      <w:pPr>
        <w:numPr>
          <w:ilvl w:val="1"/>
          <w:numId w:val="18"/>
        </w:numPr>
        <w:spacing w:after="120"/>
        <w:rPr>
          <w:rFonts w:ascii="Arial" w:hAnsi="Arial" w:cs="Arial"/>
          <w:sz w:val="20"/>
          <w:szCs w:val="20"/>
        </w:rPr>
      </w:pPr>
      <w:r w:rsidRPr="00127ABE">
        <w:rPr>
          <w:rFonts w:ascii="Arial" w:hAnsi="Arial" w:cs="Arial"/>
          <w:sz w:val="20"/>
          <w:szCs w:val="20"/>
        </w:rPr>
        <w:t xml:space="preserve">A service interruption will not be considered valid if the </w:t>
      </w:r>
      <w:r w:rsidR="003216B7" w:rsidRPr="00127ABE">
        <w:rPr>
          <w:rFonts w:ascii="Arial" w:hAnsi="Arial" w:cs="Arial"/>
          <w:sz w:val="20"/>
          <w:szCs w:val="20"/>
        </w:rPr>
        <w:t>point-to-point circuit path</w:t>
      </w:r>
      <w:r w:rsidRPr="00127ABE">
        <w:rPr>
          <w:rFonts w:ascii="Arial" w:hAnsi="Arial" w:cs="Arial"/>
          <w:sz w:val="20"/>
          <w:szCs w:val="20"/>
        </w:rPr>
        <w:t>, in question, is incapacitated or unavailable due to any of the following:</w:t>
      </w:r>
    </w:p>
    <w:p w14:paraId="3AE969E8" w14:textId="30249670"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t xml:space="preserve">A complete </w:t>
      </w:r>
      <w:r w:rsidR="003216B7" w:rsidRPr="00127ABE">
        <w:rPr>
          <w:rFonts w:ascii="Arial" w:hAnsi="Arial" w:cs="Arial"/>
          <w:sz w:val="20"/>
          <w:szCs w:val="20"/>
        </w:rPr>
        <w:t>optical transport path</w:t>
      </w:r>
      <w:r w:rsidRPr="00127ABE">
        <w:rPr>
          <w:rFonts w:ascii="Arial" w:hAnsi="Arial" w:cs="Arial"/>
          <w:sz w:val="20"/>
          <w:szCs w:val="20"/>
        </w:rPr>
        <w:t xml:space="preserve"> that has not been fully tested and or accepted, following the provisioning of a new installation order, or the change to an existing </w:t>
      </w:r>
      <w:r w:rsidR="003216B7" w:rsidRPr="00127ABE">
        <w:rPr>
          <w:rFonts w:ascii="Arial" w:hAnsi="Arial" w:cs="Arial"/>
          <w:sz w:val="20"/>
          <w:szCs w:val="20"/>
        </w:rPr>
        <w:t>optical transport path</w:t>
      </w:r>
      <w:r w:rsidRPr="00127ABE">
        <w:rPr>
          <w:rFonts w:ascii="Arial" w:hAnsi="Arial" w:cs="Arial"/>
          <w:sz w:val="20"/>
          <w:szCs w:val="20"/>
        </w:rPr>
        <w:t xml:space="preserve">, or newly installed </w:t>
      </w:r>
      <w:r w:rsidR="003216B7" w:rsidRPr="00127ABE">
        <w:rPr>
          <w:rFonts w:ascii="Arial" w:hAnsi="Arial" w:cs="Arial"/>
          <w:sz w:val="20"/>
          <w:szCs w:val="20"/>
        </w:rPr>
        <w:t>optical transport path</w:t>
      </w:r>
      <w:r w:rsidRPr="00127ABE">
        <w:rPr>
          <w:rFonts w:ascii="Arial" w:hAnsi="Arial" w:cs="Arial"/>
          <w:sz w:val="20"/>
          <w:szCs w:val="20"/>
        </w:rPr>
        <w:t>; or</w:t>
      </w:r>
    </w:p>
    <w:p w14:paraId="3AE969E9" w14:textId="7EC28B7B"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t>Provisioning based on incorrect, inaccurate and or incomplete information, with respect to network specifications received on an ASR/S</w:t>
      </w:r>
      <w:r w:rsidR="00E8682F">
        <w:rPr>
          <w:rFonts w:ascii="Arial" w:hAnsi="Arial" w:cs="Arial"/>
          <w:sz w:val="20"/>
          <w:szCs w:val="20"/>
        </w:rPr>
        <w:t>O</w:t>
      </w:r>
      <w:r w:rsidRPr="00127ABE">
        <w:rPr>
          <w:rFonts w:ascii="Arial" w:hAnsi="Arial" w:cs="Arial"/>
          <w:sz w:val="20"/>
          <w:szCs w:val="20"/>
        </w:rPr>
        <w:t xml:space="preserve"> by Customer, for the delivery of </w:t>
      </w:r>
      <w:r w:rsidR="00DC7268" w:rsidRPr="00127ABE">
        <w:rPr>
          <w:rFonts w:ascii="Arial" w:hAnsi="Arial" w:cs="Arial"/>
          <w:sz w:val="20"/>
          <w:szCs w:val="20"/>
        </w:rPr>
        <w:t>an optical transport path</w:t>
      </w:r>
      <w:r w:rsidRPr="00127ABE">
        <w:rPr>
          <w:rFonts w:ascii="Arial" w:hAnsi="Arial" w:cs="Arial"/>
          <w:sz w:val="20"/>
          <w:szCs w:val="20"/>
        </w:rPr>
        <w:t>; or</w:t>
      </w:r>
    </w:p>
    <w:p w14:paraId="3AE969EA" w14:textId="4D4C92D0"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t>Any period where Frontier has notified Customer of scheduled maintenance, or the need for an emergency rearrangement; or</w:t>
      </w:r>
    </w:p>
    <w:p w14:paraId="3AE969EB" w14:textId="0DA906DD"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t xml:space="preserve">A Force Majeure event as defined in the </w:t>
      </w:r>
      <w:r w:rsidR="00342F23">
        <w:rPr>
          <w:rFonts w:ascii="Arial" w:hAnsi="Arial" w:cs="Arial"/>
          <w:sz w:val="20"/>
          <w:szCs w:val="20"/>
        </w:rPr>
        <w:t>FSA</w:t>
      </w:r>
      <w:r w:rsidRPr="00127ABE">
        <w:rPr>
          <w:rFonts w:ascii="Arial" w:hAnsi="Arial" w:cs="Arial"/>
          <w:sz w:val="20"/>
          <w:szCs w:val="20"/>
        </w:rPr>
        <w:t>; or</w:t>
      </w:r>
    </w:p>
    <w:p w14:paraId="3AE969EC" w14:textId="0847853F" w:rsidR="00A851C3" w:rsidRPr="00127ABE" w:rsidRDefault="00A851C3" w:rsidP="00DC43AE">
      <w:pPr>
        <w:numPr>
          <w:ilvl w:val="2"/>
          <w:numId w:val="18"/>
        </w:numPr>
        <w:spacing w:after="120"/>
        <w:rPr>
          <w:rFonts w:ascii="Arial" w:hAnsi="Arial" w:cs="Arial"/>
          <w:sz w:val="20"/>
          <w:szCs w:val="20"/>
        </w:rPr>
      </w:pPr>
      <w:proofErr w:type="gramStart"/>
      <w:r w:rsidRPr="00127ABE">
        <w:rPr>
          <w:rFonts w:ascii="Arial" w:hAnsi="Arial" w:cs="Arial"/>
          <w:sz w:val="20"/>
          <w:szCs w:val="20"/>
        </w:rPr>
        <w:t>Any and all</w:t>
      </w:r>
      <w:proofErr w:type="gramEnd"/>
      <w:r w:rsidRPr="00127ABE">
        <w:rPr>
          <w:rFonts w:ascii="Arial" w:hAnsi="Arial" w:cs="Arial"/>
          <w:sz w:val="20"/>
          <w:szCs w:val="20"/>
        </w:rPr>
        <w:t xml:space="preserve"> service troubles not reported in a manner consistent with the guidelines and procedures as outlined in </w:t>
      </w:r>
      <w:r w:rsidR="00F9598F">
        <w:rPr>
          <w:rFonts w:ascii="Arial" w:hAnsi="Arial" w:cs="Arial"/>
          <w:sz w:val="20"/>
          <w:szCs w:val="20"/>
        </w:rPr>
        <w:t xml:space="preserve">Section </w:t>
      </w:r>
      <w:r w:rsidR="00DC7268" w:rsidRPr="00127ABE">
        <w:rPr>
          <w:rFonts w:ascii="Arial" w:hAnsi="Arial" w:cs="Arial"/>
          <w:sz w:val="20"/>
          <w:szCs w:val="20"/>
        </w:rPr>
        <w:t>7.1 of the Frontier Optical Transport</w:t>
      </w:r>
      <w:r w:rsidRPr="00127ABE">
        <w:rPr>
          <w:rFonts w:ascii="Arial" w:hAnsi="Arial" w:cs="Arial"/>
          <w:sz w:val="20"/>
          <w:szCs w:val="20"/>
        </w:rPr>
        <w:t xml:space="preserve"> Service Schedule; or</w:t>
      </w:r>
    </w:p>
    <w:p w14:paraId="3AE969ED" w14:textId="428D5922"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t xml:space="preserve">Any service interruption found to be the direct result of withholding or omissions in relation to the use of this </w:t>
      </w:r>
      <w:r w:rsidR="00CF0C17">
        <w:rPr>
          <w:rFonts w:ascii="Arial" w:hAnsi="Arial" w:cs="Arial"/>
          <w:sz w:val="20"/>
          <w:szCs w:val="20"/>
        </w:rPr>
        <w:t>S</w:t>
      </w:r>
      <w:r w:rsidRPr="00127ABE">
        <w:rPr>
          <w:rFonts w:ascii="Arial" w:hAnsi="Arial" w:cs="Arial"/>
          <w:sz w:val="20"/>
          <w:szCs w:val="20"/>
        </w:rPr>
        <w:t>ervice by Customer or authorized parties on behalf of Customer; or</w:t>
      </w:r>
    </w:p>
    <w:p w14:paraId="3AE969EE" w14:textId="3C6C497F"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t>Frontier</w:t>
      </w:r>
      <w:r w:rsidR="00342F23">
        <w:rPr>
          <w:rFonts w:ascii="Arial" w:hAnsi="Arial" w:cs="Arial"/>
          <w:sz w:val="20"/>
          <w:szCs w:val="20"/>
        </w:rPr>
        <w:t xml:space="preserve"> </w:t>
      </w:r>
      <w:r w:rsidRPr="00127ABE">
        <w:rPr>
          <w:rFonts w:ascii="Arial" w:hAnsi="Arial" w:cs="Arial"/>
          <w:sz w:val="20"/>
          <w:szCs w:val="20"/>
        </w:rPr>
        <w:t>was not afforded access to the necessary premises where all physical elements associated with a</w:t>
      </w:r>
      <w:r w:rsidR="00DC7268" w:rsidRPr="00127ABE">
        <w:rPr>
          <w:rFonts w:ascii="Arial" w:hAnsi="Arial" w:cs="Arial"/>
          <w:sz w:val="20"/>
          <w:szCs w:val="20"/>
        </w:rPr>
        <w:t>n optical transport path</w:t>
      </w:r>
      <w:r w:rsidRPr="00127ABE">
        <w:rPr>
          <w:rFonts w:ascii="Arial" w:hAnsi="Arial" w:cs="Arial"/>
          <w:sz w:val="20"/>
          <w:szCs w:val="20"/>
        </w:rPr>
        <w:t xml:space="preserve"> termination or agreed upon d-marc.</w:t>
      </w:r>
    </w:p>
    <w:p w14:paraId="3AE969EF" w14:textId="77777777" w:rsidR="00A851C3" w:rsidRPr="00127ABE" w:rsidRDefault="00A851C3" w:rsidP="00DC43AE">
      <w:pPr>
        <w:numPr>
          <w:ilvl w:val="0"/>
          <w:numId w:val="18"/>
        </w:numPr>
        <w:spacing w:after="120"/>
        <w:rPr>
          <w:rFonts w:ascii="Arial" w:hAnsi="Arial" w:cs="Arial"/>
          <w:sz w:val="20"/>
          <w:szCs w:val="20"/>
        </w:rPr>
      </w:pPr>
      <w:r w:rsidRPr="00127ABE">
        <w:rPr>
          <w:rFonts w:ascii="Arial" w:hAnsi="Arial" w:cs="Arial"/>
          <w:sz w:val="20"/>
          <w:szCs w:val="20"/>
        </w:rPr>
        <w:t>Declaration of Missed Performance Credits</w:t>
      </w:r>
    </w:p>
    <w:p w14:paraId="3AE969F0" w14:textId="214C6AB9" w:rsidR="00A851C3" w:rsidRPr="00127ABE" w:rsidRDefault="00A851C3" w:rsidP="00DC43AE">
      <w:pPr>
        <w:numPr>
          <w:ilvl w:val="1"/>
          <w:numId w:val="18"/>
        </w:numPr>
        <w:spacing w:after="120"/>
        <w:rPr>
          <w:rFonts w:ascii="Arial" w:hAnsi="Arial" w:cs="Arial"/>
          <w:sz w:val="20"/>
          <w:szCs w:val="20"/>
        </w:rPr>
      </w:pPr>
      <w:r w:rsidRPr="00127ABE">
        <w:rPr>
          <w:rFonts w:ascii="Arial" w:hAnsi="Arial" w:cs="Arial"/>
          <w:sz w:val="20"/>
          <w:szCs w:val="20"/>
        </w:rPr>
        <w:t xml:space="preserve">In order to receive a credit associated with this </w:t>
      </w:r>
      <w:r w:rsidR="00342F23">
        <w:rPr>
          <w:rFonts w:ascii="Arial" w:hAnsi="Arial" w:cs="Arial"/>
          <w:sz w:val="20"/>
          <w:szCs w:val="20"/>
        </w:rPr>
        <w:t>SLA</w:t>
      </w:r>
      <w:r w:rsidRPr="00127ABE">
        <w:rPr>
          <w:rFonts w:ascii="Arial" w:hAnsi="Arial" w:cs="Arial"/>
          <w:sz w:val="20"/>
          <w:szCs w:val="20"/>
        </w:rPr>
        <w:t>, Customer must do the following</w:t>
      </w:r>
      <w:r w:rsidR="004B1FBF">
        <w:rPr>
          <w:rFonts w:ascii="Arial" w:hAnsi="Arial" w:cs="Arial"/>
          <w:sz w:val="20"/>
          <w:szCs w:val="20"/>
        </w:rPr>
        <w:t>:</w:t>
      </w:r>
    </w:p>
    <w:p w14:paraId="3AE969F1" w14:textId="7CC1FDFA" w:rsidR="00A851C3" w:rsidRPr="00127ABE" w:rsidRDefault="00A851C3" w:rsidP="00DC43AE">
      <w:pPr>
        <w:numPr>
          <w:ilvl w:val="2"/>
          <w:numId w:val="18"/>
        </w:numPr>
        <w:spacing w:after="120"/>
        <w:rPr>
          <w:rFonts w:ascii="Arial" w:hAnsi="Arial" w:cs="Arial"/>
          <w:sz w:val="20"/>
          <w:szCs w:val="20"/>
        </w:rPr>
      </w:pPr>
      <w:r w:rsidRPr="00127ABE">
        <w:rPr>
          <w:rFonts w:ascii="Arial" w:hAnsi="Arial" w:cs="Arial"/>
          <w:sz w:val="20"/>
          <w:szCs w:val="20"/>
        </w:rPr>
        <w:lastRenderedPageBreak/>
        <w:t>Report the interruption and or degradation in service via a trouble ticket within forty</w:t>
      </w:r>
      <w:r w:rsidR="00342F23">
        <w:rPr>
          <w:rFonts w:ascii="Arial" w:hAnsi="Arial" w:cs="Arial"/>
          <w:sz w:val="20"/>
          <w:szCs w:val="20"/>
        </w:rPr>
        <w:t>-</w:t>
      </w:r>
      <w:r w:rsidRPr="00127ABE">
        <w:rPr>
          <w:rFonts w:ascii="Arial" w:hAnsi="Arial" w:cs="Arial"/>
          <w:sz w:val="20"/>
          <w:szCs w:val="20"/>
        </w:rPr>
        <w:t xml:space="preserve">eight </w:t>
      </w:r>
      <w:r w:rsidR="00635A27">
        <w:rPr>
          <w:rFonts w:ascii="Arial" w:hAnsi="Arial" w:cs="Arial"/>
          <w:sz w:val="20"/>
          <w:szCs w:val="20"/>
        </w:rPr>
        <w:t xml:space="preserve">(48) </w:t>
      </w:r>
      <w:r w:rsidRPr="00127ABE">
        <w:rPr>
          <w:rFonts w:ascii="Arial" w:hAnsi="Arial" w:cs="Arial"/>
          <w:sz w:val="20"/>
          <w:szCs w:val="20"/>
        </w:rPr>
        <w:t>hours of the event.</w:t>
      </w:r>
    </w:p>
    <w:p w14:paraId="3AE969F2" w14:textId="6B0E41F0" w:rsidR="00A851C3" w:rsidRPr="002C41D9" w:rsidRDefault="00A851C3" w:rsidP="002C41D9">
      <w:pPr>
        <w:numPr>
          <w:ilvl w:val="2"/>
          <w:numId w:val="18"/>
        </w:numPr>
        <w:spacing w:after="120"/>
        <w:rPr>
          <w:rFonts w:ascii="Arial" w:hAnsi="Arial" w:cs="Arial"/>
          <w:color w:val="000000" w:themeColor="text1"/>
          <w:sz w:val="20"/>
          <w:szCs w:val="20"/>
        </w:rPr>
      </w:pPr>
      <w:r w:rsidRPr="00127ABE">
        <w:rPr>
          <w:rFonts w:ascii="Arial" w:hAnsi="Arial" w:cs="Arial"/>
          <w:sz w:val="20"/>
          <w:szCs w:val="20"/>
        </w:rPr>
        <w:t xml:space="preserve">Submit a written request </w:t>
      </w:r>
      <w:r w:rsidRPr="002C41D9">
        <w:rPr>
          <w:rFonts w:ascii="Arial" w:hAnsi="Arial" w:cs="Arial"/>
          <w:sz w:val="20"/>
          <w:szCs w:val="20"/>
        </w:rPr>
        <w:t>via the following site</w:t>
      </w:r>
      <w:r w:rsidR="002C41D9" w:rsidRPr="002C41D9">
        <w:rPr>
          <w:rFonts w:ascii="Arial" w:hAnsi="Arial" w:cs="Arial"/>
          <w:sz w:val="20"/>
          <w:szCs w:val="20"/>
        </w:rPr>
        <w:t xml:space="preserve">: </w:t>
      </w:r>
      <w:r w:rsidRPr="002C41D9">
        <w:rPr>
          <w:rFonts w:ascii="Arial" w:hAnsi="Arial" w:cs="Arial"/>
          <w:sz w:val="20"/>
          <w:szCs w:val="20"/>
        </w:rPr>
        <w:t xml:space="preserve"> </w:t>
      </w:r>
      <w:hyperlink r:id="rId21" w:history="1">
        <w:r w:rsidR="002C41D9" w:rsidRPr="009D2178">
          <w:rPr>
            <w:rStyle w:val="Hyperlink"/>
            <w:rFonts w:ascii="Arial" w:hAnsi="Arial" w:cs="Arial"/>
            <w:sz w:val="20"/>
            <w:szCs w:val="20"/>
          </w:rPr>
          <w:t>https://wholesale.frontier.com/wholesale/billing</w:t>
        </w:r>
      </w:hyperlink>
      <w:r w:rsidRPr="002C41D9">
        <w:rPr>
          <w:rFonts w:ascii="Arial" w:hAnsi="Arial" w:cs="Arial"/>
          <w:sz w:val="20"/>
          <w:szCs w:val="20"/>
        </w:rPr>
        <w:t xml:space="preserve"> </w:t>
      </w:r>
      <w:r w:rsidRPr="002C41D9">
        <w:rPr>
          <w:rFonts w:ascii="Arial" w:hAnsi="Arial" w:cs="Arial"/>
          <w:color w:val="000000" w:themeColor="text1"/>
          <w:sz w:val="20"/>
          <w:szCs w:val="20"/>
        </w:rPr>
        <w:t xml:space="preserve">and allow </w:t>
      </w:r>
      <w:r w:rsidR="00635A27">
        <w:rPr>
          <w:rFonts w:ascii="Arial" w:hAnsi="Arial" w:cs="Arial"/>
          <w:color w:val="000000" w:themeColor="text1"/>
          <w:sz w:val="20"/>
          <w:szCs w:val="20"/>
        </w:rPr>
        <w:t>thirty (</w:t>
      </w:r>
      <w:r w:rsidRPr="002C41D9">
        <w:rPr>
          <w:rFonts w:ascii="Arial" w:hAnsi="Arial" w:cs="Arial"/>
          <w:color w:val="000000" w:themeColor="text1"/>
          <w:sz w:val="20"/>
          <w:szCs w:val="20"/>
        </w:rPr>
        <w:t>30</w:t>
      </w:r>
      <w:r w:rsidR="00635A27">
        <w:rPr>
          <w:rFonts w:ascii="Arial" w:hAnsi="Arial" w:cs="Arial"/>
          <w:color w:val="000000" w:themeColor="text1"/>
          <w:sz w:val="20"/>
          <w:szCs w:val="20"/>
        </w:rPr>
        <w:t>)</w:t>
      </w:r>
      <w:r w:rsidRPr="002C41D9">
        <w:rPr>
          <w:rFonts w:ascii="Arial" w:hAnsi="Arial" w:cs="Arial"/>
          <w:color w:val="000000" w:themeColor="text1"/>
          <w:sz w:val="20"/>
          <w:szCs w:val="20"/>
        </w:rPr>
        <w:t xml:space="preserve"> business days for review and initial comment.</w:t>
      </w:r>
    </w:p>
    <w:p w14:paraId="3AE969F3" w14:textId="6A14389E" w:rsidR="00A851C3" w:rsidRPr="00127ABE" w:rsidRDefault="00A851C3" w:rsidP="00DC43AE">
      <w:pPr>
        <w:numPr>
          <w:ilvl w:val="2"/>
          <w:numId w:val="18"/>
        </w:numPr>
        <w:spacing w:after="120"/>
        <w:rPr>
          <w:rFonts w:ascii="Arial" w:hAnsi="Arial" w:cs="Arial"/>
          <w:sz w:val="20"/>
          <w:szCs w:val="20"/>
        </w:rPr>
      </w:pPr>
      <w:r w:rsidRPr="002C41D9">
        <w:rPr>
          <w:rFonts w:ascii="Arial" w:hAnsi="Arial" w:cs="Arial"/>
          <w:sz w:val="20"/>
          <w:szCs w:val="20"/>
        </w:rPr>
        <w:t xml:space="preserve">Frontier will issue credits </w:t>
      </w:r>
      <w:r w:rsidR="008F4AF5" w:rsidRPr="002C41D9">
        <w:rPr>
          <w:rFonts w:ascii="Arial" w:hAnsi="Arial" w:cs="Arial"/>
          <w:sz w:val="20"/>
          <w:szCs w:val="20"/>
        </w:rPr>
        <w:t>to the Cust</w:t>
      </w:r>
      <w:r w:rsidR="008F4AF5" w:rsidRPr="00127ABE">
        <w:rPr>
          <w:rFonts w:ascii="Arial" w:hAnsi="Arial" w:cs="Arial"/>
          <w:sz w:val="20"/>
          <w:szCs w:val="20"/>
        </w:rPr>
        <w:t xml:space="preserve">omer </w:t>
      </w:r>
      <w:r w:rsidRPr="00127ABE">
        <w:rPr>
          <w:rFonts w:ascii="Arial" w:hAnsi="Arial" w:cs="Arial"/>
          <w:sz w:val="20"/>
          <w:szCs w:val="20"/>
        </w:rPr>
        <w:t>(as</w:t>
      </w:r>
      <w:r w:rsidR="00DC7268" w:rsidRPr="00127ABE">
        <w:rPr>
          <w:rFonts w:ascii="Arial" w:hAnsi="Arial" w:cs="Arial"/>
          <w:sz w:val="20"/>
          <w:szCs w:val="20"/>
        </w:rPr>
        <w:t xml:space="preserve"> a percentage of the MRC), </w:t>
      </w:r>
      <w:r w:rsidR="008F4AF5" w:rsidRPr="00127ABE">
        <w:rPr>
          <w:rFonts w:ascii="Arial" w:hAnsi="Arial" w:cs="Arial"/>
          <w:sz w:val="20"/>
          <w:szCs w:val="20"/>
        </w:rPr>
        <w:t>for</w:t>
      </w:r>
      <w:r w:rsidR="00DC7268" w:rsidRPr="00127ABE">
        <w:rPr>
          <w:rFonts w:ascii="Arial" w:hAnsi="Arial" w:cs="Arial"/>
          <w:sz w:val="20"/>
          <w:szCs w:val="20"/>
        </w:rPr>
        <w:t xml:space="preserve"> an optical transport </w:t>
      </w:r>
      <w:r w:rsidR="008F4AF5" w:rsidRPr="00127ABE">
        <w:rPr>
          <w:rFonts w:ascii="Arial" w:hAnsi="Arial" w:cs="Arial"/>
          <w:sz w:val="20"/>
          <w:szCs w:val="20"/>
        </w:rPr>
        <w:t xml:space="preserve">circuit </w:t>
      </w:r>
      <w:proofErr w:type="gramStart"/>
      <w:r w:rsidR="008F4AF5" w:rsidRPr="00127ABE">
        <w:rPr>
          <w:rFonts w:ascii="Arial" w:hAnsi="Arial" w:cs="Arial"/>
          <w:sz w:val="20"/>
          <w:szCs w:val="20"/>
        </w:rPr>
        <w:t>path</w:t>
      </w:r>
      <w:r w:rsidRPr="00127ABE">
        <w:rPr>
          <w:rFonts w:ascii="Arial" w:hAnsi="Arial" w:cs="Arial"/>
          <w:sz w:val="20"/>
          <w:szCs w:val="20"/>
        </w:rPr>
        <w:t xml:space="preserve">  </w:t>
      </w:r>
      <w:r w:rsidR="008F4AF5" w:rsidRPr="00127ABE">
        <w:rPr>
          <w:rFonts w:ascii="Arial" w:hAnsi="Arial" w:cs="Arial"/>
          <w:sz w:val="20"/>
          <w:szCs w:val="20"/>
        </w:rPr>
        <w:t>where</w:t>
      </w:r>
      <w:proofErr w:type="gramEnd"/>
      <w:r w:rsidRPr="00127ABE">
        <w:rPr>
          <w:rFonts w:ascii="Arial" w:hAnsi="Arial" w:cs="Arial"/>
          <w:sz w:val="20"/>
          <w:szCs w:val="20"/>
        </w:rPr>
        <w:t xml:space="preserve"> </w:t>
      </w:r>
      <w:r w:rsidR="00DC7268" w:rsidRPr="00127ABE">
        <w:rPr>
          <w:rFonts w:ascii="Arial" w:hAnsi="Arial" w:cs="Arial"/>
          <w:sz w:val="20"/>
          <w:szCs w:val="20"/>
        </w:rPr>
        <w:t>Frontier Optical Transport Service</w:t>
      </w:r>
      <w:r w:rsidR="008F4AF5" w:rsidRPr="00127ABE">
        <w:rPr>
          <w:rFonts w:ascii="Arial" w:hAnsi="Arial" w:cs="Arial"/>
          <w:sz w:val="20"/>
          <w:szCs w:val="20"/>
        </w:rPr>
        <w:t xml:space="preserve"> SLAs are not met, as follows:</w:t>
      </w:r>
    </w:p>
    <w:p w14:paraId="3AE969F4" w14:textId="1BABA408" w:rsidR="00A851C3" w:rsidRPr="00127ABE" w:rsidRDefault="00BE39BF" w:rsidP="00DC43AE">
      <w:pPr>
        <w:numPr>
          <w:ilvl w:val="3"/>
          <w:numId w:val="18"/>
        </w:numPr>
        <w:spacing w:after="120"/>
        <w:rPr>
          <w:rFonts w:ascii="Arial" w:hAnsi="Arial" w:cs="Arial"/>
          <w:sz w:val="20"/>
          <w:szCs w:val="20"/>
        </w:rPr>
      </w:pPr>
      <w:r w:rsidRPr="002C41D9">
        <w:rPr>
          <w:rFonts w:ascii="Arial" w:hAnsi="Arial" w:cs="Arial"/>
          <w:sz w:val="20"/>
          <w:szCs w:val="20"/>
        </w:rPr>
        <w:t xml:space="preserve">Operational Attributes and </w:t>
      </w:r>
      <w:r w:rsidR="00A851C3" w:rsidRPr="002C41D9">
        <w:rPr>
          <w:rFonts w:ascii="Arial" w:hAnsi="Arial" w:cs="Arial"/>
          <w:sz w:val="20"/>
          <w:szCs w:val="20"/>
        </w:rPr>
        <w:t>Performance Attributes</w:t>
      </w:r>
      <w:r w:rsidR="00A851C3" w:rsidRPr="00127ABE">
        <w:rPr>
          <w:rFonts w:ascii="Arial" w:hAnsi="Arial" w:cs="Arial"/>
          <w:sz w:val="20"/>
          <w:szCs w:val="20"/>
        </w:rPr>
        <w:t xml:space="preserve"> associated with </w:t>
      </w:r>
      <w:r w:rsidR="00635A27">
        <w:rPr>
          <w:rFonts w:ascii="Arial" w:hAnsi="Arial" w:cs="Arial"/>
          <w:sz w:val="20"/>
          <w:szCs w:val="20"/>
        </w:rPr>
        <w:t>MTTR</w:t>
      </w:r>
      <w:r w:rsidRPr="00127ABE">
        <w:rPr>
          <w:rFonts w:ascii="Arial" w:hAnsi="Arial" w:cs="Arial"/>
          <w:sz w:val="20"/>
          <w:szCs w:val="20"/>
        </w:rPr>
        <w:t xml:space="preserve">, </w:t>
      </w:r>
      <w:r w:rsidR="00635A27">
        <w:rPr>
          <w:rFonts w:ascii="Arial" w:hAnsi="Arial" w:cs="Arial"/>
          <w:sz w:val="20"/>
          <w:szCs w:val="20"/>
        </w:rPr>
        <w:t>CA</w:t>
      </w:r>
      <w:r w:rsidRPr="00127ABE">
        <w:rPr>
          <w:rFonts w:ascii="Arial" w:hAnsi="Arial" w:cs="Arial"/>
          <w:sz w:val="20"/>
          <w:szCs w:val="20"/>
        </w:rPr>
        <w:t xml:space="preserve">, </w:t>
      </w:r>
      <w:r w:rsidR="00635A27">
        <w:rPr>
          <w:rFonts w:ascii="Arial" w:hAnsi="Arial" w:cs="Arial"/>
          <w:sz w:val="20"/>
          <w:szCs w:val="20"/>
        </w:rPr>
        <w:t>BER</w:t>
      </w:r>
      <w:r w:rsidRPr="00127ABE">
        <w:rPr>
          <w:rFonts w:ascii="Arial" w:hAnsi="Arial" w:cs="Arial"/>
          <w:sz w:val="20"/>
          <w:szCs w:val="20"/>
        </w:rPr>
        <w:t xml:space="preserve"> and Restoration </w:t>
      </w:r>
      <w:r w:rsidR="00A851C3" w:rsidRPr="00127ABE">
        <w:rPr>
          <w:rFonts w:ascii="Arial" w:hAnsi="Arial" w:cs="Arial"/>
          <w:sz w:val="20"/>
          <w:szCs w:val="20"/>
        </w:rPr>
        <w:t>characteristi</w:t>
      </w:r>
      <w:r w:rsidR="00DC7268" w:rsidRPr="00127ABE">
        <w:rPr>
          <w:rFonts w:ascii="Arial" w:hAnsi="Arial" w:cs="Arial"/>
          <w:sz w:val="20"/>
          <w:szCs w:val="20"/>
        </w:rPr>
        <w:t>cs as referenced in Table 2.1</w:t>
      </w:r>
      <w:r w:rsidR="004B1FBF">
        <w:rPr>
          <w:rFonts w:ascii="Arial" w:hAnsi="Arial" w:cs="Arial"/>
          <w:sz w:val="20"/>
          <w:szCs w:val="20"/>
        </w:rPr>
        <w:t>.</w:t>
      </w:r>
    </w:p>
    <w:p w14:paraId="3AE969F5" w14:textId="77777777" w:rsidR="00A851C3" w:rsidRPr="00127ABE" w:rsidRDefault="00A851C3" w:rsidP="00DC43AE">
      <w:pPr>
        <w:numPr>
          <w:ilvl w:val="3"/>
          <w:numId w:val="18"/>
        </w:numPr>
        <w:spacing w:after="120"/>
        <w:rPr>
          <w:rFonts w:ascii="Arial" w:hAnsi="Arial" w:cs="Arial"/>
          <w:sz w:val="20"/>
          <w:szCs w:val="20"/>
        </w:rPr>
      </w:pPr>
      <w:r w:rsidRPr="00127ABE">
        <w:rPr>
          <w:rFonts w:ascii="Arial" w:hAnsi="Arial" w:cs="Arial"/>
          <w:sz w:val="20"/>
          <w:szCs w:val="20"/>
        </w:rPr>
        <w:t xml:space="preserve">Shall be considered individually and are </w:t>
      </w:r>
      <w:r w:rsidR="00BE39BF" w:rsidRPr="00127ABE">
        <w:rPr>
          <w:rFonts w:ascii="Arial" w:hAnsi="Arial" w:cs="Arial"/>
          <w:sz w:val="20"/>
          <w:szCs w:val="20"/>
        </w:rPr>
        <w:t xml:space="preserve">not </w:t>
      </w:r>
      <w:r w:rsidRPr="00127ABE">
        <w:rPr>
          <w:rFonts w:ascii="Arial" w:hAnsi="Arial" w:cs="Arial"/>
          <w:sz w:val="20"/>
          <w:szCs w:val="20"/>
        </w:rPr>
        <w:t>cumulative in nature.</w:t>
      </w:r>
    </w:p>
    <w:p w14:paraId="3AE969F6" w14:textId="39261F98" w:rsidR="00A851C3" w:rsidRPr="00127ABE" w:rsidRDefault="00A851C3" w:rsidP="00DC43AE">
      <w:pPr>
        <w:numPr>
          <w:ilvl w:val="3"/>
          <w:numId w:val="18"/>
        </w:numPr>
        <w:spacing w:after="120"/>
        <w:rPr>
          <w:rFonts w:ascii="Arial" w:hAnsi="Arial" w:cs="Arial"/>
          <w:sz w:val="20"/>
          <w:szCs w:val="20"/>
        </w:rPr>
      </w:pPr>
      <w:r w:rsidRPr="00127ABE">
        <w:rPr>
          <w:rFonts w:ascii="Arial" w:hAnsi="Arial" w:cs="Arial"/>
          <w:sz w:val="20"/>
          <w:szCs w:val="20"/>
        </w:rPr>
        <w:t>May only claim one</w:t>
      </w:r>
      <w:r w:rsidR="00635A27">
        <w:rPr>
          <w:rFonts w:ascii="Arial" w:hAnsi="Arial" w:cs="Arial"/>
          <w:sz w:val="20"/>
          <w:szCs w:val="20"/>
        </w:rPr>
        <w:t xml:space="preserve"> (1)</w:t>
      </w:r>
      <w:r w:rsidRPr="00127ABE">
        <w:rPr>
          <w:rFonts w:ascii="Arial" w:hAnsi="Arial" w:cs="Arial"/>
          <w:sz w:val="20"/>
          <w:szCs w:val="20"/>
        </w:rPr>
        <w:t xml:space="preserve"> instance per calendar month.</w:t>
      </w:r>
    </w:p>
    <w:p w14:paraId="3AE969F9" w14:textId="3D050D7E" w:rsidR="00A851C3" w:rsidRDefault="00A851C3" w:rsidP="00DC43AE">
      <w:pPr>
        <w:numPr>
          <w:ilvl w:val="2"/>
          <w:numId w:val="18"/>
        </w:numPr>
        <w:spacing w:after="120"/>
        <w:rPr>
          <w:rFonts w:ascii="Arial" w:hAnsi="Arial" w:cs="Arial"/>
          <w:sz w:val="20"/>
          <w:szCs w:val="20"/>
        </w:rPr>
      </w:pPr>
      <w:r w:rsidRPr="00127ABE">
        <w:rPr>
          <w:rFonts w:ascii="Arial" w:hAnsi="Arial" w:cs="Arial"/>
          <w:sz w:val="20"/>
          <w:szCs w:val="20"/>
        </w:rPr>
        <w:t xml:space="preserve">All declarations must be pursued within </w:t>
      </w:r>
      <w:r w:rsidR="00635A27">
        <w:rPr>
          <w:rFonts w:ascii="Arial" w:hAnsi="Arial" w:cs="Arial"/>
          <w:sz w:val="20"/>
          <w:szCs w:val="20"/>
        </w:rPr>
        <w:t>ninety (</w:t>
      </w:r>
      <w:r w:rsidRPr="00127ABE">
        <w:rPr>
          <w:rFonts w:ascii="Arial" w:hAnsi="Arial" w:cs="Arial"/>
          <w:sz w:val="20"/>
          <w:szCs w:val="20"/>
        </w:rPr>
        <w:t>90</w:t>
      </w:r>
      <w:r w:rsidR="00635A27">
        <w:rPr>
          <w:rFonts w:ascii="Arial" w:hAnsi="Arial" w:cs="Arial"/>
          <w:sz w:val="20"/>
          <w:szCs w:val="20"/>
        </w:rPr>
        <w:t>)</w:t>
      </w:r>
      <w:r w:rsidRPr="00127ABE">
        <w:rPr>
          <w:rFonts w:ascii="Arial" w:hAnsi="Arial" w:cs="Arial"/>
          <w:sz w:val="20"/>
          <w:szCs w:val="20"/>
        </w:rPr>
        <w:t xml:space="preserve"> </w:t>
      </w:r>
      <w:r w:rsidR="003461C2">
        <w:rPr>
          <w:rFonts w:ascii="Arial" w:hAnsi="Arial" w:cs="Arial"/>
          <w:sz w:val="20"/>
          <w:szCs w:val="20"/>
        </w:rPr>
        <w:t>b</w:t>
      </w:r>
      <w:r w:rsidRPr="00127ABE">
        <w:rPr>
          <w:rFonts w:ascii="Arial" w:hAnsi="Arial" w:cs="Arial"/>
          <w:sz w:val="20"/>
          <w:szCs w:val="20"/>
        </w:rPr>
        <w:t xml:space="preserve">usiness </w:t>
      </w:r>
      <w:r w:rsidR="003461C2">
        <w:rPr>
          <w:rFonts w:ascii="Arial" w:hAnsi="Arial" w:cs="Arial"/>
          <w:sz w:val="20"/>
          <w:szCs w:val="20"/>
        </w:rPr>
        <w:t>d</w:t>
      </w:r>
      <w:r w:rsidRPr="00127ABE">
        <w:rPr>
          <w:rFonts w:ascii="Arial" w:hAnsi="Arial" w:cs="Arial"/>
          <w:sz w:val="20"/>
          <w:szCs w:val="20"/>
        </w:rPr>
        <w:t xml:space="preserve">ays of the confirmed missed performance metric. </w:t>
      </w:r>
      <w:r w:rsidR="003461C2">
        <w:rPr>
          <w:rFonts w:ascii="Arial" w:hAnsi="Arial" w:cs="Arial"/>
          <w:sz w:val="20"/>
          <w:szCs w:val="20"/>
        </w:rPr>
        <w:t xml:space="preserve"> </w:t>
      </w:r>
      <w:r w:rsidRPr="00127ABE">
        <w:rPr>
          <w:rFonts w:ascii="Arial" w:hAnsi="Arial" w:cs="Arial"/>
          <w:sz w:val="20"/>
          <w:szCs w:val="20"/>
        </w:rPr>
        <w:t>No considerations will be reviewed or considered outside of this timeframe.</w:t>
      </w:r>
    </w:p>
    <w:p w14:paraId="4908F672" w14:textId="77777777" w:rsidR="00AA422E" w:rsidRDefault="00AA422E" w:rsidP="000B1E53">
      <w:pPr>
        <w:spacing w:after="120"/>
        <w:jc w:val="center"/>
        <w:rPr>
          <w:rFonts w:ascii="Arial" w:hAnsi="Arial" w:cs="Arial"/>
          <w:b/>
        </w:rPr>
        <w:sectPr w:rsidR="00AA422E" w:rsidSect="001A3CB3">
          <w:pgSz w:w="12240" w:h="15840" w:code="1"/>
          <w:pgMar w:top="720" w:right="720" w:bottom="720" w:left="720" w:header="432" w:footer="432" w:gutter="0"/>
          <w:cols w:space="720"/>
          <w:docGrid w:linePitch="272"/>
        </w:sectPr>
      </w:pPr>
    </w:p>
    <w:p w14:paraId="3AE98916" w14:textId="01FC59AD" w:rsidR="00127ABE" w:rsidRPr="00952777" w:rsidRDefault="00127ABE" w:rsidP="000B1E53">
      <w:pPr>
        <w:spacing w:after="120"/>
        <w:jc w:val="center"/>
        <w:rPr>
          <w:rFonts w:ascii="Arial" w:hAnsi="Arial" w:cs="Arial"/>
          <w:b/>
        </w:rPr>
      </w:pPr>
      <w:r>
        <w:rPr>
          <w:rFonts w:ascii="Arial" w:hAnsi="Arial" w:cs="Arial"/>
          <w:b/>
        </w:rPr>
        <w:lastRenderedPageBreak/>
        <w:t xml:space="preserve">Exhibit </w:t>
      </w:r>
      <w:r w:rsidR="008F0E7A">
        <w:rPr>
          <w:rFonts w:ascii="Arial" w:hAnsi="Arial" w:cs="Arial"/>
          <w:b/>
        </w:rPr>
        <w:t>B</w:t>
      </w:r>
    </w:p>
    <w:p w14:paraId="3AE98918" w14:textId="72334978" w:rsidR="00127ABE" w:rsidRDefault="002823DD" w:rsidP="00127ABE">
      <w:pPr>
        <w:jc w:val="center"/>
        <w:rPr>
          <w:rFonts w:ascii="Arial" w:hAnsi="Arial" w:cs="Arial"/>
          <w:b/>
        </w:rPr>
      </w:pPr>
      <w:r>
        <w:rPr>
          <w:rFonts w:ascii="Arial" w:hAnsi="Arial" w:cs="Arial"/>
          <w:b/>
        </w:rPr>
        <w:t>F</w:t>
      </w:r>
      <w:r w:rsidR="00127ABE">
        <w:rPr>
          <w:rFonts w:ascii="Arial" w:hAnsi="Arial" w:cs="Arial"/>
          <w:b/>
        </w:rPr>
        <w:t>RONTIER OPTICAL TRANSPORT SERVICES</w:t>
      </w:r>
      <w:r w:rsidR="00127ABE" w:rsidRPr="00C57AD5">
        <w:rPr>
          <w:rFonts w:ascii="Arial" w:hAnsi="Arial" w:cs="Arial"/>
          <w:b/>
        </w:rPr>
        <w:t xml:space="preserve"> </w:t>
      </w:r>
      <w:r w:rsidR="00AA4F8B">
        <w:rPr>
          <w:rFonts w:ascii="Arial" w:hAnsi="Arial" w:cs="Arial"/>
          <w:b/>
        </w:rPr>
        <w:t xml:space="preserve">FLAT RATE </w:t>
      </w:r>
      <w:r w:rsidR="00127ABE" w:rsidRPr="00C57AD5">
        <w:rPr>
          <w:rFonts w:ascii="Arial" w:hAnsi="Arial" w:cs="Arial"/>
          <w:b/>
        </w:rPr>
        <w:t>PRICING SCHEDULE</w:t>
      </w:r>
      <w:r>
        <w:rPr>
          <w:rStyle w:val="FootnoteReference"/>
          <w:rFonts w:ascii="Arial" w:hAnsi="Arial" w:cs="Arial"/>
          <w:b/>
        </w:rPr>
        <w:footnoteReference w:id="3"/>
      </w:r>
    </w:p>
    <w:p w14:paraId="04FA7439" w14:textId="0F6AA84A" w:rsidR="0073080B" w:rsidRDefault="0073080B" w:rsidP="0073080B">
      <w:pPr>
        <w:jc w:val="center"/>
        <w:rPr>
          <w:rFonts w:ascii="Arial" w:hAnsi="Arial" w:cs="Arial"/>
          <w:b/>
          <w:i/>
          <w:sz w:val="20"/>
          <w:szCs w:val="20"/>
        </w:rPr>
      </w:pPr>
      <w:r w:rsidRPr="00225D6F">
        <w:rPr>
          <w:rFonts w:ascii="Arial" w:hAnsi="Arial" w:cs="Arial"/>
          <w:b/>
          <w:i/>
          <w:sz w:val="20"/>
          <w:szCs w:val="20"/>
        </w:rPr>
        <w:t>Note: all pricing is point-to-point (</w:t>
      </w:r>
      <w:r>
        <w:rPr>
          <w:rFonts w:ascii="Arial" w:hAnsi="Arial" w:cs="Arial"/>
          <w:b/>
          <w:i/>
          <w:sz w:val="20"/>
          <w:szCs w:val="20"/>
        </w:rPr>
        <w:t xml:space="preserve">includes </w:t>
      </w:r>
      <w:r w:rsidRPr="00225D6F">
        <w:rPr>
          <w:rFonts w:ascii="Arial" w:hAnsi="Arial" w:cs="Arial"/>
          <w:b/>
          <w:i/>
          <w:sz w:val="20"/>
          <w:szCs w:val="20"/>
        </w:rPr>
        <w:t>both endpoints)</w:t>
      </w:r>
    </w:p>
    <w:p w14:paraId="09C6D1EA" w14:textId="77777777" w:rsidR="0073080B" w:rsidRPr="00225D6F" w:rsidRDefault="0073080B" w:rsidP="0073080B">
      <w:pPr>
        <w:jc w:val="center"/>
        <w:rPr>
          <w:rFonts w:ascii="Arial" w:hAnsi="Arial" w:cs="Arial"/>
          <w:b/>
          <w:i/>
          <w:sz w:val="20"/>
          <w:szCs w:val="20"/>
        </w:rPr>
      </w:pPr>
    </w:p>
    <w:p w14:paraId="010584F1" w14:textId="77777777" w:rsidR="00AF4212" w:rsidRDefault="00AF4212" w:rsidP="00127ABE">
      <w:pPr>
        <w:jc w:val="center"/>
        <w:rPr>
          <w:rFonts w:ascii="Arial" w:hAnsi="Arial" w:cs="Arial"/>
          <w:b/>
        </w:rPr>
      </w:pPr>
    </w:p>
    <w:tbl>
      <w:tblPr>
        <w:tblW w:w="10096" w:type="dxa"/>
        <w:jc w:val="center"/>
        <w:tblLook w:val="04A0" w:firstRow="1" w:lastRow="0" w:firstColumn="1" w:lastColumn="0" w:noHBand="0" w:noVBand="1"/>
      </w:tblPr>
      <w:tblGrid>
        <w:gridCol w:w="3033"/>
        <w:gridCol w:w="1038"/>
        <w:gridCol w:w="1563"/>
        <w:gridCol w:w="1563"/>
        <w:gridCol w:w="1563"/>
        <w:gridCol w:w="1336"/>
      </w:tblGrid>
      <w:tr w:rsidR="00AF4212" w14:paraId="4C91C8DD" w14:textId="77777777" w:rsidTr="00DB0E7D">
        <w:trPr>
          <w:trHeight w:val="310"/>
          <w:jc w:val="center"/>
        </w:trPr>
        <w:tc>
          <w:tcPr>
            <w:tcW w:w="10096" w:type="dxa"/>
            <w:gridSpan w:val="6"/>
            <w:tcBorders>
              <w:top w:val="nil"/>
              <w:left w:val="nil"/>
              <w:bottom w:val="nil"/>
              <w:right w:val="nil"/>
            </w:tcBorders>
            <w:shd w:val="clear" w:color="000000" w:fill="000000"/>
            <w:noWrap/>
            <w:vAlign w:val="center"/>
            <w:hideMark/>
          </w:tcPr>
          <w:p w14:paraId="4CED7441" w14:textId="77777777" w:rsidR="00AF4212" w:rsidRDefault="00AF4212">
            <w:pPr>
              <w:jc w:val="center"/>
              <w:rPr>
                <w:rFonts w:ascii="Calibri" w:hAnsi="Calibri"/>
                <w:color w:val="FFFFFF"/>
              </w:rPr>
            </w:pPr>
            <w:bookmarkStart w:id="0" w:name="RANGE!B1:I17"/>
            <w:r>
              <w:rPr>
                <w:rFonts w:ascii="Calibri" w:hAnsi="Calibri"/>
                <w:color w:val="FFFFFF"/>
              </w:rPr>
              <w:t>FOTS PRICING</w:t>
            </w:r>
            <w:bookmarkEnd w:id="0"/>
          </w:p>
        </w:tc>
      </w:tr>
      <w:tr w:rsidR="00AF4212" w14:paraId="6E709929" w14:textId="77777777" w:rsidTr="00DB0E7D">
        <w:trPr>
          <w:trHeight w:val="290"/>
          <w:jc w:val="center"/>
        </w:trPr>
        <w:tc>
          <w:tcPr>
            <w:tcW w:w="4071"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D3ABAB" w14:textId="77777777" w:rsidR="00AF4212" w:rsidRDefault="00AF4212">
            <w:pPr>
              <w:jc w:val="center"/>
              <w:rPr>
                <w:rFonts w:ascii="Calibri" w:hAnsi="Calibri"/>
                <w:b/>
                <w:bCs/>
                <w:sz w:val="22"/>
                <w:szCs w:val="22"/>
              </w:rPr>
            </w:pPr>
            <w:r>
              <w:rPr>
                <w:rFonts w:ascii="Calibri" w:hAnsi="Calibri"/>
                <w:b/>
                <w:bCs/>
                <w:sz w:val="22"/>
                <w:szCs w:val="22"/>
              </w:rPr>
              <w:t>Rate Element</w:t>
            </w:r>
          </w:p>
        </w:tc>
        <w:tc>
          <w:tcPr>
            <w:tcW w:w="6025"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466D6961" w14:textId="77777777" w:rsidR="00AF4212" w:rsidRDefault="00AF4212">
            <w:pPr>
              <w:jc w:val="center"/>
              <w:rPr>
                <w:rFonts w:ascii="Calibri" w:hAnsi="Calibri"/>
                <w:b/>
                <w:bCs/>
                <w:sz w:val="22"/>
                <w:szCs w:val="22"/>
              </w:rPr>
            </w:pPr>
            <w:r>
              <w:rPr>
                <w:rFonts w:ascii="Calibri" w:hAnsi="Calibri"/>
                <w:b/>
                <w:bCs/>
                <w:sz w:val="22"/>
                <w:szCs w:val="22"/>
              </w:rPr>
              <w:t>Term</w:t>
            </w:r>
          </w:p>
        </w:tc>
      </w:tr>
      <w:tr w:rsidR="00AF4212" w14:paraId="34D37419" w14:textId="77777777" w:rsidTr="00DB0E7D">
        <w:trPr>
          <w:trHeight w:val="290"/>
          <w:jc w:val="center"/>
        </w:trPr>
        <w:tc>
          <w:tcPr>
            <w:tcW w:w="4071" w:type="dxa"/>
            <w:gridSpan w:val="2"/>
            <w:vMerge/>
            <w:tcBorders>
              <w:top w:val="single" w:sz="4" w:space="0" w:color="auto"/>
              <w:left w:val="single" w:sz="4" w:space="0" w:color="auto"/>
              <w:bottom w:val="single" w:sz="4" w:space="0" w:color="auto"/>
              <w:right w:val="single" w:sz="4" w:space="0" w:color="auto"/>
            </w:tcBorders>
            <w:vAlign w:val="center"/>
            <w:hideMark/>
          </w:tcPr>
          <w:p w14:paraId="70B09B73" w14:textId="77777777" w:rsidR="00AF4212" w:rsidRDefault="00AF4212">
            <w:pPr>
              <w:rPr>
                <w:rFonts w:ascii="Calibri" w:hAnsi="Calibri"/>
                <w:b/>
                <w:bCs/>
                <w:sz w:val="22"/>
                <w:szCs w:val="22"/>
              </w:rPr>
            </w:pPr>
          </w:p>
        </w:tc>
        <w:tc>
          <w:tcPr>
            <w:tcW w:w="1563" w:type="dxa"/>
            <w:tcBorders>
              <w:top w:val="nil"/>
              <w:left w:val="nil"/>
              <w:bottom w:val="single" w:sz="4" w:space="0" w:color="auto"/>
              <w:right w:val="single" w:sz="4" w:space="0" w:color="auto"/>
            </w:tcBorders>
            <w:shd w:val="clear" w:color="000000" w:fill="FFFFFF"/>
            <w:noWrap/>
            <w:vAlign w:val="bottom"/>
            <w:hideMark/>
          </w:tcPr>
          <w:p w14:paraId="424877CC" w14:textId="77777777" w:rsidR="00AF4212" w:rsidRDefault="00AF4212">
            <w:pPr>
              <w:jc w:val="center"/>
              <w:rPr>
                <w:rFonts w:ascii="Calibri" w:hAnsi="Calibri"/>
                <w:b/>
                <w:bCs/>
                <w:sz w:val="22"/>
                <w:szCs w:val="22"/>
              </w:rPr>
            </w:pPr>
            <w:r>
              <w:rPr>
                <w:rFonts w:ascii="Calibri" w:hAnsi="Calibri"/>
                <w:b/>
                <w:bCs/>
                <w:sz w:val="22"/>
                <w:szCs w:val="22"/>
              </w:rPr>
              <w:t>1 Year</w:t>
            </w:r>
          </w:p>
        </w:tc>
        <w:tc>
          <w:tcPr>
            <w:tcW w:w="1563" w:type="dxa"/>
            <w:tcBorders>
              <w:top w:val="nil"/>
              <w:left w:val="nil"/>
              <w:bottom w:val="single" w:sz="4" w:space="0" w:color="auto"/>
              <w:right w:val="single" w:sz="4" w:space="0" w:color="auto"/>
            </w:tcBorders>
            <w:shd w:val="clear" w:color="000000" w:fill="FFFFFF"/>
            <w:noWrap/>
            <w:vAlign w:val="bottom"/>
            <w:hideMark/>
          </w:tcPr>
          <w:p w14:paraId="7128B209" w14:textId="77777777" w:rsidR="00AF4212" w:rsidRDefault="00AF4212">
            <w:pPr>
              <w:jc w:val="center"/>
              <w:rPr>
                <w:rFonts w:ascii="Calibri" w:hAnsi="Calibri"/>
                <w:b/>
                <w:bCs/>
                <w:sz w:val="22"/>
                <w:szCs w:val="22"/>
              </w:rPr>
            </w:pPr>
            <w:r>
              <w:rPr>
                <w:rFonts w:ascii="Calibri" w:hAnsi="Calibri"/>
                <w:b/>
                <w:bCs/>
                <w:sz w:val="22"/>
                <w:szCs w:val="22"/>
              </w:rPr>
              <w:t>2 Year</w:t>
            </w:r>
          </w:p>
        </w:tc>
        <w:tc>
          <w:tcPr>
            <w:tcW w:w="1563" w:type="dxa"/>
            <w:tcBorders>
              <w:top w:val="nil"/>
              <w:left w:val="nil"/>
              <w:bottom w:val="single" w:sz="4" w:space="0" w:color="auto"/>
              <w:right w:val="single" w:sz="4" w:space="0" w:color="auto"/>
            </w:tcBorders>
            <w:shd w:val="clear" w:color="000000" w:fill="FFFFFF"/>
            <w:noWrap/>
            <w:vAlign w:val="bottom"/>
            <w:hideMark/>
          </w:tcPr>
          <w:p w14:paraId="4142F6CF" w14:textId="77777777" w:rsidR="00AF4212" w:rsidRDefault="00AF4212">
            <w:pPr>
              <w:jc w:val="center"/>
              <w:rPr>
                <w:rFonts w:ascii="Calibri" w:hAnsi="Calibri"/>
                <w:b/>
                <w:bCs/>
                <w:sz w:val="22"/>
                <w:szCs w:val="22"/>
              </w:rPr>
            </w:pPr>
            <w:r>
              <w:rPr>
                <w:rFonts w:ascii="Calibri" w:hAnsi="Calibri"/>
                <w:b/>
                <w:bCs/>
                <w:sz w:val="22"/>
                <w:szCs w:val="22"/>
              </w:rPr>
              <w:t>3 Year</w:t>
            </w:r>
          </w:p>
        </w:tc>
        <w:tc>
          <w:tcPr>
            <w:tcW w:w="1336" w:type="dxa"/>
            <w:tcBorders>
              <w:top w:val="nil"/>
              <w:left w:val="nil"/>
              <w:bottom w:val="single" w:sz="4" w:space="0" w:color="auto"/>
              <w:right w:val="single" w:sz="4" w:space="0" w:color="auto"/>
            </w:tcBorders>
            <w:shd w:val="clear" w:color="000000" w:fill="FFFFFF"/>
            <w:noWrap/>
            <w:vAlign w:val="bottom"/>
            <w:hideMark/>
          </w:tcPr>
          <w:p w14:paraId="410340A3" w14:textId="77777777" w:rsidR="00AF4212" w:rsidRDefault="00AF4212">
            <w:pPr>
              <w:jc w:val="center"/>
              <w:rPr>
                <w:rFonts w:ascii="Calibri" w:hAnsi="Calibri"/>
                <w:b/>
                <w:bCs/>
                <w:sz w:val="22"/>
                <w:szCs w:val="22"/>
              </w:rPr>
            </w:pPr>
            <w:r>
              <w:rPr>
                <w:rFonts w:ascii="Calibri" w:hAnsi="Calibri"/>
                <w:b/>
                <w:bCs/>
                <w:sz w:val="22"/>
                <w:szCs w:val="22"/>
              </w:rPr>
              <w:t>5 Year</w:t>
            </w:r>
          </w:p>
        </w:tc>
      </w:tr>
      <w:tr w:rsidR="00AF4212" w14:paraId="087A4688" w14:textId="77777777" w:rsidTr="00DB0E7D">
        <w:trPr>
          <w:trHeight w:val="290"/>
          <w:jc w:val="center"/>
        </w:trPr>
        <w:tc>
          <w:tcPr>
            <w:tcW w:w="10096" w:type="dxa"/>
            <w:gridSpan w:val="6"/>
            <w:tcBorders>
              <w:top w:val="nil"/>
              <w:left w:val="nil"/>
              <w:bottom w:val="nil"/>
              <w:right w:val="nil"/>
            </w:tcBorders>
            <w:shd w:val="clear" w:color="000000" w:fill="000000"/>
            <w:noWrap/>
            <w:vAlign w:val="center"/>
            <w:hideMark/>
          </w:tcPr>
          <w:p w14:paraId="2F19B67B" w14:textId="77777777" w:rsidR="00AF4212" w:rsidRDefault="00AF4212">
            <w:pPr>
              <w:jc w:val="center"/>
              <w:rPr>
                <w:rFonts w:ascii="Calibri" w:hAnsi="Calibri"/>
                <w:color w:val="FFFFFF"/>
                <w:sz w:val="22"/>
                <w:szCs w:val="22"/>
              </w:rPr>
            </w:pPr>
            <w:r>
              <w:rPr>
                <w:rFonts w:ascii="Calibri" w:hAnsi="Calibri"/>
                <w:color w:val="FFFFFF"/>
                <w:sz w:val="22"/>
                <w:szCs w:val="22"/>
              </w:rPr>
              <w:t>Terminations (MRCs)</w:t>
            </w:r>
          </w:p>
        </w:tc>
      </w:tr>
      <w:tr w:rsidR="00AF4212" w14:paraId="33156961" w14:textId="77777777" w:rsidTr="00DB0E7D">
        <w:trPr>
          <w:trHeight w:val="290"/>
          <w:jc w:val="center"/>
        </w:trPr>
        <w:tc>
          <w:tcPr>
            <w:tcW w:w="4071"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5F08B93" w14:textId="6809B402" w:rsidR="00AF4212" w:rsidRDefault="00AF4212">
            <w:pPr>
              <w:rPr>
                <w:rFonts w:ascii="Calibri" w:hAnsi="Calibri"/>
                <w:color w:val="000000"/>
                <w:sz w:val="22"/>
                <w:szCs w:val="22"/>
              </w:rPr>
            </w:pPr>
            <w:r>
              <w:rPr>
                <w:rFonts w:ascii="Calibri" w:hAnsi="Calibri"/>
                <w:color w:val="000000"/>
                <w:sz w:val="22"/>
                <w:szCs w:val="22"/>
              </w:rPr>
              <w:t>10G Un-Protected Channel Termination</w:t>
            </w:r>
            <w:r w:rsidR="0096067C">
              <w:rPr>
                <w:rFonts w:ascii="Calibri" w:hAnsi="Calibri"/>
                <w:color w:val="000000"/>
                <w:sz w:val="22"/>
                <w:szCs w:val="22"/>
              </w:rPr>
              <w:t>s</w:t>
            </w:r>
          </w:p>
        </w:tc>
        <w:tc>
          <w:tcPr>
            <w:tcW w:w="1563" w:type="dxa"/>
            <w:tcBorders>
              <w:top w:val="single" w:sz="4" w:space="0" w:color="auto"/>
              <w:left w:val="nil"/>
              <w:bottom w:val="single" w:sz="4" w:space="0" w:color="auto"/>
              <w:right w:val="single" w:sz="4" w:space="0" w:color="auto"/>
            </w:tcBorders>
            <w:shd w:val="clear" w:color="000000" w:fill="FFFFFF"/>
            <w:noWrap/>
            <w:vAlign w:val="bottom"/>
            <w:hideMark/>
          </w:tcPr>
          <w:p w14:paraId="08275AC6" w14:textId="77777777" w:rsidR="00AF4212" w:rsidRDefault="00AF4212">
            <w:pPr>
              <w:jc w:val="center"/>
              <w:rPr>
                <w:rFonts w:ascii="Calibri" w:hAnsi="Calibri"/>
                <w:color w:val="000000"/>
                <w:sz w:val="22"/>
                <w:szCs w:val="22"/>
              </w:rPr>
            </w:pPr>
            <w:r>
              <w:rPr>
                <w:rFonts w:ascii="Calibri" w:hAnsi="Calibri"/>
                <w:color w:val="000000"/>
                <w:sz w:val="22"/>
                <w:szCs w:val="22"/>
              </w:rPr>
              <w:t>$4,710</w:t>
            </w:r>
          </w:p>
        </w:tc>
        <w:tc>
          <w:tcPr>
            <w:tcW w:w="1563" w:type="dxa"/>
            <w:tcBorders>
              <w:top w:val="single" w:sz="4" w:space="0" w:color="auto"/>
              <w:left w:val="nil"/>
              <w:bottom w:val="single" w:sz="4" w:space="0" w:color="auto"/>
              <w:right w:val="single" w:sz="4" w:space="0" w:color="auto"/>
            </w:tcBorders>
            <w:shd w:val="clear" w:color="000000" w:fill="FFFFFF"/>
            <w:noWrap/>
            <w:vAlign w:val="bottom"/>
            <w:hideMark/>
          </w:tcPr>
          <w:p w14:paraId="68D225A2" w14:textId="77777777" w:rsidR="00AF4212" w:rsidRDefault="00AF4212">
            <w:pPr>
              <w:jc w:val="center"/>
              <w:rPr>
                <w:rFonts w:ascii="Calibri" w:hAnsi="Calibri"/>
                <w:color w:val="000000"/>
                <w:sz w:val="22"/>
                <w:szCs w:val="22"/>
              </w:rPr>
            </w:pPr>
            <w:r>
              <w:rPr>
                <w:rFonts w:ascii="Calibri" w:hAnsi="Calibri"/>
                <w:color w:val="000000"/>
                <w:sz w:val="22"/>
                <w:szCs w:val="22"/>
              </w:rPr>
              <w:t>$3,770</w:t>
            </w:r>
          </w:p>
        </w:tc>
        <w:tc>
          <w:tcPr>
            <w:tcW w:w="1563" w:type="dxa"/>
            <w:tcBorders>
              <w:top w:val="single" w:sz="4" w:space="0" w:color="auto"/>
              <w:left w:val="nil"/>
              <w:bottom w:val="single" w:sz="4" w:space="0" w:color="auto"/>
              <w:right w:val="single" w:sz="4" w:space="0" w:color="auto"/>
            </w:tcBorders>
            <w:shd w:val="clear" w:color="000000" w:fill="FFFFFF"/>
            <w:noWrap/>
            <w:vAlign w:val="bottom"/>
            <w:hideMark/>
          </w:tcPr>
          <w:p w14:paraId="60FAB189" w14:textId="77777777" w:rsidR="00AF4212" w:rsidRDefault="00AF4212">
            <w:pPr>
              <w:jc w:val="center"/>
              <w:rPr>
                <w:rFonts w:ascii="Calibri" w:hAnsi="Calibri"/>
                <w:color w:val="000000"/>
                <w:sz w:val="22"/>
                <w:szCs w:val="22"/>
              </w:rPr>
            </w:pPr>
            <w:r>
              <w:rPr>
                <w:rFonts w:ascii="Calibri" w:hAnsi="Calibri"/>
                <w:color w:val="000000"/>
                <w:sz w:val="22"/>
                <w:szCs w:val="22"/>
              </w:rPr>
              <w:t>$3,200</w:t>
            </w:r>
          </w:p>
        </w:tc>
        <w:tc>
          <w:tcPr>
            <w:tcW w:w="1336" w:type="dxa"/>
            <w:tcBorders>
              <w:top w:val="single" w:sz="4" w:space="0" w:color="auto"/>
              <w:left w:val="nil"/>
              <w:bottom w:val="single" w:sz="4" w:space="0" w:color="auto"/>
              <w:right w:val="single" w:sz="4" w:space="0" w:color="auto"/>
            </w:tcBorders>
            <w:shd w:val="clear" w:color="000000" w:fill="FFFFFF"/>
            <w:noWrap/>
            <w:vAlign w:val="bottom"/>
            <w:hideMark/>
          </w:tcPr>
          <w:p w14:paraId="0C79AE03" w14:textId="77777777" w:rsidR="00AF4212" w:rsidRDefault="00AF4212">
            <w:pPr>
              <w:jc w:val="center"/>
              <w:rPr>
                <w:rFonts w:ascii="Calibri" w:hAnsi="Calibri"/>
                <w:color w:val="000000"/>
                <w:sz w:val="22"/>
                <w:szCs w:val="22"/>
              </w:rPr>
            </w:pPr>
            <w:r>
              <w:rPr>
                <w:rFonts w:ascii="Calibri" w:hAnsi="Calibri"/>
                <w:color w:val="000000"/>
                <w:sz w:val="22"/>
                <w:szCs w:val="22"/>
              </w:rPr>
              <w:t>$2,780</w:t>
            </w:r>
          </w:p>
        </w:tc>
      </w:tr>
      <w:tr w:rsidR="00AF4212" w14:paraId="5E503CD1" w14:textId="77777777" w:rsidTr="00DB0E7D">
        <w:trPr>
          <w:trHeight w:val="290"/>
          <w:jc w:val="center"/>
        </w:trPr>
        <w:tc>
          <w:tcPr>
            <w:tcW w:w="4071"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778823B" w14:textId="574B979A" w:rsidR="00AF4212" w:rsidRDefault="00AF4212">
            <w:pPr>
              <w:rPr>
                <w:rFonts w:ascii="Calibri" w:hAnsi="Calibri"/>
                <w:color w:val="000000"/>
                <w:sz w:val="22"/>
                <w:szCs w:val="22"/>
              </w:rPr>
            </w:pPr>
            <w:r>
              <w:rPr>
                <w:rFonts w:ascii="Calibri" w:hAnsi="Calibri"/>
                <w:color w:val="000000"/>
                <w:sz w:val="22"/>
                <w:szCs w:val="22"/>
              </w:rPr>
              <w:t>10G Protected Channel Termination</w:t>
            </w:r>
            <w:r w:rsidR="0096067C">
              <w:rPr>
                <w:rFonts w:ascii="Calibri" w:hAnsi="Calibri"/>
                <w:color w:val="000000"/>
                <w:sz w:val="22"/>
                <w:szCs w:val="22"/>
              </w:rPr>
              <w:t>s</w:t>
            </w:r>
          </w:p>
        </w:tc>
        <w:tc>
          <w:tcPr>
            <w:tcW w:w="1563" w:type="dxa"/>
            <w:tcBorders>
              <w:top w:val="nil"/>
              <w:left w:val="nil"/>
              <w:bottom w:val="single" w:sz="4" w:space="0" w:color="auto"/>
              <w:right w:val="single" w:sz="4" w:space="0" w:color="auto"/>
            </w:tcBorders>
            <w:shd w:val="clear" w:color="000000" w:fill="FFFFFF"/>
            <w:noWrap/>
            <w:vAlign w:val="bottom"/>
            <w:hideMark/>
          </w:tcPr>
          <w:p w14:paraId="45290306" w14:textId="77777777" w:rsidR="00AF4212" w:rsidRDefault="00AF4212">
            <w:pPr>
              <w:jc w:val="center"/>
              <w:rPr>
                <w:rFonts w:ascii="Calibri" w:hAnsi="Calibri"/>
                <w:color w:val="000000"/>
                <w:sz w:val="22"/>
                <w:szCs w:val="22"/>
              </w:rPr>
            </w:pPr>
            <w:r>
              <w:rPr>
                <w:rFonts w:ascii="Calibri" w:hAnsi="Calibri"/>
                <w:color w:val="000000"/>
                <w:sz w:val="22"/>
                <w:szCs w:val="22"/>
              </w:rPr>
              <w:t>$6,266</w:t>
            </w:r>
          </w:p>
        </w:tc>
        <w:tc>
          <w:tcPr>
            <w:tcW w:w="1563" w:type="dxa"/>
            <w:tcBorders>
              <w:top w:val="nil"/>
              <w:left w:val="nil"/>
              <w:bottom w:val="single" w:sz="4" w:space="0" w:color="auto"/>
              <w:right w:val="single" w:sz="4" w:space="0" w:color="auto"/>
            </w:tcBorders>
            <w:shd w:val="clear" w:color="000000" w:fill="FFFFFF"/>
            <w:noWrap/>
            <w:vAlign w:val="bottom"/>
            <w:hideMark/>
          </w:tcPr>
          <w:p w14:paraId="5165E51B" w14:textId="77777777" w:rsidR="00AF4212" w:rsidRDefault="00AF4212">
            <w:pPr>
              <w:jc w:val="center"/>
              <w:rPr>
                <w:rFonts w:ascii="Calibri" w:hAnsi="Calibri"/>
                <w:color w:val="000000"/>
                <w:sz w:val="22"/>
                <w:szCs w:val="22"/>
              </w:rPr>
            </w:pPr>
            <w:r>
              <w:rPr>
                <w:rFonts w:ascii="Calibri" w:hAnsi="Calibri"/>
                <w:color w:val="000000"/>
                <w:sz w:val="22"/>
                <w:szCs w:val="22"/>
              </w:rPr>
              <w:t>$5,017</w:t>
            </w:r>
          </w:p>
        </w:tc>
        <w:tc>
          <w:tcPr>
            <w:tcW w:w="1563" w:type="dxa"/>
            <w:tcBorders>
              <w:top w:val="nil"/>
              <w:left w:val="nil"/>
              <w:bottom w:val="single" w:sz="4" w:space="0" w:color="auto"/>
              <w:right w:val="single" w:sz="4" w:space="0" w:color="auto"/>
            </w:tcBorders>
            <w:shd w:val="clear" w:color="000000" w:fill="FFFFFF"/>
            <w:noWrap/>
            <w:vAlign w:val="bottom"/>
            <w:hideMark/>
          </w:tcPr>
          <w:p w14:paraId="4D13142D" w14:textId="77777777" w:rsidR="00AF4212" w:rsidRDefault="00AF4212">
            <w:pPr>
              <w:jc w:val="center"/>
              <w:rPr>
                <w:rFonts w:ascii="Calibri" w:hAnsi="Calibri"/>
                <w:color w:val="000000"/>
                <w:sz w:val="22"/>
                <w:szCs w:val="22"/>
              </w:rPr>
            </w:pPr>
            <w:r>
              <w:rPr>
                <w:rFonts w:ascii="Calibri" w:hAnsi="Calibri"/>
                <w:color w:val="000000"/>
                <w:sz w:val="22"/>
                <w:szCs w:val="22"/>
              </w:rPr>
              <w:t>$4,257</w:t>
            </w:r>
          </w:p>
        </w:tc>
        <w:tc>
          <w:tcPr>
            <w:tcW w:w="1336" w:type="dxa"/>
            <w:tcBorders>
              <w:top w:val="nil"/>
              <w:left w:val="nil"/>
              <w:bottom w:val="single" w:sz="4" w:space="0" w:color="auto"/>
              <w:right w:val="single" w:sz="4" w:space="0" w:color="auto"/>
            </w:tcBorders>
            <w:shd w:val="clear" w:color="000000" w:fill="FFFFFF"/>
            <w:noWrap/>
            <w:vAlign w:val="bottom"/>
            <w:hideMark/>
          </w:tcPr>
          <w:p w14:paraId="6FF9D43E" w14:textId="77777777" w:rsidR="00AF4212" w:rsidRDefault="00AF4212">
            <w:pPr>
              <w:jc w:val="center"/>
              <w:rPr>
                <w:rFonts w:ascii="Calibri" w:hAnsi="Calibri"/>
                <w:color w:val="000000"/>
                <w:sz w:val="22"/>
                <w:szCs w:val="22"/>
              </w:rPr>
            </w:pPr>
            <w:r>
              <w:rPr>
                <w:rFonts w:ascii="Calibri" w:hAnsi="Calibri"/>
                <w:color w:val="000000"/>
                <w:sz w:val="22"/>
                <w:szCs w:val="22"/>
              </w:rPr>
              <w:t>$3,699</w:t>
            </w:r>
          </w:p>
        </w:tc>
      </w:tr>
      <w:tr w:rsidR="00AF4212" w14:paraId="57E4737E" w14:textId="77777777" w:rsidTr="00DB0E7D">
        <w:trPr>
          <w:trHeight w:val="290"/>
          <w:jc w:val="center"/>
        </w:trPr>
        <w:tc>
          <w:tcPr>
            <w:tcW w:w="4071"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73A0627" w14:textId="0A03D7D9" w:rsidR="00AF4212" w:rsidRDefault="00AF4212">
            <w:pPr>
              <w:rPr>
                <w:rFonts w:ascii="Calibri" w:hAnsi="Calibri"/>
                <w:color w:val="000000"/>
                <w:sz w:val="22"/>
                <w:szCs w:val="22"/>
              </w:rPr>
            </w:pPr>
            <w:r>
              <w:rPr>
                <w:rFonts w:ascii="Calibri" w:hAnsi="Calibri"/>
                <w:color w:val="000000"/>
                <w:sz w:val="22"/>
                <w:szCs w:val="22"/>
              </w:rPr>
              <w:t>10G Protected Plus Channel Termination</w:t>
            </w:r>
            <w:r w:rsidR="0096067C">
              <w:rPr>
                <w:rFonts w:ascii="Calibri" w:hAnsi="Calibri"/>
                <w:color w:val="000000"/>
                <w:sz w:val="22"/>
                <w:szCs w:val="22"/>
              </w:rPr>
              <w:t>s</w:t>
            </w:r>
          </w:p>
        </w:tc>
        <w:tc>
          <w:tcPr>
            <w:tcW w:w="1563" w:type="dxa"/>
            <w:tcBorders>
              <w:top w:val="nil"/>
              <w:left w:val="nil"/>
              <w:bottom w:val="single" w:sz="4" w:space="0" w:color="auto"/>
              <w:right w:val="single" w:sz="4" w:space="0" w:color="auto"/>
            </w:tcBorders>
            <w:shd w:val="clear" w:color="000000" w:fill="FFFFFF"/>
            <w:noWrap/>
            <w:vAlign w:val="bottom"/>
            <w:hideMark/>
          </w:tcPr>
          <w:p w14:paraId="180AD30C" w14:textId="77777777" w:rsidR="00AF4212" w:rsidRDefault="00AF4212">
            <w:pPr>
              <w:jc w:val="center"/>
              <w:rPr>
                <w:rFonts w:ascii="Calibri" w:hAnsi="Calibri"/>
                <w:color w:val="000000"/>
                <w:sz w:val="22"/>
                <w:szCs w:val="22"/>
              </w:rPr>
            </w:pPr>
            <w:r>
              <w:rPr>
                <w:rFonts w:ascii="Calibri" w:hAnsi="Calibri"/>
                <w:color w:val="000000"/>
                <w:sz w:val="22"/>
                <w:szCs w:val="22"/>
              </w:rPr>
              <w:t>$6,741</w:t>
            </w:r>
          </w:p>
        </w:tc>
        <w:tc>
          <w:tcPr>
            <w:tcW w:w="1563" w:type="dxa"/>
            <w:tcBorders>
              <w:top w:val="nil"/>
              <w:left w:val="nil"/>
              <w:bottom w:val="single" w:sz="4" w:space="0" w:color="auto"/>
              <w:right w:val="single" w:sz="4" w:space="0" w:color="auto"/>
            </w:tcBorders>
            <w:shd w:val="clear" w:color="000000" w:fill="FFFFFF"/>
            <w:noWrap/>
            <w:vAlign w:val="bottom"/>
            <w:hideMark/>
          </w:tcPr>
          <w:p w14:paraId="724F34C5" w14:textId="77777777" w:rsidR="00AF4212" w:rsidRDefault="00AF4212">
            <w:pPr>
              <w:jc w:val="center"/>
              <w:rPr>
                <w:rFonts w:ascii="Calibri" w:hAnsi="Calibri"/>
                <w:color w:val="000000"/>
                <w:sz w:val="22"/>
                <w:szCs w:val="22"/>
              </w:rPr>
            </w:pPr>
            <w:r>
              <w:rPr>
                <w:rFonts w:ascii="Calibri" w:hAnsi="Calibri"/>
                <w:color w:val="000000"/>
                <w:sz w:val="22"/>
                <w:szCs w:val="22"/>
              </w:rPr>
              <w:t>$5,397</w:t>
            </w:r>
          </w:p>
        </w:tc>
        <w:tc>
          <w:tcPr>
            <w:tcW w:w="1563" w:type="dxa"/>
            <w:tcBorders>
              <w:top w:val="nil"/>
              <w:left w:val="nil"/>
              <w:bottom w:val="single" w:sz="4" w:space="0" w:color="auto"/>
              <w:right w:val="single" w:sz="4" w:space="0" w:color="auto"/>
            </w:tcBorders>
            <w:shd w:val="clear" w:color="000000" w:fill="FFFFFF"/>
            <w:noWrap/>
            <w:vAlign w:val="bottom"/>
            <w:hideMark/>
          </w:tcPr>
          <w:p w14:paraId="63A8595C" w14:textId="77777777" w:rsidR="00AF4212" w:rsidRDefault="00AF4212">
            <w:pPr>
              <w:jc w:val="center"/>
              <w:rPr>
                <w:rFonts w:ascii="Calibri" w:hAnsi="Calibri"/>
                <w:color w:val="000000"/>
                <w:sz w:val="22"/>
                <w:szCs w:val="22"/>
              </w:rPr>
            </w:pPr>
            <w:r>
              <w:rPr>
                <w:rFonts w:ascii="Calibri" w:hAnsi="Calibri"/>
                <w:color w:val="000000"/>
                <w:sz w:val="22"/>
                <w:szCs w:val="22"/>
              </w:rPr>
              <w:t>$4,580</w:t>
            </w:r>
          </w:p>
        </w:tc>
        <w:tc>
          <w:tcPr>
            <w:tcW w:w="1336" w:type="dxa"/>
            <w:tcBorders>
              <w:top w:val="nil"/>
              <w:left w:val="nil"/>
              <w:bottom w:val="single" w:sz="4" w:space="0" w:color="auto"/>
              <w:right w:val="single" w:sz="4" w:space="0" w:color="auto"/>
            </w:tcBorders>
            <w:shd w:val="clear" w:color="000000" w:fill="FFFFFF"/>
            <w:noWrap/>
            <w:vAlign w:val="bottom"/>
            <w:hideMark/>
          </w:tcPr>
          <w:p w14:paraId="4C78F88F" w14:textId="77777777" w:rsidR="00AF4212" w:rsidRDefault="00AF4212">
            <w:pPr>
              <w:jc w:val="center"/>
              <w:rPr>
                <w:rFonts w:ascii="Calibri" w:hAnsi="Calibri"/>
                <w:color w:val="000000"/>
                <w:sz w:val="22"/>
                <w:szCs w:val="22"/>
              </w:rPr>
            </w:pPr>
            <w:r>
              <w:rPr>
                <w:rFonts w:ascii="Calibri" w:hAnsi="Calibri"/>
                <w:color w:val="000000"/>
                <w:sz w:val="22"/>
                <w:szCs w:val="22"/>
              </w:rPr>
              <w:t>$3,980</w:t>
            </w:r>
          </w:p>
        </w:tc>
      </w:tr>
      <w:tr w:rsidR="00AF4212" w14:paraId="7D37EB97" w14:textId="77777777" w:rsidTr="00DB0E7D">
        <w:trPr>
          <w:trHeight w:val="290"/>
          <w:jc w:val="center"/>
        </w:trPr>
        <w:tc>
          <w:tcPr>
            <w:tcW w:w="4071"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22F980A" w14:textId="507C5EB2" w:rsidR="00AF4212" w:rsidRDefault="00AF4212">
            <w:pPr>
              <w:rPr>
                <w:rFonts w:ascii="Calibri" w:hAnsi="Calibri"/>
                <w:color w:val="000000"/>
                <w:sz w:val="22"/>
                <w:szCs w:val="22"/>
              </w:rPr>
            </w:pPr>
            <w:r>
              <w:rPr>
                <w:rFonts w:ascii="Calibri" w:hAnsi="Calibri"/>
                <w:color w:val="000000"/>
                <w:sz w:val="22"/>
                <w:szCs w:val="22"/>
              </w:rPr>
              <w:t>100G Un-Protected Channel Termination</w:t>
            </w:r>
            <w:r w:rsidR="0096067C">
              <w:rPr>
                <w:rFonts w:ascii="Calibri" w:hAnsi="Calibri"/>
                <w:color w:val="000000"/>
                <w:sz w:val="22"/>
                <w:szCs w:val="22"/>
              </w:rPr>
              <w:t>s</w:t>
            </w:r>
          </w:p>
        </w:tc>
        <w:tc>
          <w:tcPr>
            <w:tcW w:w="1563" w:type="dxa"/>
            <w:tcBorders>
              <w:top w:val="nil"/>
              <w:left w:val="nil"/>
              <w:bottom w:val="single" w:sz="4" w:space="0" w:color="auto"/>
              <w:right w:val="single" w:sz="4" w:space="0" w:color="auto"/>
            </w:tcBorders>
            <w:shd w:val="clear" w:color="000000" w:fill="FFFFFF"/>
            <w:noWrap/>
            <w:vAlign w:val="bottom"/>
            <w:hideMark/>
          </w:tcPr>
          <w:p w14:paraId="26E8ADB9" w14:textId="77777777" w:rsidR="00AF4212" w:rsidRDefault="00AF4212">
            <w:pPr>
              <w:jc w:val="center"/>
              <w:rPr>
                <w:rFonts w:ascii="Calibri" w:hAnsi="Calibri"/>
                <w:color w:val="000000"/>
                <w:sz w:val="22"/>
                <w:szCs w:val="22"/>
              </w:rPr>
            </w:pPr>
            <w:r>
              <w:rPr>
                <w:rFonts w:ascii="Calibri" w:hAnsi="Calibri"/>
                <w:color w:val="000000"/>
                <w:sz w:val="22"/>
                <w:szCs w:val="22"/>
              </w:rPr>
              <w:t>$11,204</w:t>
            </w:r>
          </w:p>
        </w:tc>
        <w:tc>
          <w:tcPr>
            <w:tcW w:w="1563" w:type="dxa"/>
            <w:tcBorders>
              <w:top w:val="nil"/>
              <w:left w:val="nil"/>
              <w:bottom w:val="single" w:sz="4" w:space="0" w:color="auto"/>
              <w:right w:val="single" w:sz="4" w:space="0" w:color="auto"/>
            </w:tcBorders>
            <w:shd w:val="clear" w:color="000000" w:fill="FFFFFF"/>
            <w:noWrap/>
            <w:vAlign w:val="bottom"/>
            <w:hideMark/>
          </w:tcPr>
          <w:p w14:paraId="475D4FDF" w14:textId="77777777" w:rsidR="00AF4212" w:rsidRDefault="00AF4212">
            <w:pPr>
              <w:jc w:val="center"/>
              <w:rPr>
                <w:rFonts w:ascii="Calibri" w:hAnsi="Calibri"/>
                <w:color w:val="000000"/>
                <w:sz w:val="22"/>
                <w:szCs w:val="22"/>
              </w:rPr>
            </w:pPr>
            <w:r>
              <w:rPr>
                <w:rFonts w:ascii="Calibri" w:hAnsi="Calibri"/>
                <w:color w:val="000000"/>
                <w:sz w:val="22"/>
                <w:szCs w:val="22"/>
              </w:rPr>
              <w:t>$8,970</w:t>
            </w:r>
          </w:p>
        </w:tc>
        <w:tc>
          <w:tcPr>
            <w:tcW w:w="1563" w:type="dxa"/>
            <w:tcBorders>
              <w:top w:val="nil"/>
              <w:left w:val="nil"/>
              <w:bottom w:val="single" w:sz="4" w:space="0" w:color="auto"/>
              <w:right w:val="single" w:sz="4" w:space="0" w:color="auto"/>
            </w:tcBorders>
            <w:shd w:val="clear" w:color="000000" w:fill="FFFFFF"/>
            <w:noWrap/>
            <w:vAlign w:val="bottom"/>
            <w:hideMark/>
          </w:tcPr>
          <w:p w14:paraId="61CE0AA8" w14:textId="77777777" w:rsidR="00AF4212" w:rsidRDefault="00AF4212">
            <w:pPr>
              <w:jc w:val="center"/>
              <w:rPr>
                <w:rFonts w:ascii="Calibri" w:hAnsi="Calibri"/>
                <w:color w:val="000000"/>
                <w:sz w:val="22"/>
                <w:szCs w:val="22"/>
              </w:rPr>
            </w:pPr>
            <w:r>
              <w:rPr>
                <w:rFonts w:ascii="Calibri" w:hAnsi="Calibri"/>
                <w:color w:val="000000"/>
                <w:sz w:val="22"/>
                <w:szCs w:val="22"/>
              </w:rPr>
              <w:t>$7,612</w:t>
            </w:r>
          </w:p>
        </w:tc>
        <w:tc>
          <w:tcPr>
            <w:tcW w:w="1336" w:type="dxa"/>
            <w:tcBorders>
              <w:top w:val="nil"/>
              <w:left w:val="nil"/>
              <w:bottom w:val="single" w:sz="4" w:space="0" w:color="auto"/>
              <w:right w:val="single" w:sz="4" w:space="0" w:color="auto"/>
            </w:tcBorders>
            <w:shd w:val="clear" w:color="000000" w:fill="FFFFFF"/>
            <w:noWrap/>
            <w:vAlign w:val="bottom"/>
            <w:hideMark/>
          </w:tcPr>
          <w:p w14:paraId="387BB768" w14:textId="77777777" w:rsidR="00AF4212" w:rsidRDefault="00AF4212">
            <w:pPr>
              <w:jc w:val="center"/>
              <w:rPr>
                <w:rFonts w:ascii="Calibri" w:hAnsi="Calibri"/>
                <w:color w:val="000000"/>
                <w:sz w:val="22"/>
                <w:szCs w:val="22"/>
              </w:rPr>
            </w:pPr>
            <w:r>
              <w:rPr>
                <w:rFonts w:ascii="Calibri" w:hAnsi="Calibri"/>
                <w:color w:val="000000"/>
                <w:sz w:val="22"/>
                <w:szCs w:val="22"/>
              </w:rPr>
              <w:t>$6,710</w:t>
            </w:r>
          </w:p>
        </w:tc>
      </w:tr>
      <w:tr w:rsidR="00AF4212" w14:paraId="34369B06" w14:textId="77777777" w:rsidTr="00DB0E7D">
        <w:trPr>
          <w:trHeight w:val="290"/>
          <w:jc w:val="center"/>
        </w:trPr>
        <w:tc>
          <w:tcPr>
            <w:tcW w:w="4071"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55605C0" w14:textId="4E49BBB7" w:rsidR="00AF4212" w:rsidRDefault="00AF4212">
            <w:pPr>
              <w:rPr>
                <w:rFonts w:ascii="Calibri" w:hAnsi="Calibri"/>
                <w:color w:val="000000"/>
                <w:sz w:val="22"/>
                <w:szCs w:val="22"/>
              </w:rPr>
            </w:pPr>
            <w:r>
              <w:rPr>
                <w:rFonts w:ascii="Calibri" w:hAnsi="Calibri"/>
                <w:color w:val="000000"/>
                <w:sz w:val="22"/>
                <w:szCs w:val="22"/>
              </w:rPr>
              <w:t>100G Protected Channel Termination</w:t>
            </w:r>
            <w:r w:rsidR="0096067C">
              <w:rPr>
                <w:rFonts w:ascii="Calibri" w:hAnsi="Calibri"/>
                <w:color w:val="000000"/>
                <w:sz w:val="22"/>
                <w:szCs w:val="22"/>
              </w:rPr>
              <w:t>s</w:t>
            </w:r>
          </w:p>
        </w:tc>
        <w:tc>
          <w:tcPr>
            <w:tcW w:w="1563" w:type="dxa"/>
            <w:tcBorders>
              <w:top w:val="nil"/>
              <w:left w:val="nil"/>
              <w:bottom w:val="single" w:sz="4" w:space="0" w:color="auto"/>
              <w:right w:val="single" w:sz="4" w:space="0" w:color="auto"/>
            </w:tcBorders>
            <w:shd w:val="clear" w:color="000000" w:fill="FFFFFF"/>
            <w:noWrap/>
            <w:vAlign w:val="bottom"/>
            <w:hideMark/>
          </w:tcPr>
          <w:p w14:paraId="3027875E" w14:textId="77777777" w:rsidR="00AF4212" w:rsidRDefault="00AF4212">
            <w:pPr>
              <w:jc w:val="center"/>
              <w:rPr>
                <w:rFonts w:ascii="Calibri" w:hAnsi="Calibri"/>
                <w:color w:val="000000"/>
                <w:sz w:val="22"/>
                <w:szCs w:val="22"/>
              </w:rPr>
            </w:pPr>
            <w:r>
              <w:rPr>
                <w:rFonts w:ascii="Calibri" w:hAnsi="Calibri"/>
                <w:color w:val="000000"/>
                <w:sz w:val="22"/>
                <w:szCs w:val="22"/>
              </w:rPr>
              <w:t>$13,215</w:t>
            </w:r>
          </w:p>
        </w:tc>
        <w:tc>
          <w:tcPr>
            <w:tcW w:w="1563" w:type="dxa"/>
            <w:tcBorders>
              <w:top w:val="nil"/>
              <w:left w:val="nil"/>
              <w:bottom w:val="single" w:sz="4" w:space="0" w:color="auto"/>
              <w:right w:val="single" w:sz="4" w:space="0" w:color="auto"/>
            </w:tcBorders>
            <w:shd w:val="clear" w:color="000000" w:fill="FFFFFF"/>
            <w:noWrap/>
            <w:vAlign w:val="bottom"/>
            <w:hideMark/>
          </w:tcPr>
          <w:p w14:paraId="7780FB36" w14:textId="77777777" w:rsidR="00AF4212" w:rsidRDefault="00AF4212">
            <w:pPr>
              <w:jc w:val="center"/>
              <w:rPr>
                <w:rFonts w:ascii="Calibri" w:hAnsi="Calibri"/>
                <w:color w:val="000000"/>
                <w:sz w:val="22"/>
                <w:szCs w:val="22"/>
              </w:rPr>
            </w:pPr>
            <w:r>
              <w:rPr>
                <w:rFonts w:ascii="Calibri" w:hAnsi="Calibri"/>
                <w:color w:val="000000"/>
                <w:sz w:val="22"/>
                <w:szCs w:val="22"/>
              </w:rPr>
              <w:t>$10,580</w:t>
            </w:r>
          </w:p>
        </w:tc>
        <w:tc>
          <w:tcPr>
            <w:tcW w:w="1563" w:type="dxa"/>
            <w:tcBorders>
              <w:top w:val="nil"/>
              <w:left w:val="nil"/>
              <w:bottom w:val="single" w:sz="4" w:space="0" w:color="auto"/>
              <w:right w:val="single" w:sz="4" w:space="0" w:color="auto"/>
            </w:tcBorders>
            <w:shd w:val="clear" w:color="000000" w:fill="FFFFFF"/>
            <w:noWrap/>
            <w:vAlign w:val="bottom"/>
            <w:hideMark/>
          </w:tcPr>
          <w:p w14:paraId="2A322D32" w14:textId="77777777" w:rsidR="00AF4212" w:rsidRDefault="00AF4212">
            <w:pPr>
              <w:jc w:val="center"/>
              <w:rPr>
                <w:rFonts w:ascii="Calibri" w:hAnsi="Calibri"/>
                <w:color w:val="000000"/>
                <w:sz w:val="22"/>
                <w:szCs w:val="22"/>
              </w:rPr>
            </w:pPr>
            <w:r>
              <w:rPr>
                <w:rFonts w:ascii="Calibri" w:hAnsi="Calibri"/>
                <w:color w:val="000000"/>
                <w:sz w:val="22"/>
                <w:szCs w:val="22"/>
              </w:rPr>
              <w:t>$8,979</w:t>
            </w:r>
          </w:p>
        </w:tc>
        <w:tc>
          <w:tcPr>
            <w:tcW w:w="1336" w:type="dxa"/>
            <w:tcBorders>
              <w:top w:val="nil"/>
              <w:left w:val="nil"/>
              <w:bottom w:val="single" w:sz="4" w:space="0" w:color="auto"/>
              <w:right w:val="single" w:sz="4" w:space="0" w:color="auto"/>
            </w:tcBorders>
            <w:shd w:val="clear" w:color="000000" w:fill="FFFFFF"/>
            <w:noWrap/>
            <w:vAlign w:val="bottom"/>
            <w:hideMark/>
          </w:tcPr>
          <w:p w14:paraId="61FCA443" w14:textId="77777777" w:rsidR="00AF4212" w:rsidRDefault="00AF4212">
            <w:pPr>
              <w:jc w:val="center"/>
              <w:rPr>
                <w:rFonts w:ascii="Calibri" w:hAnsi="Calibri"/>
                <w:color w:val="000000"/>
                <w:sz w:val="22"/>
                <w:szCs w:val="22"/>
              </w:rPr>
            </w:pPr>
            <w:r>
              <w:rPr>
                <w:rFonts w:ascii="Calibri" w:hAnsi="Calibri"/>
                <w:color w:val="000000"/>
                <w:sz w:val="22"/>
                <w:szCs w:val="22"/>
              </w:rPr>
              <w:t>$8,075</w:t>
            </w:r>
          </w:p>
        </w:tc>
      </w:tr>
      <w:tr w:rsidR="00AF4212" w14:paraId="2F612C90" w14:textId="77777777" w:rsidTr="00DB0E7D">
        <w:trPr>
          <w:trHeight w:val="290"/>
          <w:jc w:val="center"/>
        </w:trPr>
        <w:tc>
          <w:tcPr>
            <w:tcW w:w="4071"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DE5F23F" w14:textId="7DB32847" w:rsidR="00AF4212" w:rsidRDefault="00AF4212">
            <w:pPr>
              <w:rPr>
                <w:rFonts w:ascii="Calibri" w:hAnsi="Calibri"/>
                <w:color w:val="000000"/>
                <w:sz w:val="22"/>
                <w:szCs w:val="22"/>
              </w:rPr>
            </w:pPr>
            <w:r>
              <w:rPr>
                <w:rFonts w:ascii="Calibri" w:hAnsi="Calibri"/>
                <w:color w:val="000000"/>
                <w:sz w:val="22"/>
                <w:szCs w:val="22"/>
              </w:rPr>
              <w:t>100G Protected Plus Channel Termination</w:t>
            </w:r>
            <w:r w:rsidR="0096067C">
              <w:rPr>
                <w:rFonts w:ascii="Calibri" w:hAnsi="Calibri"/>
                <w:color w:val="000000"/>
                <w:sz w:val="22"/>
                <w:szCs w:val="22"/>
              </w:rPr>
              <w:t>s</w:t>
            </w:r>
          </w:p>
        </w:tc>
        <w:tc>
          <w:tcPr>
            <w:tcW w:w="1563" w:type="dxa"/>
            <w:tcBorders>
              <w:top w:val="nil"/>
              <w:left w:val="nil"/>
              <w:bottom w:val="single" w:sz="4" w:space="0" w:color="auto"/>
              <w:right w:val="single" w:sz="4" w:space="0" w:color="auto"/>
            </w:tcBorders>
            <w:shd w:val="clear" w:color="000000" w:fill="FFFFFF"/>
            <w:noWrap/>
            <w:vAlign w:val="bottom"/>
            <w:hideMark/>
          </w:tcPr>
          <w:p w14:paraId="698B3626" w14:textId="77777777" w:rsidR="00AF4212" w:rsidRDefault="00AF4212">
            <w:pPr>
              <w:jc w:val="center"/>
              <w:rPr>
                <w:rFonts w:ascii="Calibri" w:hAnsi="Calibri"/>
                <w:color w:val="000000"/>
                <w:sz w:val="22"/>
                <w:szCs w:val="22"/>
              </w:rPr>
            </w:pPr>
            <w:r>
              <w:rPr>
                <w:rFonts w:ascii="Calibri" w:hAnsi="Calibri"/>
                <w:color w:val="000000"/>
                <w:sz w:val="22"/>
                <w:szCs w:val="22"/>
              </w:rPr>
              <w:t>$16,088</w:t>
            </w:r>
          </w:p>
        </w:tc>
        <w:tc>
          <w:tcPr>
            <w:tcW w:w="1563" w:type="dxa"/>
            <w:tcBorders>
              <w:top w:val="nil"/>
              <w:left w:val="nil"/>
              <w:bottom w:val="single" w:sz="4" w:space="0" w:color="auto"/>
              <w:right w:val="single" w:sz="4" w:space="0" w:color="auto"/>
            </w:tcBorders>
            <w:shd w:val="clear" w:color="000000" w:fill="FFFFFF"/>
            <w:noWrap/>
            <w:vAlign w:val="bottom"/>
            <w:hideMark/>
          </w:tcPr>
          <w:p w14:paraId="1CA932CA" w14:textId="77777777" w:rsidR="00AF4212" w:rsidRDefault="00AF4212">
            <w:pPr>
              <w:jc w:val="center"/>
              <w:rPr>
                <w:rFonts w:ascii="Calibri" w:hAnsi="Calibri"/>
                <w:color w:val="000000"/>
                <w:sz w:val="22"/>
                <w:szCs w:val="22"/>
              </w:rPr>
            </w:pPr>
            <w:r>
              <w:rPr>
                <w:rFonts w:ascii="Calibri" w:hAnsi="Calibri"/>
                <w:color w:val="000000"/>
                <w:sz w:val="22"/>
                <w:szCs w:val="22"/>
              </w:rPr>
              <w:t>$12,880</w:t>
            </w:r>
          </w:p>
        </w:tc>
        <w:tc>
          <w:tcPr>
            <w:tcW w:w="1563" w:type="dxa"/>
            <w:tcBorders>
              <w:top w:val="nil"/>
              <w:left w:val="nil"/>
              <w:bottom w:val="single" w:sz="4" w:space="0" w:color="auto"/>
              <w:right w:val="single" w:sz="4" w:space="0" w:color="auto"/>
            </w:tcBorders>
            <w:shd w:val="clear" w:color="000000" w:fill="FFFFFF"/>
            <w:noWrap/>
            <w:vAlign w:val="bottom"/>
            <w:hideMark/>
          </w:tcPr>
          <w:p w14:paraId="220E20D6" w14:textId="77777777" w:rsidR="00AF4212" w:rsidRDefault="00AF4212">
            <w:pPr>
              <w:jc w:val="center"/>
              <w:rPr>
                <w:rFonts w:ascii="Calibri" w:hAnsi="Calibri"/>
                <w:color w:val="000000"/>
                <w:sz w:val="22"/>
                <w:szCs w:val="22"/>
              </w:rPr>
            </w:pPr>
            <w:r>
              <w:rPr>
                <w:rFonts w:ascii="Calibri" w:hAnsi="Calibri"/>
                <w:color w:val="000000"/>
                <w:sz w:val="22"/>
                <w:szCs w:val="22"/>
              </w:rPr>
              <w:t>$10,931</w:t>
            </w:r>
          </w:p>
        </w:tc>
        <w:tc>
          <w:tcPr>
            <w:tcW w:w="1336" w:type="dxa"/>
            <w:tcBorders>
              <w:top w:val="nil"/>
              <w:left w:val="nil"/>
              <w:bottom w:val="single" w:sz="4" w:space="0" w:color="auto"/>
              <w:right w:val="single" w:sz="4" w:space="0" w:color="auto"/>
            </w:tcBorders>
            <w:shd w:val="clear" w:color="000000" w:fill="FFFFFF"/>
            <w:noWrap/>
            <w:vAlign w:val="bottom"/>
            <w:hideMark/>
          </w:tcPr>
          <w:p w14:paraId="130E8717" w14:textId="77777777" w:rsidR="00AF4212" w:rsidRDefault="00AF4212">
            <w:pPr>
              <w:jc w:val="center"/>
              <w:rPr>
                <w:rFonts w:ascii="Calibri" w:hAnsi="Calibri"/>
                <w:color w:val="000000"/>
                <w:sz w:val="22"/>
                <w:szCs w:val="22"/>
              </w:rPr>
            </w:pPr>
            <w:r>
              <w:rPr>
                <w:rFonts w:ascii="Calibri" w:hAnsi="Calibri"/>
                <w:color w:val="000000"/>
                <w:sz w:val="22"/>
                <w:szCs w:val="22"/>
              </w:rPr>
              <w:t>$9,831</w:t>
            </w:r>
          </w:p>
        </w:tc>
      </w:tr>
      <w:tr w:rsidR="00AF4212" w14:paraId="546E9158" w14:textId="77777777" w:rsidTr="00DB0E7D">
        <w:trPr>
          <w:trHeight w:val="290"/>
          <w:jc w:val="center"/>
        </w:trPr>
        <w:tc>
          <w:tcPr>
            <w:tcW w:w="10096" w:type="dxa"/>
            <w:gridSpan w:val="6"/>
            <w:tcBorders>
              <w:top w:val="nil"/>
              <w:left w:val="nil"/>
              <w:bottom w:val="nil"/>
              <w:right w:val="nil"/>
            </w:tcBorders>
            <w:shd w:val="clear" w:color="000000" w:fill="000000"/>
            <w:noWrap/>
            <w:vAlign w:val="center"/>
            <w:hideMark/>
          </w:tcPr>
          <w:p w14:paraId="3DF7546C" w14:textId="77777777" w:rsidR="00AF4212" w:rsidRDefault="00AF4212">
            <w:pPr>
              <w:jc w:val="center"/>
              <w:rPr>
                <w:rFonts w:ascii="Calibri" w:hAnsi="Calibri"/>
                <w:color w:val="FFFFFF"/>
                <w:sz w:val="22"/>
                <w:szCs w:val="22"/>
              </w:rPr>
            </w:pPr>
            <w:r>
              <w:rPr>
                <w:rFonts w:ascii="Calibri" w:hAnsi="Calibri"/>
                <w:color w:val="FFFFFF"/>
                <w:sz w:val="22"/>
                <w:szCs w:val="22"/>
              </w:rPr>
              <w:t>Mileage Related (MRCs)</w:t>
            </w:r>
          </w:p>
        </w:tc>
      </w:tr>
      <w:tr w:rsidR="00AF4212" w14:paraId="020271CD" w14:textId="77777777" w:rsidTr="00DB0E7D">
        <w:trPr>
          <w:trHeight w:val="290"/>
          <w:jc w:val="center"/>
        </w:trPr>
        <w:tc>
          <w:tcPr>
            <w:tcW w:w="4071" w:type="dxa"/>
            <w:gridSpan w:val="2"/>
            <w:tcBorders>
              <w:top w:val="single" w:sz="4" w:space="0" w:color="auto"/>
              <w:left w:val="single" w:sz="4" w:space="0" w:color="auto"/>
              <w:bottom w:val="single" w:sz="4" w:space="0" w:color="auto"/>
              <w:right w:val="nil"/>
            </w:tcBorders>
            <w:shd w:val="clear" w:color="000000" w:fill="FFFFFF"/>
            <w:noWrap/>
            <w:vAlign w:val="bottom"/>
            <w:hideMark/>
          </w:tcPr>
          <w:p w14:paraId="30CABC34" w14:textId="77777777" w:rsidR="00AF4212" w:rsidRDefault="00AF4212">
            <w:pPr>
              <w:rPr>
                <w:rFonts w:ascii="Calibri" w:hAnsi="Calibri"/>
                <w:color w:val="000000"/>
                <w:sz w:val="22"/>
                <w:szCs w:val="22"/>
              </w:rPr>
            </w:pPr>
            <w:r>
              <w:rPr>
                <w:rFonts w:ascii="Calibri" w:hAnsi="Calibri"/>
                <w:color w:val="000000"/>
                <w:sz w:val="22"/>
                <w:szCs w:val="22"/>
              </w:rPr>
              <w:t>Interoffice Mileage (per Mile)</w:t>
            </w:r>
          </w:p>
        </w:tc>
        <w:tc>
          <w:tcPr>
            <w:tcW w:w="156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CA2EB8F" w14:textId="77777777" w:rsidR="00AF4212" w:rsidRDefault="00AF4212">
            <w:pPr>
              <w:jc w:val="center"/>
              <w:rPr>
                <w:rFonts w:ascii="Calibri" w:hAnsi="Calibri"/>
                <w:color w:val="000000"/>
                <w:sz w:val="22"/>
                <w:szCs w:val="22"/>
              </w:rPr>
            </w:pPr>
            <w:r>
              <w:rPr>
                <w:rFonts w:ascii="Calibri" w:hAnsi="Calibri"/>
                <w:color w:val="000000"/>
                <w:sz w:val="22"/>
                <w:szCs w:val="22"/>
              </w:rPr>
              <w:t>$0</w:t>
            </w:r>
          </w:p>
        </w:tc>
        <w:tc>
          <w:tcPr>
            <w:tcW w:w="1563" w:type="dxa"/>
            <w:tcBorders>
              <w:top w:val="single" w:sz="4" w:space="0" w:color="auto"/>
              <w:left w:val="nil"/>
              <w:bottom w:val="single" w:sz="4" w:space="0" w:color="auto"/>
              <w:right w:val="single" w:sz="4" w:space="0" w:color="auto"/>
            </w:tcBorders>
            <w:shd w:val="clear" w:color="000000" w:fill="FFFFFF"/>
            <w:noWrap/>
            <w:vAlign w:val="bottom"/>
            <w:hideMark/>
          </w:tcPr>
          <w:p w14:paraId="4133B087" w14:textId="77777777" w:rsidR="00AF4212" w:rsidRDefault="00AF4212">
            <w:pPr>
              <w:jc w:val="center"/>
              <w:rPr>
                <w:rFonts w:ascii="Calibri" w:hAnsi="Calibri"/>
                <w:color w:val="000000"/>
                <w:sz w:val="22"/>
                <w:szCs w:val="22"/>
              </w:rPr>
            </w:pPr>
            <w:r>
              <w:rPr>
                <w:rFonts w:ascii="Calibri" w:hAnsi="Calibri"/>
                <w:color w:val="000000"/>
                <w:sz w:val="22"/>
                <w:szCs w:val="22"/>
              </w:rPr>
              <w:t>$0</w:t>
            </w:r>
          </w:p>
        </w:tc>
        <w:tc>
          <w:tcPr>
            <w:tcW w:w="1563" w:type="dxa"/>
            <w:tcBorders>
              <w:top w:val="single" w:sz="4" w:space="0" w:color="auto"/>
              <w:left w:val="nil"/>
              <w:bottom w:val="single" w:sz="4" w:space="0" w:color="auto"/>
              <w:right w:val="single" w:sz="4" w:space="0" w:color="auto"/>
            </w:tcBorders>
            <w:shd w:val="clear" w:color="000000" w:fill="FFFFFF"/>
            <w:noWrap/>
            <w:vAlign w:val="bottom"/>
            <w:hideMark/>
          </w:tcPr>
          <w:p w14:paraId="77081450" w14:textId="77777777" w:rsidR="00AF4212" w:rsidRDefault="00AF4212">
            <w:pPr>
              <w:jc w:val="center"/>
              <w:rPr>
                <w:rFonts w:ascii="Calibri" w:hAnsi="Calibri"/>
                <w:color w:val="000000"/>
                <w:sz w:val="22"/>
                <w:szCs w:val="22"/>
              </w:rPr>
            </w:pPr>
            <w:r>
              <w:rPr>
                <w:rFonts w:ascii="Calibri" w:hAnsi="Calibri"/>
                <w:color w:val="000000"/>
                <w:sz w:val="22"/>
                <w:szCs w:val="22"/>
              </w:rPr>
              <w:t>$0</w:t>
            </w:r>
          </w:p>
        </w:tc>
        <w:tc>
          <w:tcPr>
            <w:tcW w:w="1336" w:type="dxa"/>
            <w:tcBorders>
              <w:top w:val="single" w:sz="4" w:space="0" w:color="auto"/>
              <w:left w:val="nil"/>
              <w:bottom w:val="single" w:sz="4" w:space="0" w:color="auto"/>
              <w:right w:val="single" w:sz="4" w:space="0" w:color="auto"/>
            </w:tcBorders>
            <w:shd w:val="clear" w:color="000000" w:fill="FFFFFF"/>
            <w:noWrap/>
            <w:vAlign w:val="bottom"/>
            <w:hideMark/>
          </w:tcPr>
          <w:p w14:paraId="0C004923" w14:textId="77777777" w:rsidR="00AF4212" w:rsidRDefault="00AF4212">
            <w:pPr>
              <w:jc w:val="center"/>
              <w:rPr>
                <w:rFonts w:ascii="Calibri" w:hAnsi="Calibri"/>
                <w:color w:val="000000"/>
                <w:sz w:val="22"/>
                <w:szCs w:val="22"/>
              </w:rPr>
            </w:pPr>
            <w:r>
              <w:rPr>
                <w:rFonts w:ascii="Calibri" w:hAnsi="Calibri"/>
                <w:color w:val="000000"/>
                <w:sz w:val="22"/>
                <w:szCs w:val="22"/>
              </w:rPr>
              <w:t>$0</w:t>
            </w:r>
          </w:p>
        </w:tc>
      </w:tr>
      <w:tr w:rsidR="00AF4212" w14:paraId="2E0B9F3C" w14:textId="77777777" w:rsidTr="00DB0E7D">
        <w:trPr>
          <w:trHeight w:val="290"/>
          <w:jc w:val="center"/>
        </w:trPr>
        <w:tc>
          <w:tcPr>
            <w:tcW w:w="4071" w:type="dxa"/>
            <w:gridSpan w:val="2"/>
            <w:tcBorders>
              <w:top w:val="single" w:sz="4" w:space="0" w:color="auto"/>
              <w:left w:val="single" w:sz="4" w:space="0" w:color="auto"/>
              <w:bottom w:val="single" w:sz="4" w:space="0" w:color="auto"/>
              <w:right w:val="nil"/>
            </w:tcBorders>
            <w:shd w:val="clear" w:color="000000" w:fill="FFFFFF"/>
            <w:noWrap/>
            <w:vAlign w:val="bottom"/>
            <w:hideMark/>
          </w:tcPr>
          <w:p w14:paraId="32D46DC9" w14:textId="3AEBFD3A" w:rsidR="00AF4212" w:rsidRDefault="00AF4212" w:rsidP="00A252C2">
            <w:pPr>
              <w:rPr>
                <w:rFonts w:ascii="Calibri" w:hAnsi="Calibri"/>
                <w:color w:val="000000"/>
                <w:sz w:val="22"/>
                <w:szCs w:val="22"/>
              </w:rPr>
            </w:pPr>
            <w:r>
              <w:rPr>
                <w:rFonts w:ascii="Calibri" w:hAnsi="Calibri"/>
                <w:color w:val="000000"/>
                <w:sz w:val="22"/>
                <w:szCs w:val="22"/>
              </w:rPr>
              <w:t>Mileage (Fixed Market Mile)</w:t>
            </w:r>
          </w:p>
        </w:tc>
        <w:tc>
          <w:tcPr>
            <w:tcW w:w="1563" w:type="dxa"/>
            <w:tcBorders>
              <w:top w:val="nil"/>
              <w:left w:val="single" w:sz="4" w:space="0" w:color="auto"/>
              <w:bottom w:val="single" w:sz="4" w:space="0" w:color="auto"/>
              <w:right w:val="single" w:sz="4" w:space="0" w:color="auto"/>
            </w:tcBorders>
            <w:shd w:val="clear" w:color="000000" w:fill="FFFFFF"/>
            <w:noWrap/>
            <w:vAlign w:val="bottom"/>
            <w:hideMark/>
          </w:tcPr>
          <w:p w14:paraId="1A848739" w14:textId="77777777" w:rsidR="00AF4212" w:rsidRDefault="00AF4212">
            <w:pPr>
              <w:jc w:val="center"/>
              <w:rPr>
                <w:rFonts w:ascii="Calibri" w:hAnsi="Calibri"/>
                <w:color w:val="000000"/>
                <w:sz w:val="22"/>
                <w:szCs w:val="22"/>
              </w:rPr>
            </w:pPr>
            <w:r>
              <w:rPr>
                <w:rFonts w:ascii="Calibri" w:hAnsi="Calibri"/>
                <w:color w:val="000000"/>
                <w:sz w:val="22"/>
                <w:szCs w:val="22"/>
              </w:rPr>
              <w:t>$0</w:t>
            </w:r>
          </w:p>
        </w:tc>
        <w:tc>
          <w:tcPr>
            <w:tcW w:w="1563" w:type="dxa"/>
            <w:tcBorders>
              <w:top w:val="nil"/>
              <w:left w:val="nil"/>
              <w:bottom w:val="single" w:sz="4" w:space="0" w:color="auto"/>
              <w:right w:val="single" w:sz="4" w:space="0" w:color="auto"/>
            </w:tcBorders>
            <w:shd w:val="clear" w:color="000000" w:fill="FFFFFF"/>
            <w:noWrap/>
            <w:vAlign w:val="bottom"/>
            <w:hideMark/>
          </w:tcPr>
          <w:p w14:paraId="69445FF5" w14:textId="77777777" w:rsidR="00AF4212" w:rsidRDefault="00AF4212">
            <w:pPr>
              <w:jc w:val="center"/>
              <w:rPr>
                <w:rFonts w:ascii="Calibri" w:hAnsi="Calibri"/>
                <w:color w:val="000000"/>
                <w:sz w:val="22"/>
                <w:szCs w:val="22"/>
              </w:rPr>
            </w:pPr>
            <w:r>
              <w:rPr>
                <w:rFonts w:ascii="Calibri" w:hAnsi="Calibri"/>
                <w:color w:val="000000"/>
                <w:sz w:val="22"/>
                <w:szCs w:val="22"/>
              </w:rPr>
              <w:t>$0</w:t>
            </w:r>
          </w:p>
        </w:tc>
        <w:tc>
          <w:tcPr>
            <w:tcW w:w="1563" w:type="dxa"/>
            <w:tcBorders>
              <w:top w:val="nil"/>
              <w:left w:val="nil"/>
              <w:bottom w:val="single" w:sz="4" w:space="0" w:color="auto"/>
              <w:right w:val="single" w:sz="4" w:space="0" w:color="auto"/>
            </w:tcBorders>
            <w:shd w:val="clear" w:color="000000" w:fill="FFFFFF"/>
            <w:noWrap/>
            <w:vAlign w:val="bottom"/>
            <w:hideMark/>
          </w:tcPr>
          <w:p w14:paraId="7F223A6D" w14:textId="77777777" w:rsidR="00AF4212" w:rsidRDefault="00AF4212">
            <w:pPr>
              <w:jc w:val="center"/>
              <w:rPr>
                <w:rFonts w:ascii="Calibri" w:hAnsi="Calibri"/>
                <w:color w:val="000000"/>
                <w:sz w:val="22"/>
                <w:szCs w:val="22"/>
              </w:rPr>
            </w:pPr>
            <w:r>
              <w:rPr>
                <w:rFonts w:ascii="Calibri" w:hAnsi="Calibri"/>
                <w:color w:val="000000"/>
                <w:sz w:val="22"/>
                <w:szCs w:val="22"/>
              </w:rPr>
              <w:t>$0</w:t>
            </w:r>
          </w:p>
        </w:tc>
        <w:tc>
          <w:tcPr>
            <w:tcW w:w="1336" w:type="dxa"/>
            <w:tcBorders>
              <w:top w:val="nil"/>
              <w:left w:val="nil"/>
              <w:bottom w:val="single" w:sz="4" w:space="0" w:color="auto"/>
              <w:right w:val="single" w:sz="4" w:space="0" w:color="auto"/>
            </w:tcBorders>
            <w:shd w:val="clear" w:color="000000" w:fill="FFFFFF"/>
            <w:noWrap/>
            <w:vAlign w:val="bottom"/>
            <w:hideMark/>
          </w:tcPr>
          <w:p w14:paraId="5F287489" w14:textId="77777777" w:rsidR="00AF4212" w:rsidRDefault="00AF4212">
            <w:pPr>
              <w:jc w:val="center"/>
              <w:rPr>
                <w:rFonts w:ascii="Calibri" w:hAnsi="Calibri"/>
                <w:color w:val="000000"/>
                <w:sz w:val="22"/>
                <w:szCs w:val="22"/>
              </w:rPr>
            </w:pPr>
            <w:r>
              <w:rPr>
                <w:rFonts w:ascii="Calibri" w:hAnsi="Calibri"/>
                <w:color w:val="000000"/>
                <w:sz w:val="22"/>
                <w:szCs w:val="22"/>
              </w:rPr>
              <w:t>$0</w:t>
            </w:r>
          </w:p>
        </w:tc>
      </w:tr>
      <w:tr w:rsidR="00AF4212" w14:paraId="0BFA16F8" w14:textId="77777777" w:rsidTr="00DB0E7D">
        <w:trPr>
          <w:trHeight w:val="290"/>
          <w:jc w:val="center"/>
        </w:trPr>
        <w:tc>
          <w:tcPr>
            <w:tcW w:w="10096" w:type="dxa"/>
            <w:gridSpan w:val="6"/>
            <w:tcBorders>
              <w:top w:val="nil"/>
              <w:left w:val="nil"/>
              <w:bottom w:val="nil"/>
              <w:right w:val="nil"/>
            </w:tcBorders>
            <w:shd w:val="clear" w:color="000000" w:fill="000000"/>
            <w:noWrap/>
            <w:vAlign w:val="center"/>
            <w:hideMark/>
          </w:tcPr>
          <w:p w14:paraId="0EE8971E" w14:textId="77777777" w:rsidR="00AF4212" w:rsidRDefault="00AF4212">
            <w:pPr>
              <w:jc w:val="center"/>
              <w:rPr>
                <w:rFonts w:ascii="Calibri" w:hAnsi="Calibri"/>
                <w:color w:val="FFFFFF"/>
                <w:sz w:val="22"/>
                <w:szCs w:val="22"/>
              </w:rPr>
            </w:pPr>
            <w:r>
              <w:rPr>
                <w:rFonts w:ascii="Calibri" w:hAnsi="Calibri"/>
                <w:color w:val="FFFFFF"/>
                <w:sz w:val="22"/>
                <w:szCs w:val="22"/>
              </w:rPr>
              <w:t>Additional Miscellaneous</w:t>
            </w:r>
          </w:p>
        </w:tc>
      </w:tr>
      <w:tr w:rsidR="00AF4212" w14:paraId="7F5C6A63" w14:textId="77777777" w:rsidTr="00DB0E7D">
        <w:trPr>
          <w:trHeight w:val="290"/>
          <w:jc w:val="center"/>
        </w:trPr>
        <w:tc>
          <w:tcPr>
            <w:tcW w:w="4071" w:type="dxa"/>
            <w:gridSpan w:val="2"/>
            <w:tcBorders>
              <w:top w:val="single" w:sz="4" w:space="0" w:color="auto"/>
              <w:left w:val="single" w:sz="4" w:space="0" w:color="auto"/>
              <w:bottom w:val="single" w:sz="4" w:space="0" w:color="auto"/>
              <w:right w:val="nil"/>
            </w:tcBorders>
            <w:shd w:val="clear" w:color="000000" w:fill="FFFFFF"/>
            <w:noWrap/>
            <w:vAlign w:val="bottom"/>
            <w:hideMark/>
          </w:tcPr>
          <w:p w14:paraId="144FDCFF" w14:textId="77777777" w:rsidR="00AF4212" w:rsidRDefault="00AF4212">
            <w:pPr>
              <w:rPr>
                <w:rFonts w:ascii="Calibri" w:hAnsi="Calibri"/>
                <w:color w:val="000000"/>
                <w:sz w:val="22"/>
                <w:szCs w:val="22"/>
              </w:rPr>
            </w:pPr>
            <w:r>
              <w:rPr>
                <w:rFonts w:ascii="Calibri" w:hAnsi="Calibri"/>
                <w:color w:val="000000"/>
                <w:sz w:val="22"/>
                <w:szCs w:val="22"/>
              </w:rPr>
              <w:t>One Time NRC</w:t>
            </w:r>
          </w:p>
        </w:tc>
        <w:tc>
          <w:tcPr>
            <w:tcW w:w="156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6DDDF41" w14:textId="77777777" w:rsidR="00AF4212" w:rsidRDefault="00AF4212">
            <w:pPr>
              <w:jc w:val="center"/>
              <w:rPr>
                <w:rFonts w:ascii="Calibri" w:hAnsi="Calibri"/>
                <w:color w:val="000000"/>
                <w:sz w:val="22"/>
                <w:szCs w:val="22"/>
              </w:rPr>
            </w:pPr>
            <w:r>
              <w:rPr>
                <w:rFonts w:ascii="Calibri" w:hAnsi="Calibri"/>
                <w:color w:val="000000"/>
                <w:sz w:val="22"/>
                <w:szCs w:val="22"/>
              </w:rPr>
              <w:t>$3,500</w:t>
            </w:r>
          </w:p>
        </w:tc>
        <w:tc>
          <w:tcPr>
            <w:tcW w:w="1563" w:type="dxa"/>
            <w:tcBorders>
              <w:top w:val="single" w:sz="4" w:space="0" w:color="auto"/>
              <w:left w:val="nil"/>
              <w:bottom w:val="single" w:sz="4" w:space="0" w:color="auto"/>
              <w:right w:val="single" w:sz="4" w:space="0" w:color="auto"/>
            </w:tcBorders>
            <w:shd w:val="clear" w:color="000000" w:fill="FFFFFF"/>
            <w:noWrap/>
            <w:vAlign w:val="bottom"/>
            <w:hideMark/>
          </w:tcPr>
          <w:p w14:paraId="18CA986F" w14:textId="77777777" w:rsidR="00AF4212" w:rsidRDefault="00AF4212">
            <w:pPr>
              <w:jc w:val="center"/>
              <w:rPr>
                <w:rFonts w:ascii="Calibri" w:hAnsi="Calibri"/>
                <w:color w:val="000000"/>
                <w:sz w:val="22"/>
                <w:szCs w:val="22"/>
              </w:rPr>
            </w:pPr>
            <w:r>
              <w:rPr>
                <w:rFonts w:ascii="Calibri" w:hAnsi="Calibri"/>
                <w:color w:val="000000"/>
                <w:sz w:val="22"/>
                <w:szCs w:val="22"/>
              </w:rPr>
              <w:t>$3,500</w:t>
            </w:r>
          </w:p>
        </w:tc>
        <w:tc>
          <w:tcPr>
            <w:tcW w:w="1563" w:type="dxa"/>
            <w:tcBorders>
              <w:top w:val="single" w:sz="4" w:space="0" w:color="auto"/>
              <w:left w:val="nil"/>
              <w:bottom w:val="single" w:sz="4" w:space="0" w:color="auto"/>
              <w:right w:val="single" w:sz="4" w:space="0" w:color="auto"/>
            </w:tcBorders>
            <w:shd w:val="clear" w:color="000000" w:fill="FFFFFF"/>
            <w:noWrap/>
            <w:vAlign w:val="bottom"/>
            <w:hideMark/>
          </w:tcPr>
          <w:p w14:paraId="2F46894E" w14:textId="77777777" w:rsidR="00AF4212" w:rsidRDefault="00AF4212">
            <w:pPr>
              <w:jc w:val="center"/>
              <w:rPr>
                <w:rFonts w:ascii="Calibri" w:hAnsi="Calibri"/>
                <w:color w:val="000000"/>
                <w:sz w:val="22"/>
                <w:szCs w:val="22"/>
              </w:rPr>
            </w:pPr>
            <w:r>
              <w:rPr>
                <w:rFonts w:ascii="Calibri" w:hAnsi="Calibri"/>
                <w:color w:val="000000"/>
                <w:sz w:val="22"/>
                <w:szCs w:val="22"/>
              </w:rPr>
              <w:t>$3,500</w:t>
            </w:r>
          </w:p>
        </w:tc>
        <w:tc>
          <w:tcPr>
            <w:tcW w:w="1336" w:type="dxa"/>
            <w:tcBorders>
              <w:top w:val="single" w:sz="4" w:space="0" w:color="auto"/>
              <w:left w:val="nil"/>
              <w:bottom w:val="single" w:sz="4" w:space="0" w:color="auto"/>
              <w:right w:val="single" w:sz="4" w:space="0" w:color="auto"/>
            </w:tcBorders>
            <w:shd w:val="clear" w:color="000000" w:fill="FFFFFF"/>
            <w:noWrap/>
            <w:vAlign w:val="bottom"/>
            <w:hideMark/>
          </w:tcPr>
          <w:p w14:paraId="400E4AE8" w14:textId="77777777" w:rsidR="00AF4212" w:rsidRDefault="00AF4212">
            <w:pPr>
              <w:jc w:val="center"/>
              <w:rPr>
                <w:rFonts w:ascii="Calibri" w:hAnsi="Calibri"/>
                <w:color w:val="000000"/>
                <w:sz w:val="22"/>
                <w:szCs w:val="22"/>
              </w:rPr>
            </w:pPr>
            <w:r>
              <w:rPr>
                <w:rFonts w:ascii="Calibri" w:hAnsi="Calibri"/>
                <w:color w:val="000000"/>
                <w:sz w:val="22"/>
                <w:szCs w:val="22"/>
              </w:rPr>
              <w:t>$3,500</w:t>
            </w:r>
          </w:p>
        </w:tc>
      </w:tr>
      <w:tr w:rsidR="00AF4212" w14:paraId="4B9167FF" w14:textId="77777777" w:rsidTr="00DB0E7D">
        <w:trPr>
          <w:trHeight w:val="290"/>
          <w:jc w:val="center"/>
        </w:trPr>
        <w:tc>
          <w:tcPr>
            <w:tcW w:w="3033" w:type="dxa"/>
            <w:tcBorders>
              <w:top w:val="nil"/>
              <w:left w:val="single" w:sz="4" w:space="0" w:color="auto"/>
              <w:bottom w:val="single" w:sz="4" w:space="0" w:color="auto"/>
              <w:right w:val="nil"/>
            </w:tcBorders>
            <w:shd w:val="clear" w:color="000000" w:fill="FFFFFF"/>
            <w:noWrap/>
            <w:vAlign w:val="bottom"/>
            <w:hideMark/>
          </w:tcPr>
          <w:p w14:paraId="176A5C71" w14:textId="77777777" w:rsidR="00AF4212" w:rsidRDefault="00AF4212">
            <w:pPr>
              <w:rPr>
                <w:rFonts w:ascii="Calibri" w:hAnsi="Calibri"/>
                <w:color w:val="000000"/>
                <w:sz w:val="22"/>
                <w:szCs w:val="22"/>
              </w:rPr>
            </w:pPr>
            <w:r>
              <w:rPr>
                <w:rFonts w:ascii="Calibri" w:hAnsi="Calibri"/>
                <w:color w:val="000000"/>
                <w:sz w:val="22"/>
                <w:szCs w:val="22"/>
              </w:rPr>
              <w:t>Expedite</w:t>
            </w:r>
          </w:p>
        </w:tc>
        <w:tc>
          <w:tcPr>
            <w:tcW w:w="1038" w:type="dxa"/>
            <w:tcBorders>
              <w:top w:val="nil"/>
              <w:left w:val="nil"/>
              <w:bottom w:val="single" w:sz="4" w:space="0" w:color="auto"/>
              <w:right w:val="nil"/>
            </w:tcBorders>
            <w:shd w:val="clear" w:color="000000" w:fill="FFFFFF"/>
            <w:noWrap/>
            <w:vAlign w:val="bottom"/>
            <w:hideMark/>
          </w:tcPr>
          <w:p w14:paraId="666913EB" w14:textId="77777777" w:rsidR="00AF4212" w:rsidRDefault="00AF4212">
            <w:pPr>
              <w:rPr>
                <w:rFonts w:ascii="Calibri" w:hAnsi="Calibri"/>
                <w:color w:val="000000"/>
                <w:sz w:val="22"/>
                <w:szCs w:val="22"/>
              </w:rPr>
            </w:pPr>
            <w:r>
              <w:rPr>
                <w:rFonts w:ascii="Calibri" w:hAnsi="Calibri"/>
                <w:color w:val="000000"/>
                <w:sz w:val="22"/>
                <w:szCs w:val="22"/>
              </w:rPr>
              <w:t> </w:t>
            </w:r>
          </w:p>
        </w:tc>
        <w:tc>
          <w:tcPr>
            <w:tcW w:w="6025" w:type="dxa"/>
            <w:gridSpan w:val="4"/>
            <w:tcBorders>
              <w:top w:val="single" w:sz="4" w:space="0" w:color="auto"/>
              <w:left w:val="nil"/>
              <w:bottom w:val="single" w:sz="4" w:space="0" w:color="auto"/>
              <w:right w:val="single" w:sz="4" w:space="0" w:color="000000"/>
            </w:tcBorders>
            <w:shd w:val="clear" w:color="000000" w:fill="FFFFFF"/>
            <w:noWrap/>
            <w:vAlign w:val="bottom"/>
            <w:hideMark/>
          </w:tcPr>
          <w:p w14:paraId="682E1967" w14:textId="77777777" w:rsidR="00AF4212" w:rsidRDefault="00AF4212">
            <w:pPr>
              <w:rPr>
                <w:rFonts w:ascii="Calibri" w:hAnsi="Calibri"/>
                <w:color w:val="000000"/>
                <w:sz w:val="22"/>
                <w:szCs w:val="22"/>
              </w:rPr>
            </w:pPr>
            <w:r>
              <w:rPr>
                <w:rFonts w:ascii="Calibri" w:hAnsi="Calibri"/>
                <w:color w:val="000000"/>
                <w:sz w:val="22"/>
                <w:szCs w:val="22"/>
              </w:rPr>
              <w:t>$450 per day the due date is improved - outside of FOC date communicated</w:t>
            </w:r>
          </w:p>
        </w:tc>
      </w:tr>
      <w:tr w:rsidR="00AF4212" w14:paraId="56CE5D3F" w14:textId="77777777" w:rsidTr="00DB0E7D">
        <w:trPr>
          <w:trHeight w:val="290"/>
          <w:jc w:val="center"/>
        </w:trPr>
        <w:tc>
          <w:tcPr>
            <w:tcW w:w="4071" w:type="dxa"/>
            <w:gridSpan w:val="2"/>
            <w:tcBorders>
              <w:top w:val="single" w:sz="4" w:space="0" w:color="auto"/>
              <w:left w:val="single" w:sz="4" w:space="0" w:color="auto"/>
              <w:bottom w:val="single" w:sz="4" w:space="0" w:color="auto"/>
              <w:right w:val="nil"/>
            </w:tcBorders>
            <w:shd w:val="clear" w:color="000000" w:fill="FFFFFF"/>
            <w:noWrap/>
            <w:vAlign w:val="bottom"/>
            <w:hideMark/>
          </w:tcPr>
          <w:p w14:paraId="244F8AD7" w14:textId="77777777" w:rsidR="00AF4212" w:rsidRDefault="00AF4212">
            <w:pPr>
              <w:rPr>
                <w:rFonts w:ascii="Calibri" w:hAnsi="Calibri"/>
                <w:color w:val="000000"/>
                <w:sz w:val="22"/>
                <w:szCs w:val="22"/>
              </w:rPr>
            </w:pPr>
            <w:r>
              <w:rPr>
                <w:rFonts w:ascii="Calibri" w:hAnsi="Calibri"/>
                <w:color w:val="000000"/>
                <w:sz w:val="22"/>
                <w:szCs w:val="22"/>
              </w:rPr>
              <w:t>Supplications</w:t>
            </w:r>
          </w:p>
        </w:tc>
        <w:tc>
          <w:tcPr>
            <w:tcW w:w="6025" w:type="dxa"/>
            <w:gridSpan w:val="4"/>
            <w:tcBorders>
              <w:top w:val="single" w:sz="4" w:space="0" w:color="auto"/>
              <w:left w:val="nil"/>
              <w:bottom w:val="single" w:sz="4" w:space="0" w:color="auto"/>
              <w:right w:val="single" w:sz="4" w:space="0" w:color="000000"/>
            </w:tcBorders>
            <w:shd w:val="clear" w:color="000000" w:fill="FFFFFF"/>
            <w:noWrap/>
            <w:vAlign w:val="bottom"/>
            <w:hideMark/>
          </w:tcPr>
          <w:p w14:paraId="1A8E0E7C" w14:textId="77777777" w:rsidR="00AF4212" w:rsidRDefault="00AF4212">
            <w:pPr>
              <w:rPr>
                <w:rFonts w:ascii="Calibri" w:hAnsi="Calibri"/>
                <w:color w:val="000000"/>
                <w:sz w:val="22"/>
                <w:szCs w:val="22"/>
              </w:rPr>
            </w:pPr>
            <w:r>
              <w:rPr>
                <w:rFonts w:ascii="Calibri" w:hAnsi="Calibri"/>
                <w:color w:val="000000"/>
                <w:sz w:val="22"/>
                <w:szCs w:val="22"/>
              </w:rPr>
              <w:t>$75 per each supplication into the Carrier Center</w:t>
            </w:r>
          </w:p>
        </w:tc>
      </w:tr>
    </w:tbl>
    <w:p w14:paraId="78FF38CF" w14:textId="77777777" w:rsidR="002823DD" w:rsidRDefault="002823DD" w:rsidP="008F0E7A">
      <w:pPr>
        <w:spacing w:after="120"/>
        <w:jc w:val="center"/>
        <w:rPr>
          <w:rFonts w:ascii="Arial" w:hAnsi="Arial" w:cs="Arial"/>
          <w:b/>
        </w:rPr>
        <w:sectPr w:rsidR="002823DD" w:rsidSect="00AA422E">
          <w:footnotePr>
            <w:numRestart w:val="eachSect"/>
          </w:footnotePr>
          <w:pgSz w:w="12240" w:h="15840" w:code="1"/>
          <w:pgMar w:top="720" w:right="720" w:bottom="720" w:left="720" w:header="432" w:footer="432" w:gutter="0"/>
          <w:cols w:space="720"/>
          <w:formProt w:val="0"/>
          <w:docGrid w:linePitch="272"/>
        </w:sectPr>
      </w:pPr>
    </w:p>
    <w:p w14:paraId="01AC51DB" w14:textId="481216BD" w:rsidR="008F0E7A" w:rsidRPr="00952777" w:rsidRDefault="008F0E7A" w:rsidP="008F0E7A">
      <w:pPr>
        <w:spacing w:after="120"/>
        <w:jc w:val="center"/>
        <w:rPr>
          <w:rFonts w:ascii="Arial" w:hAnsi="Arial" w:cs="Arial"/>
          <w:b/>
        </w:rPr>
      </w:pPr>
      <w:r>
        <w:rPr>
          <w:rFonts w:ascii="Arial" w:hAnsi="Arial" w:cs="Arial"/>
          <w:b/>
        </w:rPr>
        <w:lastRenderedPageBreak/>
        <w:t>Exhibit C</w:t>
      </w:r>
    </w:p>
    <w:p w14:paraId="343D0BA2" w14:textId="0E963E6A" w:rsidR="008F0E7A" w:rsidRDefault="008F0E7A" w:rsidP="008F0E7A">
      <w:pPr>
        <w:spacing w:after="120"/>
        <w:jc w:val="center"/>
        <w:rPr>
          <w:rFonts w:ascii="Arial" w:hAnsi="Arial" w:cs="Arial"/>
          <w:b/>
        </w:rPr>
      </w:pPr>
      <w:r w:rsidRPr="00C57AD5">
        <w:rPr>
          <w:rFonts w:ascii="Arial" w:hAnsi="Arial" w:cs="Arial"/>
          <w:b/>
        </w:rPr>
        <w:t xml:space="preserve">FRONTIER COMMUNICATIONS </w:t>
      </w:r>
      <w:r>
        <w:rPr>
          <w:rFonts w:ascii="Arial" w:hAnsi="Arial" w:cs="Arial"/>
          <w:b/>
        </w:rPr>
        <w:t>OPTICAL TRANSPORT SERVICE BUILDING LIST</w:t>
      </w:r>
      <w:bookmarkStart w:id="1" w:name="_Hlk14785946"/>
      <w:r w:rsidR="002823DD">
        <w:rPr>
          <w:rStyle w:val="FootnoteReference"/>
          <w:rFonts w:ascii="Arial" w:hAnsi="Arial" w:cs="Arial"/>
          <w:b/>
        </w:rPr>
        <w:footnoteReference w:id="4"/>
      </w:r>
      <w:bookmarkEnd w:id="1"/>
      <w:r w:rsidR="002823DD">
        <w:rPr>
          <w:rStyle w:val="FootnoteReference"/>
          <w:rFonts w:ascii="Arial" w:hAnsi="Arial" w:cs="Arial"/>
          <w:b/>
        </w:rPr>
        <w:footnoteReference w:id="5"/>
      </w:r>
    </w:p>
    <w:p w14:paraId="34E52F8A" w14:textId="047C3232" w:rsidR="00605FE3" w:rsidRDefault="00605FE3" w:rsidP="008F0E7A">
      <w:pPr>
        <w:spacing w:after="120"/>
        <w:jc w:val="center"/>
        <w:rPr>
          <w:rFonts w:ascii="Arial" w:hAnsi="Arial" w:cs="Arial"/>
          <w:b/>
        </w:rPr>
      </w:pPr>
    </w:p>
    <w:p w14:paraId="2B9E5952" w14:textId="4D318AF5" w:rsidR="00605FE3" w:rsidRPr="00C57AD5" w:rsidRDefault="00605FE3" w:rsidP="008F0E7A">
      <w:pPr>
        <w:spacing w:after="120"/>
        <w:jc w:val="center"/>
        <w:rPr>
          <w:rFonts w:ascii="Arial" w:hAnsi="Arial" w:cs="Arial"/>
          <w:b/>
        </w:rPr>
      </w:pPr>
    </w:p>
    <w:p w14:paraId="6A9E9481" w14:textId="09297664" w:rsidR="008F0E7A" w:rsidRDefault="001E3822" w:rsidP="008F0E7A">
      <w:pPr>
        <w:spacing w:after="120"/>
        <w:jc w:val="center"/>
        <w:rPr>
          <w:rFonts w:ascii="Arial" w:hAnsi="Arial" w:cs="Arial"/>
          <w:sz w:val="20"/>
          <w:szCs w:val="20"/>
        </w:rPr>
      </w:pPr>
      <w:r>
        <w:rPr>
          <w:rFonts w:ascii="Arial" w:hAnsi="Arial" w:cs="Arial"/>
          <w:sz w:val="20"/>
          <w:szCs w:val="20"/>
        </w:rPr>
        <w:object w:dxaOrig="1536" w:dyaOrig="993" w14:anchorId="696CA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2" o:title=""/>
          </v:shape>
          <o:OLEObject Type="Embed" ProgID="Excel.Sheet.12" ShapeID="_x0000_i1025" DrawAspect="Icon" ObjectID="_1691476366" r:id="rId23"/>
        </w:object>
      </w:r>
    </w:p>
    <w:p w14:paraId="5A0A56E1" w14:textId="77777777" w:rsidR="00E10F81" w:rsidRDefault="00E10F81" w:rsidP="008933BF">
      <w:pPr>
        <w:rPr>
          <w:rFonts w:ascii="Arial" w:hAnsi="Arial" w:cs="Arial"/>
          <w:sz w:val="20"/>
          <w:szCs w:val="20"/>
        </w:rPr>
        <w:sectPr w:rsidR="00E10F81" w:rsidSect="002823DD">
          <w:footnotePr>
            <w:numRestart w:val="eachSect"/>
          </w:footnotePr>
          <w:pgSz w:w="12240" w:h="15840" w:code="1"/>
          <w:pgMar w:top="720" w:right="720" w:bottom="720" w:left="720" w:header="432" w:footer="432" w:gutter="0"/>
          <w:cols w:space="720"/>
          <w:docGrid w:linePitch="272"/>
        </w:sectPr>
      </w:pPr>
    </w:p>
    <w:p w14:paraId="654B6E9D" w14:textId="77777777" w:rsidR="00E10F81" w:rsidRDefault="00E10F81" w:rsidP="008933BF">
      <w:pPr>
        <w:rPr>
          <w:rFonts w:ascii="Arial" w:hAnsi="Arial" w:cs="Arial"/>
          <w:sz w:val="20"/>
          <w:szCs w:val="20"/>
        </w:rPr>
        <w:sectPr w:rsidR="00E10F81" w:rsidSect="00E10F81">
          <w:footnotePr>
            <w:numRestart w:val="eachSect"/>
          </w:footnotePr>
          <w:type w:val="continuous"/>
          <w:pgSz w:w="12240" w:h="15840" w:code="1"/>
          <w:pgMar w:top="720" w:right="720" w:bottom="720" w:left="720" w:header="432" w:footer="432" w:gutter="0"/>
          <w:cols w:space="720"/>
          <w:docGrid w:linePitch="272"/>
        </w:sectPr>
      </w:pPr>
    </w:p>
    <w:p w14:paraId="3AE9891B" w14:textId="59B3E455" w:rsidR="00013CB8" w:rsidRPr="00DE59C9" w:rsidRDefault="00013CB8" w:rsidP="008933BF">
      <w:pPr>
        <w:rPr>
          <w:rFonts w:ascii="Arial" w:hAnsi="Arial" w:cs="Arial"/>
          <w:sz w:val="20"/>
          <w:szCs w:val="20"/>
        </w:rPr>
      </w:pPr>
    </w:p>
    <w:sectPr w:rsidR="00013CB8" w:rsidRPr="00DE59C9" w:rsidSect="00E10F81">
      <w:footnotePr>
        <w:numRestart w:val="eachSect"/>
      </w:footnotePr>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C1435" w14:textId="77777777" w:rsidR="00832230" w:rsidRDefault="00832230" w:rsidP="00DD4D30">
      <w:r>
        <w:separator/>
      </w:r>
    </w:p>
  </w:endnote>
  <w:endnote w:type="continuationSeparator" w:id="0">
    <w:p w14:paraId="3A338A82" w14:textId="77777777" w:rsidR="00832230" w:rsidRDefault="00832230" w:rsidP="00DD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A9F99" w14:textId="77777777" w:rsidR="008D2264" w:rsidRDefault="008D2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3552B" w14:textId="3AF8B48A" w:rsidR="00605FE3" w:rsidRPr="00D65A48" w:rsidRDefault="00605FE3">
    <w:pPr>
      <w:pStyle w:val="Footer"/>
      <w:rPr>
        <w:rFonts w:ascii="Arial" w:hAnsi="Arial" w:cs="Arial"/>
        <w:sz w:val="16"/>
        <w:szCs w:val="16"/>
      </w:rPr>
    </w:pPr>
    <w:r w:rsidRPr="00D65A48">
      <w:rPr>
        <w:rFonts w:ascii="Arial" w:hAnsi="Arial" w:cs="Arial"/>
        <w:sz w:val="16"/>
        <w:szCs w:val="16"/>
      </w:rPr>
      <w:t>FOTS v</w:t>
    </w:r>
    <w:r w:rsidR="00A36CDB">
      <w:rPr>
        <w:rFonts w:ascii="Arial" w:hAnsi="Arial" w:cs="Arial"/>
        <w:sz w:val="16"/>
        <w:szCs w:val="16"/>
      </w:rPr>
      <w:t>4</w:t>
    </w:r>
    <w:r>
      <w:rPr>
        <w:rFonts w:ascii="Arial" w:hAnsi="Arial" w:cs="Arial"/>
        <w:sz w:val="16"/>
        <w:szCs w:val="16"/>
      </w:rPr>
      <w:t xml:space="preserve"> </w:t>
    </w:r>
    <w:r w:rsidR="00A36CDB">
      <w:rPr>
        <w:rFonts w:ascii="Arial" w:hAnsi="Arial" w:cs="Arial"/>
        <w:sz w:val="16"/>
        <w:szCs w:val="16"/>
      </w:rPr>
      <w:t>092920</w:t>
    </w:r>
    <w:r w:rsidRPr="00D65A48">
      <w:rPr>
        <w:rFonts w:ascii="Arial" w:hAnsi="Arial" w:cs="Arial"/>
        <w:sz w:val="16"/>
        <w:szCs w:val="16"/>
      </w:rPr>
      <w:ptab w:relativeTo="margin" w:alignment="center" w:leader="none"/>
    </w:r>
    <w:r w:rsidRPr="00D65A48">
      <w:rPr>
        <w:rFonts w:ascii="Arial" w:hAnsi="Arial" w:cs="Arial"/>
        <w:sz w:val="16"/>
        <w:szCs w:val="16"/>
      </w:rPr>
      <w:ptab w:relativeTo="margin" w:alignment="right" w:leader="none"/>
    </w:r>
    <w:r w:rsidRPr="00D65A48">
      <w:rPr>
        <w:rFonts w:ascii="Arial" w:hAnsi="Arial" w:cs="Arial"/>
        <w:sz w:val="16"/>
        <w:szCs w:val="16"/>
      </w:rPr>
      <w:fldChar w:fldCharType="begin"/>
    </w:r>
    <w:r w:rsidRPr="00D65A48">
      <w:rPr>
        <w:rFonts w:ascii="Arial" w:hAnsi="Arial" w:cs="Arial"/>
        <w:sz w:val="16"/>
        <w:szCs w:val="16"/>
      </w:rPr>
      <w:instrText xml:space="preserve"> PAGE   \* MERGEFORMAT </w:instrText>
    </w:r>
    <w:r w:rsidRPr="00D65A48">
      <w:rPr>
        <w:rFonts w:ascii="Arial" w:hAnsi="Arial" w:cs="Arial"/>
        <w:sz w:val="16"/>
        <w:szCs w:val="16"/>
      </w:rPr>
      <w:fldChar w:fldCharType="separate"/>
    </w:r>
    <w:r>
      <w:rPr>
        <w:rFonts w:ascii="Arial" w:hAnsi="Arial" w:cs="Arial"/>
        <w:noProof/>
        <w:sz w:val="16"/>
        <w:szCs w:val="16"/>
      </w:rPr>
      <w:t>17</w:t>
    </w:r>
    <w:r w:rsidRPr="00D65A48">
      <w:rPr>
        <w:rFonts w:ascii="Arial" w:hAnsi="Arial" w:cs="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2BF87" w14:textId="77777777" w:rsidR="008D2264" w:rsidRDefault="008D2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894DF" w14:textId="77777777" w:rsidR="00832230" w:rsidRDefault="00832230" w:rsidP="00DD4D30">
      <w:r>
        <w:separator/>
      </w:r>
    </w:p>
  </w:footnote>
  <w:footnote w:type="continuationSeparator" w:id="0">
    <w:p w14:paraId="1F40A733" w14:textId="77777777" w:rsidR="00832230" w:rsidRDefault="00832230" w:rsidP="00DD4D30">
      <w:r>
        <w:continuationSeparator/>
      </w:r>
    </w:p>
  </w:footnote>
  <w:footnote w:id="1">
    <w:p w14:paraId="13C33E5D" w14:textId="35CB92B2" w:rsidR="00605FE3" w:rsidRPr="00F33849" w:rsidRDefault="00605FE3" w:rsidP="00F33849">
      <w:pPr>
        <w:pStyle w:val="FootnoteText"/>
        <w:rPr>
          <w:rFonts w:ascii="Arial" w:hAnsi="Arial" w:cs="Arial"/>
          <w:sz w:val="16"/>
          <w:szCs w:val="16"/>
        </w:rPr>
      </w:pPr>
      <w:r w:rsidRPr="00F33849">
        <w:rPr>
          <w:rStyle w:val="FootnoteReference"/>
          <w:rFonts w:ascii="Arial" w:hAnsi="Arial" w:cs="Arial"/>
          <w:sz w:val="16"/>
          <w:szCs w:val="16"/>
        </w:rPr>
        <w:footnoteRef/>
      </w:r>
      <w:r w:rsidRPr="00F33849">
        <w:rPr>
          <w:rFonts w:ascii="Arial" w:hAnsi="Arial" w:cs="Arial"/>
          <w:sz w:val="16"/>
          <w:szCs w:val="16"/>
        </w:rPr>
        <w:t xml:space="preserve"> intraLATA/</w:t>
      </w:r>
      <w:r w:rsidRPr="00F33849">
        <w:rPr>
          <w:rFonts w:ascii="Arial" w:hAnsi="Arial" w:cs="Arial"/>
          <w:i/>
          <w:sz w:val="16"/>
          <w:szCs w:val="16"/>
        </w:rPr>
        <w:t>inter</w:t>
      </w:r>
      <w:r w:rsidRPr="00F33849">
        <w:rPr>
          <w:rFonts w:ascii="Arial" w:hAnsi="Arial" w:cs="Arial"/>
          <w:sz w:val="16"/>
          <w:szCs w:val="16"/>
        </w:rPr>
        <w:t>state exceptions include LATA 644 (IA/NE), 938 (IL/IN)</w:t>
      </w:r>
      <w:r>
        <w:rPr>
          <w:rFonts w:ascii="Arial" w:hAnsi="Arial" w:cs="Arial"/>
          <w:sz w:val="16"/>
          <w:szCs w:val="16"/>
        </w:rPr>
        <w:t>.</w:t>
      </w:r>
    </w:p>
  </w:footnote>
  <w:footnote w:id="2">
    <w:p w14:paraId="3AE98934" w14:textId="77777777" w:rsidR="00605FE3" w:rsidRPr="006F643D" w:rsidRDefault="00605FE3">
      <w:pPr>
        <w:pStyle w:val="FootnoteText"/>
        <w:rPr>
          <w:rFonts w:ascii="Arial" w:hAnsi="Arial" w:cs="Arial"/>
          <w:sz w:val="16"/>
          <w:szCs w:val="16"/>
        </w:rPr>
      </w:pPr>
      <w:r w:rsidRPr="006F643D">
        <w:rPr>
          <w:rStyle w:val="FootnoteReference"/>
          <w:rFonts w:ascii="Arial" w:hAnsi="Arial" w:cs="Arial"/>
          <w:sz w:val="16"/>
          <w:szCs w:val="16"/>
        </w:rPr>
        <w:footnoteRef/>
      </w:r>
      <w:r w:rsidRPr="006F643D">
        <w:rPr>
          <w:rFonts w:ascii="Arial" w:hAnsi="Arial" w:cs="Arial"/>
          <w:sz w:val="16"/>
          <w:szCs w:val="16"/>
        </w:rPr>
        <w:t xml:space="preserve"> Available on Protected and Protected Plus circuit paths only</w:t>
      </w:r>
    </w:p>
  </w:footnote>
  <w:footnote w:id="3">
    <w:p w14:paraId="61AD0863" w14:textId="75EE0C8C" w:rsidR="00605FE3" w:rsidRDefault="00605FE3">
      <w:pPr>
        <w:pStyle w:val="FootnoteText"/>
      </w:pPr>
      <w:r>
        <w:rPr>
          <w:rStyle w:val="FootnoteReference"/>
        </w:rPr>
        <w:footnoteRef/>
      </w:r>
      <w:r>
        <w:t xml:space="preserve"> </w:t>
      </w:r>
      <w:r>
        <w:rPr>
          <w:rFonts w:ascii="Arial" w:hAnsi="Arial" w:cs="Arial"/>
          <w:sz w:val="16"/>
          <w:szCs w:val="16"/>
        </w:rPr>
        <w:t>AZ and NM properties will be treated as</w:t>
      </w:r>
      <w:r w:rsidRPr="00090755">
        <w:rPr>
          <w:rFonts w:ascii="Arial" w:hAnsi="Arial" w:cs="Arial"/>
          <w:sz w:val="16"/>
          <w:szCs w:val="16"/>
        </w:rPr>
        <w:t xml:space="preserve"> ICB</w:t>
      </w:r>
      <w:r>
        <w:rPr>
          <w:rFonts w:ascii="Arial" w:hAnsi="Arial" w:cs="Arial"/>
          <w:sz w:val="16"/>
          <w:szCs w:val="16"/>
        </w:rPr>
        <w:t xml:space="preserve"> and</w:t>
      </w:r>
      <w:r w:rsidRPr="00090755">
        <w:rPr>
          <w:rFonts w:ascii="Arial" w:hAnsi="Arial" w:cs="Arial"/>
          <w:sz w:val="16"/>
          <w:szCs w:val="16"/>
        </w:rPr>
        <w:t xml:space="preserve"> are subject to Frontier’s Business Decision Tool Process</w:t>
      </w:r>
    </w:p>
  </w:footnote>
  <w:footnote w:id="4">
    <w:p w14:paraId="7B0C097F" w14:textId="114301B4" w:rsidR="00605FE3" w:rsidRDefault="00605FE3">
      <w:pPr>
        <w:pStyle w:val="FootnoteText"/>
      </w:pPr>
      <w:r>
        <w:rPr>
          <w:rStyle w:val="FootnoteReference"/>
        </w:rPr>
        <w:footnoteRef/>
      </w:r>
      <w:r>
        <w:t xml:space="preserve"> </w:t>
      </w:r>
      <w:r>
        <w:rPr>
          <w:rFonts w:ascii="Arial" w:hAnsi="Arial" w:cs="Arial"/>
          <w:sz w:val="16"/>
          <w:szCs w:val="16"/>
        </w:rPr>
        <w:t>AZ and NM properties will be treated as</w:t>
      </w:r>
      <w:r w:rsidRPr="00090755">
        <w:rPr>
          <w:rFonts w:ascii="Arial" w:hAnsi="Arial" w:cs="Arial"/>
          <w:sz w:val="16"/>
          <w:szCs w:val="16"/>
        </w:rPr>
        <w:t xml:space="preserve"> ICB</w:t>
      </w:r>
      <w:r>
        <w:rPr>
          <w:rFonts w:ascii="Arial" w:hAnsi="Arial" w:cs="Arial"/>
          <w:sz w:val="16"/>
          <w:szCs w:val="16"/>
        </w:rPr>
        <w:t xml:space="preserve"> and</w:t>
      </w:r>
      <w:r w:rsidRPr="00090755">
        <w:rPr>
          <w:rFonts w:ascii="Arial" w:hAnsi="Arial" w:cs="Arial"/>
          <w:sz w:val="16"/>
          <w:szCs w:val="16"/>
        </w:rPr>
        <w:t xml:space="preserve"> are subject to Frontier’s Business Decision Tool Process</w:t>
      </w:r>
    </w:p>
  </w:footnote>
  <w:footnote w:id="5">
    <w:p w14:paraId="21DAE02F" w14:textId="0F976166" w:rsidR="00605FE3" w:rsidRPr="002823DD" w:rsidRDefault="00605FE3">
      <w:pPr>
        <w:pStyle w:val="FootnoteText"/>
      </w:pPr>
      <w:r>
        <w:rPr>
          <w:rStyle w:val="FootnoteReference"/>
        </w:rPr>
        <w:footnoteRef/>
      </w:r>
      <w:r>
        <w:t xml:space="preserve"> </w:t>
      </w:r>
      <w:r w:rsidRPr="002823DD">
        <w:rPr>
          <w:rFonts w:ascii="Arial" w:hAnsi="Arial" w:cs="Arial"/>
          <w:sz w:val="16"/>
          <w:szCs w:val="16"/>
        </w:rPr>
        <w:t>Please note that the following list is subject to change and will be updated quarterly.  Updated lists may be obtained through your assigned Account Manager as requested.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0FAA6" w14:textId="77777777" w:rsidR="008D2264" w:rsidRDefault="008D2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426"/>
      <w:gridCol w:w="5344"/>
    </w:tblGrid>
    <w:tr w:rsidR="00605FE3" w14:paraId="6F8B0AF9" w14:textId="77777777" w:rsidTr="003461C2">
      <w:trPr>
        <w:trHeight w:val="1082"/>
      </w:trPr>
      <w:tc>
        <w:tcPr>
          <w:tcW w:w="5652" w:type="dxa"/>
          <w:tcBorders>
            <w:top w:val="single" w:sz="12" w:space="0" w:color="auto"/>
            <w:left w:val="single" w:sz="12" w:space="0" w:color="auto"/>
            <w:bottom w:val="single" w:sz="12" w:space="0" w:color="auto"/>
            <w:right w:val="nil"/>
          </w:tcBorders>
        </w:tcPr>
        <w:p w14:paraId="518065C3" w14:textId="77777777" w:rsidR="00605FE3" w:rsidRDefault="00605FE3" w:rsidP="003461C2">
          <w:pPr>
            <w:pStyle w:val="BodyText"/>
            <w:rPr>
              <w:sz w:val="16"/>
              <w:szCs w:val="16"/>
            </w:rPr>
          </w:pPr>
          <w:r>
            <w:rPr>
              <w:noProof/>
            </w:rPr>
            <w:drawing>
              <wp:anchor distT="0" distB="0" distL="114300" distR="114300" simplePos="0" relativeHeight="251659264" behindDoc="1" locked="0" layoutInCell="1" allowOverlap="1" wp14:anchorId="4430E95E" wp14:editId="23759F2E">
                <wp:simplePos x="0" y="0"/>
                <wp:positionH relativeFrom="margin">
                  <wp:posOffset>32131</wp:posOffset>
                </wp:positionH>
                <wp:positionV relativeFrom="margin">
                  <wp:posOffset>102</wp:posOffset>
                </wp:positionV>
                <wp:extent cx="1444625" cy="575945"/>
                <wp:effectExtent l="0" t="0" r="3175" b="0"/>
                <wp:wrapTight wrapText="bothSides">
                  <wp:wrapPolygon edited="0">
                    <wp:start x="5697" y="0"/>
                    <wp:lineTo x="0" y="4287"/>
                    <wp:lineTo x="0" y="20719"/>
                    <wp:lineTo x="20508" y="20719"/>
                    <wp:lineTo x="21363" y="10002"/>
                    <wp:lineTo x="21363" y="7859"/>
                    <wp:lineTo x="11678" y="0"/>
                    <wp:lineTo x="569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62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52" w:type="dxa"/>
          <w:tcBorders>
            <w:top w:val="single" w:sz="12" w:space="0" w:color="auto"/>
            <w:left w:val="nil"/>
            <w:bottom w:val="single" w:sz="12" w:space="0" w:color="auto"/>
            <w:right w:val="single" w:sz="12" w:space="0" w:color="auto"/>
          </w:tcBorders>
        </w:tcPr>
        <w:p w14:paraId="45CCC879" w14:textId="77777777" w:rsidR="00605FE3" w:rsidRPr="007746CD" w:rsidRDefault="00605FE3" w:rsidP="003461C2">
          <w:pPr>
            <w:pStyle w:val="BodyText"/>
            <w:jc w:val="right"/>
            <w:rPr>
              <w:rFonts w:ascii="Arial" w:hAnsi="Arial" w:cs="Arial"/>
              <w:b/>
              <w:bCs/>
              <w:sz w:val="20"/>
              <w:szCs w:val="20"/>
            </w:rPr>
          </w:pPr>
        </w:p>
        <w:p w14:paraId="5C33B39B" w14:textId="086DDE3B" w:rsidR="00605FE3" w:rsidRPr="007746CD" w:rsidRDefault="00605FE3" w:rsidP="003461C2">
          <w:pPr>
            <w:pStyle w:val="BodyText"/>
            <w:tabs>
              <w:tab w:val="left" w:pos="3912"/>
            </w:tabs>
            <w:jc w:val="right"/>
            <w:rPr>
              <w:rFonts w:ascii="Arial" w:hAnsi="Arial" w:cs="Arial"/>
              <w:b/>
              <w:bCs/>
              <w:sz w:val="20"/>
              <w:szCs w:val="20"/>
            </w:rPr>
          </w:pPr>
          <w:r w:rsidRPr="007746CD">
            <w:rPr>
              <w:rFonts w:ascii="Arial" w:hAnsi="Arial" w:cs="Arial"/>
              <w:b/>
              <w:bCs/>
              <w:sz w:val="20"/>
              <w:szCs w:val="20"/>
            </w:rPr>
            <w:t xml:space="preserve">FRONTIER SERVICES </w:t>
          </w:r>
          <w:r>
            <w:rPr>
              <w:rFonts w:ascii="Arial" w:hAnsi="Arial" w:cs="Arial"/>
              <w:b/>
              <w:bCs/>
              <w:sz w:val="20"/>
              <w:szCs w:val="20"/>
            </w:rPr>
            <w:t>SCHEDULE</w:t>
          </w:r>
        </w:p>
        <w:p w14:paraId="467E1F7E" w14:textId="77777777" w:rsidR="00605FE3" w:rsidRPr="007746CD" w:rsidRDefault="00605FE3" w:rsidP="003461C2">
          <w:pPr>
            <w:pStyle w:val="BodyText"/>
            <w:jc w:val="right"/>
            <w:rPr>
              <w:rFonts w:ascii="Arial" w:hAnsi="Arial" w:cs="Arial"/>
              <w:b/>
              <w:sz w:val="18"/>
              <w:szCs w:val="18"/>
            </w:rPr>
          </w:pPr>
          <w:r w:rsidRPr="007746CD">
            <w:rPr>
              <w:rFonts w:ascii="Arial" w:hAnsi="Arial" w:cs="Arial"/>
              <w:b/>
              <w:sz w:val="18"/>
              <w:szCs w:val="18"/>
            </w:rPr>
            <w:t>Frontier Confidential</w:t>
          </w:r>
        </w:p>
      </w:tc>
    </w:tr>
  </w:tbl>
  <w:p w14:paraId="17E44EC8" w14:textId="77777777" w:rsidR="00605FE3" w:rsidRPr="003461C2" w:rsidRDefault="00605FE3" w:rsidP="003461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401AF" w14:textId="77777777" w:rsidR="008D2264" w:rsidRDefault="008D2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846A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4F272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A7EA1A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4D639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AB6F9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3637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480C2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
      <w:lvlText w:val="%1."/>
      <w:lvlJc w:val="left"/>
      <w:pPr>
        <w:tabs>
          <w:tab w:val="num" w:pos="360"/>
        </w:tabs>
        <w:ind w:left="360" w:hanging="360"/>
      </w:pPr>
    </w:lvl>
  </w:abstractNum>
  <w:abstractNum w:abstractNumId="8" w15:restartNumberingAfterBreak="0">
    <w:nsid w:val="049D210D"/>
    <w:multiLevelType w:val="hybridMultilevel"/>
    <w:tmpl w:val="5824E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37D68"/>
    <w:multiLevelType w:val="multilevel"/>
    <w:tmpl w:val="EB7449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D5907"/>
    <w:multiLevelType w:val="multilevel"/>
    <w:tmpl w:val="FB3A70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1656" w:hanging="21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030FD"/>
    <w:multiLevelType w:val="multilevel"/>
    <w:tmpl w:val="3B48AD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D4418"/>
    <w:multiLevelType w:val="multilevel"/>
    <w:tmpl w:val="383256B0"/>
    <w:lvl w:ilvl="0">
      <w:start w:val="6"/>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1"/>
  </w:num>
  <w:num w:numId="3">
    <w:abstractNumId w:val="12"/>
  </w:num>
  <w:num w:numId="4">
    <w:abstractNumId w:val="15"/>
  </w:num>
  <w:num w:numId="5">
    <w:abstractNumId w:val="10"/>
  </w:num>
  <w:num w:numId="6">
    <w:abstractNumId w:val="13"/>
  </w:num>
  <w:num w:numId="7">
    <w:abstractNumId w:val="17"/>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9"/>
  </w:num>
  <w:num w:numId="17">
    <w:abstractNumId w:val="16"/>
  </w:num>
  <w:num w:numId="18">
    <w:abstractNumId w:val="14"/>
  </w:num>
  <w:num w:numId="19">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KjFlj/LaORa09JSC5am/Gxt+NuNJx6RxYGZWPAnrBPND2Sz2/71P9QjolBClXHILC3Rowsm95ibBvD2VrW4JjQ==" w:salt="WIuAt4fQRt6MKwK8bl37qA=="/>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360"/>
    <w:rsid w:val="000029B9"/>
    <w:rsid w:val="0000409D"/>
    <w:rsid w:val="0000533B"/>
    <w:rsid w:val="00005DE0"/>
    <w:rsid w:val="00006B32"/>
    <w:rsid w:val="00010B37"/>
    <w:rsid w:val="00010C92"/>
    <w:rsid w:val="00013CB8"/>
    <w:rsid w:val="00016D59"/>
    <w:rsid w:val="000241E6"/>
    <w:rsid w:val="00026DBE"/>
    <w:rsid w:val="00026EF1"/>
    <w:rsid w:val="000337DF"/>
    <w:rsid w:val="00041722"/>
    <w:rsid w:val="00043405"/>
    <w:rsid w:val="00043B21"/>
    <w:rsid w:val="000463E8"/>
    <w:rsid w:val="000528CF"/>
    <w:rsid w:val="000552AF"/>
    <w:rsid w:val="000558B0"/>
    <w:rsid w:val="00057482"/>
    <w:rsid w:val="0007114C"/>
    <w:rsid w:val="00071382"/>
    <w:rsid w:val="00071D29"/>
    <w:rsid w:val="00071E4F"/>
    <w:rsid w:val="00073832"/>
    <w:rsid w:val="00075CD2"/>
    <w:rsid w:val="00077FBE"/>
    <w:rsid w:val="00083DF1"/>
    <w:rsid w:val="000A1230"/>
    <w:rsid w:val="000A7E76"/>
    <w:rsid w:val="000B072A"/>
    <w:rsid w:val="000B0E2D"/>
    <w:rsid w:val="000B1134"/>
    <w:rsid w:val="000B1E53"/>
    <w:rsid w:val="000B3BEE"/>
    <w:rsid w:val="000C4344"/>
    <w:rsid w:val="000D3DD7"/>
    <w:rsid w:val="000D6B77"/>
    <w:rsid w:val="000D75B8"/>
    <w:rsid w:val="000D7A49"/>
    <w:rsid w:val="000D7F5A"/>
    <w:rsid w:val="000E2769"/>
    <w:rsid w:val="000E33AA"/>
    <w:rsid w:val="000E405A"/>
    <w:rsid w:val="000F0741"/>
    <w:rsid w:val="00105DED"/>
    <w:rsid w:val="00110629"/>
    <w:rsid w:val="00114DFE"/>
    <w:rsid w:val="00115391"/>
    <w:rsid w:val="00125FF4"/>
    <w:rsid w:val="001264EA"/>
    <w:rsid w:val="00127ABE"/>
    <w:rsid w:val="001311BD"/>
    <w:rsid w:val="00131775"/>
    <w:rsid w:val="00132447"/>
    <w:rsid w:val="00136081"/>
    <w:rsid w:val="0014113A"/>
    <w:rsid w:val="00142896"/>
    <w:rsid w:val="0014475E"/>
    <w:rsid w:val="00145ACD"/>
    <w:rsid w:val="0015138D"/>
    <w:rsid w:val="001611CC"/>
    <w:rsid w:val="00162783"/>
    <w:rsid w:val="00171E67"/>
    <w:rsid w:val="00176631"/>
    <w:rsid w:val="001773E8"/>
    <w:rsid w:val="00180B74"/>
    <w:rsid w:val="00183D4C"/>
    <w:rsid w:val="00187CA7"/>
    <w:rsid w:val="00191DB0"/>
    <w:rsid w:val="0019257A"/>
    <w:rsid w:val="00192A63"/>
    <w:rsid w:val="001949CC"/>
    <w:rsid w:val="0019735B"/>
    <w:rsid w:val="001A095E"/>
    <w:rsid w:val="001A3CB3"/>
    <w:rsid w:val="001B2D25"/>
    <w:rsid w:val="001B365F"/>
    <w:rsid w:val="001B40E1"/>
    <w:rsid w:val="001B4BF9"/>
    <w:rsid w:val="001C134C"/>
    <w:rsid w:val="001D22E6"/>
    <w:rsid w:val="001D3766"/>
    <w:rsid w:val="001D5EAB"/>
    <w:rsid w:val="001E2245"/>
    <w:rsid w:val="001E3822"/>
    <w:rsid w:val="001E5CC5"/>
    <w:rsid w:val="001F3716"/>
    <w:rsid w:val="001F4549"/>
    <w:rsid w:val="00202675"/>
    <w:rsid w:val="00215F0D"/>
    <w:rsid w:val="002232CB"/>
    <w:rsid w:val="00225BC4"/>
    <w:rsid w:val="002417C2"/>
    <w:rsid w:val="002422F9"/>
    <w:rsid w:val="0024317E"/>
    <w:rsid w:val="00260853"/>
    <w:rsid w:val="0026659A"/>
    <w:rsid w:val="002715E8"/>
    <w:rsid w:val="00274AEA"/>
    <w:rsid w:val="002823DD"/>
    <w:rsid w:val="00290127"/>
    <w:rsid w:val="00293A30"/>
    <w:rsid w:val="002A0362"/>
    <w:rsid w:val="002A344F"/>
    <w:rsid w:val="002A34C7"/>
    <w:rsid w:val="002A3F5F"/>
    <w:rsid w:val="002A4CCF"/>
    <w:rsid w:val="002A60C2"/>
    <w:rsid w:val="002A787E"/>
    <w:rsid w:val="002B290C"/>
    <w:rsid w:val="002B365F"/>
    <w:rsid w:val="002B5B1B"/>
    <w:rsid w:val="002C004D"/>
    <w:rsid w:val="002C026A"/>
    <w:rsid w:val="002C0302"/>
    <w:rsid w:val="002C0695"/>
    <w:rsid w:val="002C41D9"/>
    <w:rsid w:val="002C48A9"/>
    <w:rsid w:val="002C4D31"/>
    <w:rsid w:val="002C59C3"/>
    <w:rsid w:val="002D3F88"/>
    <w:rsid w:val="002E5600"/>
    <w:rsid w:val="002E7F92"/>
    <w:rsid w:val="002F6B5D"/>
    <w:rsid w:val="00300DD4"/>
    <w:rsid w:val="00312024"/>
    <w:rsid w:val="00313E9C"/>
    <w:rsid w:val="003162CA"/>
    <w:rsid w:val="003169F5"/>
    <w:rsid w:val="003178DF"/>
    <w:rsid w:val="003216B7"/>
    <w:rsid w:val="00322325"/>
    <w:rsid w:val="0032319C"/>
    <w:rsid w:val="00326B98"/>
    <w:rsid w:val="00326CD9"/>
    <w:rsid w:val="00327D57"/>
    <w:rsid w:val="003314B5"/>
    <w:rsid w:val="00333A03"/>
    <w:rsid w:val="003401B2"/>
    <w:rsid w:val="00340ECC"/>
    <w:rsid w:val="00342F23"/>
    <w:rsid w:val="003461C2"/>
    <w:rsid w:val="00354224"/>
    <w:rsid w:val="0036104F"/>
    <w:rsid w:val="00362611"/>
    <w:rsid w:val="00363400"/>
    <w:rsid w:val="00364F7B"/>
    <w:rsid w:val="00365CE5"/>
    <w:rsid w:val="00366EF6"/>
    <w:rsid w:val="00376E18"/>
    <w:rsid w:val="00381EEF"/>
    <w:rsid w:val="00394A44"/>
    <w:rsid w:val="003A03E7"/>
    <w:rsid w:val="003A399B"/>
    <w:rsid w:val="003A4F44"/>
    <w:rsid w:val="003C24F9"/>
    <w:rsid w:val="003C64AD"/>
    <w:rsid w:val="003C68A1"/>
    <w:rsid w:val="003D0745"/>
    <w:rsid w:val="003D1C00"/>
    <w:rsid w:val="003D3F02"/>
    <w:rsid w:val="003D67BB"/>
    <w:rsid w:val="003E2493"/>
    <w:rsid w:val="003E46FD"/>
    <w:rsid w:val="003F40F0"/>
    <w:rsid w:val="003F444A"/>
    <w:rsid w:val="00400798"/>
    <w:rsid w:val="00400CD9"/>
    <w:rsid w:val="00403174"/>
    <w:rsid w:val="00404F59"/>
    <w:rsid w:val="0041450E"/>
    <w:rsid w:val="00417882"/>
    <w:rsid w:val="004215B0"/>
    <w:rsid w:val="0042230A"/>
    <w:rsid w:val="00424F31"/>
    <w:rsid w:val="00426433"/>
    <w:rsid w:val="00435DD8"/>
    <w:rsid w:val="004460F5"/>
    <w:rsid w:val="004468F5"/>
    <w:rsid w:val="004502BA"/>
    <w:rsid w:val="00451DA2"/>
    <w:rsid w:val="00452CFD"/>
    <w:rsid w:val="00456F0B"/>
    <w:rsid w:val="00463B18"/>
    <w:rsid w:val="0047426A"/>
    <w:rsid w:val="00480089"/>
    <w:rsid w:val="004830AC"/>
    <w:rsid w:val="00491C81"/>
    <w:rsid w:val="0049623C"/>
    <w:rsid w:val="00497462"/>
    <w:rsid w:val="00497A1E"/>
    <w:rsid w:val="004A0FD2"/>
    <w:rsid w:val="004A1D5B"/>
    <w:rsid w:val="004A21CA"/>
    <w:rsid w:val="004A6ACB"/>
    <w:rsid w:val="004A7C9C"/>
    <w:rsid w:val="004B0A3A"/>
    <w:rsid w:val="004B1FBF"/>
    <w:rsid w:val="004C1D27"/>
    <w:rsid w:val="004C25B2"/>
    <w:rsid w:val="004D004D"/>
    <w:rsid w:val="004D1CAC"/>
    <w:rsid w:val="004D2316"/>
    <w:rsid w:val="004D6491"/>
    <w:rsid w:val="004D69A4"/>
    <w:rsid w:val="004E7528"/>
    <w:rsid w:val="00503950"/>
    <w:rsid w:val="005104D1"/>
    <w:rsid w:val="00511F4C"/>
    <w:rsid w:val="0051263B"/>
    <w:rsid w:val="005134BE"/>
    <w:rsid w:val="005205FB"/>
    <w:rsid w:val="005263BA"/>
    <w:rsid w:val="00530FF9"/>
    <w:rsid w:val="005343A4"/>
    <w:rsid w:val="005367B5"/>
    <w:rsid w:val="00537476"/>
    <w:rsid w:val="00537FA9"/>
    <w:rsid w:val="00541643"/>
    <w:rsid w:val="0054323E"/>
    <w:rsid w:val="00545EA5"/>
    <w:rsid w:val="00550143"/>
    <w:rsid w:val="00552D81"/>
    <w:rsid w:val="005533B2"/>
    <w:rsid w:val="00562162"/>
    <w:rsid w:val="0057565B"/>
    <w:rsid w:val="00575A06"/>
    <w:rsid w:val="005810C1"/>
    <w:rsid w:val="00596C72"/>
    <w:rsid w:val="005A7134"/>
    <w:rsid w:val="005A7C93"/>
    <w:rsid w:val="005C752A"/>
    <w:rsid w:val="005D1016"/>
    <w:rsid w:val="005D2C61"/>
    <w:rsid w:val="005D578A"/>
    <w:rsid w:val="005E30F3"/>
    <w:rsid w:val="005F1BDB"/>
    <w:rsid w:val="005F275C"/>
    <w:rsid w:val="005F558C"/>
    <w:rsid w:val="00605403"/>
    <w:rsid w:val="00605FE3"/>
    <w:rsid w:val="00610651"/>
    <w:rsid w:val="00615257"/>
    <w:rsid w:val="00616005"/>
    <w:rsid w:val="00617617"/>
    <w:rsid w:val="006225E5"/>
    <w:rsid w:val="00622C11"/>
    <w:rsid w:val="00624393"/>
    <w:rsid w:val="006340A9"/>
    <w:rsid w:val="00634B25"/>
    <w:rsid w:val="00635A27"/>
    <w:rsid w:val="00635D60"/>
    <w:rsid w:val="00637024"/>
    <w:rsid w:val="0064198D"/>
    <w:rsid w:val="00642C1D"/>
    <w:rsid w:val="00656C6C"/>
    <w:rsid w:val="006575B5"/>
    <w:rsid w:val="00661D8E"/>
    <w:rsid w:val="00677491"/>
    <w:rsid w:val="00680A65"/>
    <w:rsid w:val="00681043"/>
    <w:rsid w:val="00687A56"/>
    <w:rsid w:val="00687A7E"/>
    <w:rsid w:val="0069436D"/>
    <w:rsid w:val="006A1D63"/>
    <w:rsid w:val="006B0895"/>
    <w:rsid w:val="006B28FD"/>
    <w:rsid w:val="006C5B0A"/>
    <w:rsid w:val="006D3141"/>
    <w:rsid w:val="006D3D61"/>
    <w:rsid w:val="006D3FBA"/>
    <w:rsid w:val="006D76F4"/>
    <w:rsid w:val="006E5494"/>
    <w:rsid w:val="006F643D"/>
    <w:rsid w:val="00702D6C"/>
    <w:rsid w:val="00707109"/>
    <w:rsid w:val="00712F63"/>
    <w:rsid w:val="007170D9"/>
    <w:rsid w:val="0072175F"/>
    <w:rsid w:val="0073080B"/>
    <w:rsid w:val="00731C6F"/>
    <w:rsid w:val="00731CAC"/>
    <w:rsid w:val="00733D67"/>
    <w:rsid w:val="00735803"/>
    <w:rsid w:val="00744AEF"/>
    <w:rsid w:val="00744C50"/>
    <w:rsid w:val="007467B0"/>
    <w:rsid w:val="007529C2"/>
    <w:rsid w:val="007541C5"/>
    <w:rsid w:val="00755851"/>
    <w:rsid w:val="00757E57"/>
    <w:rsid w:val="007615B9"/>
    <w:rsid w:val="00761730"/>
    <w:rsid w:val="00772A40"/>
    <w:rsid w:val="00772CAE"/>
    <w:rsid w:val="00772D29"/>
    <w:rsid w:val="007746CD"/>
    <w:rsid w:val="007755FA"/>
    <w:rsid w:val="00775AE4"/>
    <w:rsid w:val="007804C9"/>
    <w:rsid w:val="00787438"/>
    <w:rsid w:val="00791E60"/>
    <w:rsid w:val="0079576B"/>
    <w:rsid w:val="0079607B"/>
    <w:rsid w:val="007A0763"/>
    <w:rsid w:val="007B3BA7"/>
    <w:rsid w:val="007C4C0A"/>
    <w:rsid w:val="007C64BB"/>
    <w:rsid w:val="007D086B"/>
    <w:rsid w:val="007D2740"/>
    <w:rsid w:val="007D516C"/>
    <w:rsid w:val="007E26D4"/>
    <w:rsid w:val="007E2CBB"/>
    <w:rsid w:val="007E6236"/>
    <w:rsid w:val="007F4A9A"/>
    <w:rsid w:val="008008CF"/>
    <w:rsid w:val="00807873"/>
    <w:rsid w:val="008138BE"/>
    <w:rsid w:val="00814F87"/>
    <w:rsid w:val="00824466"/>
    <w:rsid w:val="008257E8"/>
    <w:rsid w:val="00832230"/>
    <w:rsid w:val="008334A2"/>
    <w:rsid w:val="008354D5"/>
    <w:rsid w:val="00835813"/>
    <w:rsid w:val="00842A67"/>
    <w:rsid w:val="00851969"/>
    <w:rsid w:val="00852082"/>
    <w:rsid w:val="00856C18"/>
    <w:rsid w:val="00872290"/>
    <w:rsid w:val="00874CA6"/>
    <w:rsid w:val="00884DC6"/>
    <w:rsid w:val="00886D4C"/>
    <w:rsid w:val="008933BF"/>
    <w:rsid w:val="00893DE2"/>
    <w:rsid w:val="008962AA"/>
    <w:rsid w:val="008A073D"/>
    <w:rsid w:val="008B033E"/>
    <w:rsid w:val="008B0995"/>
    <w:rsid w:val="008B3AC6"/>
    <w:rsid w:val="008B4B73"/>
    <w:rsid w:val="008B6CD1"/>
    <w:rsid w:val="008B7E85"/>
    <w:rsid w:val="008C4890"/>
    <w:rsid w:val="008C493E"/>
    <w:rsid w:val="008D2264"/>
    <w:rsid w:val="008D414B"/>
    <w:rsid w:val="008D5E6D"/>
    <w:rsid w:val="008D787D"/>
    <w:rsid w:val="008E0F99"/>
    <w:rsid w:val="008E1FAA"/>
    <w:rsid w:val="008E301D"/>
    <w:rsid w:val="008E35EF"/>
    <w:rsid w:val="008F0E7A"/>
    <w:rsid w:val="008F4AF5"/>
    <w:rsid w:val="00902AA1"/>
    <w:rsid w:val="00902BFC"/>
    <w:rsid w:val="0090668E"/>
    <w:rsid w:val="00910DE6"/>
    <w:rsid w:val="009144BC"/>
    <w:rsid w:val="0092634C"/>
    <w:rsid w:val="00926605"/>
    <w:rsid w:val="00933842"/>
    <w:rsid w:val="009339F2"/>
    <w:rsid w:val="00935065"/>
    <w:rsid w:val="00943118"/>
    <w:rsid w:val="009503EC"/>
    <w:rsid w:val="00952777"/>
    <w:rsid w:val="0095447D"/>
    <w:rsid w:val="00955F1E"/>
    <w:rsid w:val="00957F19"/>
    <w:rsid w:val="0096067C"/>
    <w:rsid w:val="00964DA0"/>
    <w:rsid w:val="00967261"/>
    <w:rsid w:val="00967CEF"/>
    <w:rsid w:val="00977D92"/>
    <w:rsid w:val="00981156"/>
    <w:rsid w:val="00990E47"/>
    <w:rsid w:val="009943B5"/>
    <w:rsid w:val="009B0AE4"/>
    <w:rsid w:val="009B0EC8"/>
    <w:rsid w:val="009B1AB4"/>
    <w:rsid w:val="009C4ED8"/>
    <w:rsid w:val="009C7566"/>
    <w:rsid w:val="009D1B71"/>
    <w:rsid w:val="009D2893"/>
    <w:rsid w:val="009D2B55"/>
    <w:rsid w:val="009D6494"/>
    <w:rsid w:val="009D6584"/>
    <w:rsid w:val="009E0377"/>
    <w:rsid w:val="009E37E0"/>
    <w:rsid w:val="009E4394"/>
    <w:rsid w:val="009E554D"/>
    <w:rsid w:val="009F4360"/>
    <w:rsid w:val="009F58F6"/>
    <w:rsid w:val="009F6CEF"/>
    <w:rsid w:val="00A01E0C"/>
    <w:rsid w:val="00A036F9"/>
    <w:rsid w:val="00A03ADF"/>
    <w:rsid w:val="00A06FA2"/>
    <w:rsid w:val="00A127AB"/>
    <w:rsid w:val="00A14ED9"/>
    <w:rsid w:val="00A22545"/>
    <w:rsid w:val="00A2509C"/>
    <w:rsid w:val="00A252C2"/>
    <w:rsid w:val="00A27774"/>
    <w:rsid w:val="00A3325D"/>
    <w:rsid w:val="00A35486"/>
    <w:rsid w:val="00A36CDB"/>
    <w:rsid w:val="00A373B7"/>
    <w:rsid w:val="00A37439"/>
    <w:rsid w:val="00A4021B"/>
    <w:rsid w:val="00A42DBD"/>
    <w:rsid w:val="00A4527F"/>
    <w:rsid w:val="00A475D1"/>
    <w:rsid w:val="00A5418B"/>
    <w:rsid w:val="00A55DB0"/>
    <w:rsid w:val="00A608D1"/>
    <w:rsid w:val="00A63D32"/>
    <w:rsid w:val="00A649B6"/>
    <w:rsid w:val="00A65C6E"/>
    <w:rsid w:val="00A72F06"/>
    <w:rsid w:val="00A7313E"/>
    <w:rsid w:val="00A838BC"/>
    <w:rsid w:val="00A851C3"/>
    <w:rsid w:val="00A904BD"/>
    <w:rsid w:val="00A92B2F"/>
    <w:rsid w:val="00AA085A"/>
    <w:rsid w:val="00AA1734"/>
    <w:rsid w:val="00AA2263"/>
    <w:rsid w:val="00AA422E"/>
    <w:rsid w:val="00AA4F8B"/>
    <w:rsid w:val="00AA501C"/>
    <w:rsid w:val="00AB07C9"/>
    <w:rsid w:val="00AB3CB5"/>
    <w:rsid w:val="00AB3FE9"/>
    <w:rsid w:val="00AB552B"/>
    <w:rsid w:val="00AB593A"/>
    <w:rsid w:val="00AC1BF7"/>
    <w:rsid w:val="00AC7720"/>
    <w:rsid w:val="00AD1014"/>
    <w:rsid w:val="00AD3B59"/>
    <w:rsid w:val="00AD53EA"/>
    <w:rsid w:val="00AF1CBF"/>
    <w:rsid w:val="00AF4212"/>
    <w:rsid w:val="00AF4C34"/>
    <w:rsid w:val="00B11B71"/>
    <w:rsid w:val="00B16447"/>
    <w:rsid w:val="00B27062"/>
    <w:rsid w:val="00B30640"/>
    <w:rsid w:val="00B30802"/>
    <w:rsid w:val="00B3084B"/>
    <w:rsid w:val="00B30A68"/>
    <w:rsid w:val="00B3200C"/>
    <w:rsid w:val="00B34C64"/>
    <w:rsid w:val="00B460EA"/>
    <w:rsid w:val="00B529A0"/>
    <w:rsid w:val="00B54F30"/>
    <w:rsid w:val="00B6008D"/>
    <w:rsid w:val="00B6767C"/>
    <w:rsid w:val="00B6795C"/>
    <w:rsid w:val="00B67A2C"/>
    <w:rsid w:val="00B72FB0"/>
    <w:rsid w:val="00B74647"/>
    <w:rsid w:val="00B77086"/>
    <w:rsid w:val="00B8533A"/>
    <w:rsid w:val="00B925DD"/>
    <w:rsid w:val="00B936F1"/>
    <w:rsid w:val="00B9560A"/>
    <w:rsid w:val="00BA0AEC"/>
    <w:rsid w:val="00BA42EB"/>
    <w:rsid w:val="00BA5582"/>
    <w:rsid w:val="00BB177F"/>
    <w:rsid w:val="00BB5548"/>
    <w:rsid w:val="00BB64D4"/>
    <w:rsid w:val="00BB6923"/>
    <w:rsid w:val="00BC43D9"/>
    <w:rsid w:val="00BC52E3"/>
    <w:rsid w:val="00BC560D"/>
    <w:rsid w:val="00BC561F"/>
    <w:rsid w:val="00BC5F2F"/>
    <w:rsid w:val="00BC617E"/>
    <w:rsid w:val="00BC7D6A"/>
    <w:rsid w:val="00BD3F1B"/>
    <w:rsid w:val="00BD6F2B"/>
    <w:rsid w:val="00BE20C6"/>
    <w:rsid w:val="00BE39BF"/>
    <w:rsid w:val="00C01024"/>
    <w:rsid w:val="00C1114F"/>
    <w:rsid w:val="00C14EB0"/>
    <w:rsid w:val="00C2599E"/>
    <w:rsid w:val="00C2642F"/>
    <w:rsid w:val="00C30DEF"/>
    <w:rsid w:val="00C3171F"/>
    <w:rsid w:val="00C355A9"/>
    <w:rsid w:val="00C375BE"/>
    <w:rsid w:val="00C37AF3"/>
    <w:rsid w:val="00C4205C"/>
    <w:rsid w:val="00C452DC"/>
    <w:rsid w:val="00C52449"/>
    <w:rsid w:val="00C577B9"/>
    <w:rsid w:val="00C600B8"/>
    <w:rsid w:val="00C60E48"/>
    <w:rsid w:val="00C6774B"/>
    <w:rsid w:val="00C7104B"/>
    <w:rsid w:val="00C808BC"/>
    <w:rsid w:val="00C8244A"/>
    <w:rsid w:val="00C87CEF"/>
    <w:rsid w:val="00C92F54"/>
    <w:rsid w:val="00C94808"/>
    <w:rsid w:val="00C95A46"/>
    <w:rsid w:val="00C95BCD"/>
    <w:rsid w:val="00C96A89"/>
    <w:rsid w:val="00C96D3F"/>
    <w:rsid w:val="00CA4C87"/>
    <w:rsid w:val="00CB60B9"/>
    <w:rsid w:val="00CC28C1"/>
    <w:rsid w:val="00CC44A6"/>
    <w:rsid w:val="00CC5222"/>
    <w:rsid w:val="00CD29AF"/>
    <w:rsid w:val="00CD52D9"/>
    <w:rsid w:val="00CD5779"/>
    <w:rsid w:val="00CE1F90"/>
    <w:rsid w:val="00CE2D5A"/>
    <w:rsid w:val="00CF0C17"/>
    <w:rsid w:val="00D03868"/>
    <w:rsid w:val="00D072CD"/>
    <w:rsid w:val="00D16F84"/>
    <w:rsid w:val="00D21802"/>
    <w:rsid w:val="00D2257F"/>
    <w:rsid w:val="00D309D1"/>
    <w:rsid w:val="00D349B1"/>
    <w:rsid w:val="00D441EA"/>
    <w:rsid w:val="00D45B80"/>
    <w:rsid w:val="00D469AD"/>
    <w:rsid w:val="00D51792"/>
    <w:rsid w:val="00D51D52"/>
    <w:rsid w:val="00D54902"/>
    <w:rsid w:val="00D56788"/>
    <w:rsid w:val="00D57E0C"/>
    <w:rsid w:val="00D6239F"/>
    <w:rsid w:val="00D62400"/>
    <w:rsid w:val="00D65A48"/>
    <w:rsid w:val="00D715FB"/>
    <w:rsid w:val="00D73C38"/>
    <w:rsid w:val="00D82042"/>
    <w:rsid w:val="00D86AC8"/>
    <w:rsid w:val="00D86BFB"/>
    <w:rsid w:val="00D86EC3"/>
    <w:rsid w:val="00D8784D"/>
    <w:rsid w:val="00D87B09"/>
    <w:rsid w:val="00D9035F"/>
    <w:rsid w:val="00D91A3F"/>
    <w:rsid w:val="00D92117"/>
    <w:rsid w:val="00D93684"/>
    <w:rsid w:val="00DA2971"/>
    <w:rsid w:val="00DA5678"/>
    <w:rsid w:val="00DB0E7D"/>
    <w:rsid w:val="00DB27A6"/>
    <w:rsid w:val="00DB3353"/>
    <w:rsid w:val="00DC43AE"/>
    <w:rsid w:val="00DC7268"/>
    <w:rsid w:val="00DD0DD5"/>
    <w:rsid w:val="00DD4D30"/>
    <w:rsid w:val="00DD51C0"/>
    <w:rsid w:val="00DE32C7"/>
    <w:rsid w:val="00DE59C9"/>
    <w:rsid w:val="00DF1EE0"/>
    <w:rsid w:val="00DF2C2B"/>
    <w:rsid w:val="00DF4D33"/>
    <w:rsid w:val="00DF653A"/>
    <w:rsid w:val="00DF72CE"/>
    <w:rsid w:val="00E0737D"/>
    <w:rsid w:val="00E10ADF"/>
    <w:rsid w:val="00E10F81"/>
    <w:rsid w:val="00E147B2"/>
    <w:rsid w:val="00E16163"/>
    <w:rsid w:val="00E21D50"/>
    <w:rsid w:val="00E24456"/>
    <w:rsid w:val="00E27791"/>
    <w:rsid w:val="00E34209"/>
    <w:rsid w:val="00E50FB1"/>
    <w:rsid w:val="00E52CA1"/>
    <w:rsid w:val="00E558E2"/>
    <w:rsid w:val="00E56147"/>
    <w:rsid w:val="00E658D2"/>
    <w:rsid w:val="00E71AFE"/>
    <w:rsid w:val="00E73D21"/>
    <w:rsid w:val="00E75127"/>
    <w:rsid w:val="00E77D9B"/>
    <w:rsid w:val="00E81962"/>
    <w:rsid w:val="00E860B0"/>
    <w:rsid w:val="00E8682F"/>
    <w:rsid w:val="00E875D6"/>
    <w:rsid w:val="00EA1BCA"/>
    <w:rsid w:val="00EA45DB"/>
    <w:rsid w:val="00EA6C74"/>
    <w:rsid w:val="00EA7B06"/>
    <w:rsid w:val="00EB0780"/>
    <w:rsid w:val="00EB1C51"/>
    <w:rsid w:val="00EB519B"/>
    <w:rsid w:val="00EB5349"/>
    <w:rsid w:val="00EB6E7D"/>
    <w:rsid w:val="00EC6F44"/>
    <w:rsid w:val="00ED0A4C"/>
    <w:rsid w:val="00ED170E"/>
    <w:rsid w:val="00ED22E0"/>
    <w:rsid w:val="00ED241E"/>
    <w:rsid w:val="00ED7DDE"/>
    <w:rsid w:val="00EE6311"/>
    <w:rsid w:val="00EE7A5B"/>
    <w:rsid w:val="00EF3291"/>
    <w:rsid w:val="00EF3E92"/>
    <w:rsid w:val="00EF70F3"/>
    <w:rsid w:val="00F013E2"/>
    <w:rsid w:val="00F02377"/>
    <w:rsid w:val="00F03ADF"/>
    <w:rsid w:val="00F05177"/>
    <w:rsid w:val="00F14167"/>
    <w:rsid w:val="00F154C8"/>
    <w:rsid w:val="00F17680"/>
    <w:rsid w:val="00F21266"/>
    <w:rsid w:val="00F250AB"/>
    <w:rsid w:val="00F3065A"/>
    <w:rsid w:val="00F320DC"/>
    <w:rsid w:val="00F33849"/>
    <w:rsid w:val="00F471BC"/>
    <w:rsid w:val="00F54586"/>
    <w:rsid w:val="00F56600"/>
    <w:rsid w:val="00F6704E"/>
    <w:rsid w:val="00F72DA4"/>
    <w:rsid w:val="00F743EC"/>
    <w:rsid w:val="00F77D3E"/>
    <w:rsid w:val="00F84C67"/>
    <w:rsid w:val="00F91519"/>
    <w:rsid w:val="00F93585"/>
    <w:rsid w:val="00F947E9"/>
    <w:rsid w:val="00F9598F"/>
    <w:rsid w:val="00F97BA1"/>
    <w:rsid w:val="00FA0CE2"/>
    <w:rsid w:val="00FA17DF"/>
    <w:rsid w:val="00FA3105"/>
    <w:rsid w:val="00FA5071"/>
    <w:rsid w:val="00FA5C0B"/>
    <w:rsid w:val="00FB6DBA"/>
    <w:rsid w:val="00FC430A"/>
    <w:rsid w:val="00FC5B6D"/>
    <w:rsid w:val="00FD23B7"/>
    <w:rsid w:val="00FD4693"/>
    <w:rsid w:val="00FD6CB1"/>
    <w:rsid w:val="00FD72C2"/>
    <w:rsid w:val="00FE1973"/>
    <w:rsid w:val="00FF2E47"/>
    <w:rsid w:val="00FF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E96947"/>
  <w14:defaultImageDpi w14:val="300"/>
  <w15:docId w15:val="{5F29E806-AE71-4760-846F-F150DE27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paragraph" w:styleId="Heading9">
    <w:name w:val="heading 9"/>
    <w:basedOn w:val="Normal"/>
    <w:next w:val="Normal"/>
    <w:link w:val="Heading9Char"/>
    <w:qFormat/>
    <w:rsid w:val="002A34C7"/>
    <w:pPr>
      <w:keepNext/>
      <w:tabs>
        <w:tab w:val="left" w:pos="360"/>
      </w:tabs>
      <w:spacing w:after="120"/>
      <w:outlineLvl w:val="8"/>
    </w:pPr>
    <w:rPr>
      <w:rFonts w:ascii="Arial" w:eastAsia="MS Mincho"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2A34C7"/>
    <w:rPr>
      <w:rFonts w:ascii="Arial" w:eastAsia="MS Mincho" w:hAnsi="Arial"/>
      <w:b/>
      <w:bCs/>
      <w:sz w:val="18"/>
      <w:szCs w:val="18"/>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2A34C7"/>
    <w:rPr>
      <w:sz w:val="24"/>
      <w:szCs w:val="24"/>
    </w:r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2A34C7"/>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ColorfulShading-Accent31">
    <w:name w:val="Colorful Shading - Accent 31"/>
    <w:basedOn w:val="Normal"/>
    <w:uiPriority w:val="34"/>
    <w:qFormat/>
    <w:rsid w:val="00967CEF"/>
    <w:pPr>
      <w:ind w:left="720"/>
    </w:pPr>
  </w:style>
  <w:style w:type="paragraph" w:customStyle="1" w:styleId="E1">
    <w:name w:val="E1"/>
    <w:basedOn w:val="Normal"/>
    <w:rsid w:val="002A34C7"/>
    <w:pPr>
      <w:keepNext/>
      <w:tabs>
        <w:tab w:val="num" w:pos="720"/>
      </w:tabs>
      <w:suppressAutoHyphens/>
      <w:spacing w:before="120" w:after="240" w:line="240" w:lineRule="exact"/>
      <w:ind w:left="720" w:hanging="720"/>
      <w:jc w:val="both"/>
    </w:pPr>
    <w:rPr>
      <w:rFonts w:ascii="Arial" w:hAnsi="Arial"/>
      <w:caps/>
      <w:sz w:val="22"/>
      <w:szCs w:val="20"/>
    </w:rPr>
  </w:style>
  <w:style w:type="character" w:customStyle="1" w:styleId="EquationCaption">
    <w:name w:val="_Equation Caption"/>
    <w:rsid w:val="002A34C7"/>
    <w:rPr>
      <w:rFonts w:ascii="Courier" w:hAnsi="Courier"/>
    </w:rPr>
  </w:style>
  <w:style w:type="paragraph" w:styleId="ListBullet3">
    <w:name w:val="List Bullet 3"/>
    <w:basedOn w:val="Normal"/>
    <w:autoRedefine/>
    <w:rsid w:val="002A34C7"/>
    <w:pPr>
      <w:widowControl w:val="0"/>
      <w:numPr>
        <w:numId w:val="8"/>
      </w:numPr>
    </w:pPr>
    <w:rPr>
      <w:rFonts w:ascii="Courier" w:hAnsi="Courier"/>
      <w:snapToGrid w:val="0"/>
      <w:sz w:val="20"/>
      <w:szCs w:val="20"/>
    </w:rPr>
  </w:style>
  <w:style w:type="paragraph" w:styleId="ListBullet4">
    <w:name w:val="List Bullet 4"/>
    <w:basedOn w:val="Normal"/>
    <w:autoRedefine/>
    <w:rsid w:val="002A34C7"/>
    <w:pPr>
      <w:widowControl w:val="0"/>
      <w:numPr>
        <w:numId w:val="9"/>
      </w:numPr>
    </w:pPr>
    <w:rPr>
      <w:rFonts w:ascii="Courier" w:hAnsi="Courier"/>
      <w:snapToGrid w:val="0"/>
      <w:sz w:val="20"/>
      <w:szCs w:val="20"/>
    </w:rPr>
  </w:style>
  <w:style w:type="paragraph" w:styleId="ListBullet5">
    <w:name w:val="List Bullet 5"/>
    <w:basedOn w:val="Normal"/>
    <w:autoRedefine/>
    <w:rsid w:val="002A34C7"/>
    <w:pPr>
      <w:widowControl w:val="0"/>
      <w:numPr>
        <w:numId w:val="10"/>
      </w:numPr>
    </w:pPr>
    <w:rPr>
      <w:rFonts w:ascii="Courier" w:hAnsi="Courier"/>
      <w:snapToGrid w:val="0"/>
      <w:sz w:val="20"/>
      <w:szCs w:val="20"/>
    </w:rPr>
  </w:style>
  <w:style w:type="paragraph" w:styleId="ListNumber">
    <w:name w:val="List Number"/>
    <w:basedOn w:val="Normal"/>
    <w:rsid w:val="002A34C7"/>
    <w:pPr>
      <w:widowControl w:val="0"/>
      <w:numPr>
        <w:numId w:val="11"/>
      </w:numPr>
    </w:pPr>
    <w:rPr>
      <w:rFonts w:ascii="Courier" w:hAnsi="Courier"/>
      <w:snapToGrid w:val="0"/>
      <w:sz w:val="20"/>
      <w:szCs w:val="20"/>
    </w:rPr>
  </w:style>
  <w:style w:type="paragraph" w:styleId="ListNumber2">
    <w:name w:val="List Number 2"/>
    <w:basedOn w:val="Normal"/>
    <w:rsid w:val="002A34C7"/>
    <w:pPr>
      <w:widowControl w:val="0"/>
      <w:numPr>
        <w:numId w:val="12"/>
      </w:numPr>
    </w:pPr>
    <w:rPr>
      <w:rFonts w:ascii="Courier" w:hAnsi="Courier"/>
      <w:snapToGrid w:val="0"/>
      <w:sz w:val="20"/>
      <w:szCs w:val="20"/>
    </w:rPr>
  </w:style>
  <w:style w:type="paragraph" w:styleId="ListNumber3">
    <w:name w:val="List Number 3"/>
    <w:basedOn w:val="Normal"/>
    <w:rsid w:val="002A34C7"/>
    <w:pPr>
      <w:widowControl w:val="0"/>
      <w:numPr>
        <w:numId w:val="13"/>
      </w:numPr>
    </w:pPr>
    <w:rPr>
      <w:rFonts w:ascii="Courier" w:hAnsi="Courier"/>
      <w:snapToGrid w:val="0"/>
      <w:sz w:val="20"/>
      <w:szCs w:val="20"/>
    </w:rPr>
  </w:style>
  <w:style w:type="paragraph" w:styleId="ListNumber4">
    <w:name w:val="List Number 4"/>
    <w:basedOn w:val="Normal"/>
    <w:rsid w:val="002A34C7"/>
    <w:pPr>
      <w:widowControl w:val="0"/>
      <w:numPr>
        <w:numId w:val="14"/>
      </w:numPr>
    </w:pPr>
    <w:rPr>
      <w:rFonts w:ascii="Courier" w:hAnsi="Courier"/>
      <w:snapToGrid w:val="0"/>
      <w:sz w:val="20"/>
      <w:szCs w:val="20"/>
    </w:rPr>
  </w:style>
  <w:style w:type="paragraph" w:styleId="ListNumber5">
    <w:name w:val="List Number 5"/>
    <w:basedOn w:val="Normal"/>
    <w:rsid w:val="002A34C7"/>
    <w:pPr>
      <w:widowControl w:val="0"/>
      <w:numPr>
        <w:numId w:val="15"/>
      </w:numPr>
    </w:pPr>
    <w:rPr>
      <w:rFonts w:ascii="Courier" w:hAnsi="Courier"/>
      <w:snapToGrid w:val="0"/>
      <w:sz w:val="20"/>
      <w:szCs w:val="20"/>
    </w:rPr>
  </w:style>
  <w:style w:type="character" w:customStyle="1" w:styleId="1">
    <w:name w:val="1"/>
    <w:rsid w:val="002A34C7"/>
    <w:rPr>
      <w:rFonts w:ascii="Courier" w:hAnsi="Courier"/>
      <w:noProof w:val="0"/>
      <w:sz w:val="14"/>
      <w:lang w:val="en-US"/>
    </w:rPr>
  </w:style>
  <w:style w:type="paragraph" w:customStyle="1" w:styleId="tims">
    <w:name w:val="tims"/>
    <w:basedOn w:val="Normal"/>
    <w:rsid w:val="002A34C7"/>
    <w:rPr>
      <w:rFonts w:ascii="Arial Narrow" w:hAnsi="Arial Narrow"/>
      <w:sz w:val="10"/>
      <w:szCs w:val="20"/>
    </w:rPr>
  </w:style>
  <w:style w:type="paragraph" w:styleId="ListParagraph">
    <w:name w:val="List Paragraph"/>
    <w:basedOn w:val="Normal"/>
    <w:uiPriority w:val="34"/>
    <w:qFormat/>
    <w:rsid w:val="002A34C7"/>
    <w:pPr>
      <w:ind w:left="720"/>
    </w:pPr>
    <w:rPr>
      <w:rFonts w:ascii="Arial Narrow" w:hAnsi="Arial Narrow"/>
      <w:sz w:val="20"/>
      <w:szCs w:val="20"/>
    </w:rPr>
  </w:style>
  <w:style w:type="character" w:styleId="CommentReference">
    <w:name w:val="annotation reference"/>
    <w:uiPriority w:val="99"/>
    <w:rsid w:val="002A34C7"/>
    <w:rPr>
      <w:sz w:val="16"/>
      <w:szCs w:val="16"/>
    </w:rPr>
  </w:style>
  <w:style w:type="paragraph" w:styleId="CommentText">
    <w:name w:val="annotation text"/>
    <w:basedOn w:val="Normal"/>
    <w:link w:val="CommentTextChar"/>
    <w:uiPriority w:val="99"/>
    <w:rsid w:val="002A34C7"/>
    <w:rPr>
      <w:rFonts w:ascii="Arial Narrow" w:hAnsi="Arial Narrow"/>
      <w:sz w:val="20"/>
      <w:szCs w:val="20"/>
    </w:rPr>
  </w:style>
  <w:style w:type="character" w:customStyle="1" w:styleId="CommentTextChar">
    <w:name w:val="Comment Text Char"/>
    <w:basedOn w:val="DefaultParagraphFont"/>
    <w:link w:val="CommentText"/>
    <w:uiPriority w:val="99"/>
    <w:rsid w:val="002A34C7"/>
    <w:rPr>
      <w:rFonts w:ascii="Arial Narrow" w:hAnsi="Arial Narrow"/>
    </w:rPr>
  </w:style>
  <w:style w:type="paragraph" w:styleId="CommentSubject">
    <w:name w:val="annotation subject"/>
    <w:basedOn w:val="CommentText"/>
    <w:next w:val="CommentText"/>
    <w:link w:val="CommentSubjectChar"/>
    <w:rsid w:val="002A34C7"/>
    <w:rPr>
      <w:b/>
      <w:bCs/>
    </w:rPr>
  </w:style>
  <w:style w:type="character" w:customStyle="1" w:styleId="CommentSubjectChar">
    <w:name w:val="Comment Subject Char"/>
    <w:basedOn w:val="CommentTextChar"/>
    <w:link w:val="CommentSubject"/>
    <w:rsid w:val="002A34C7"/>
    <w:rPr>
      <w:rFonts w:ascii="Arial Narrow" w:hAnsi="Arial Narrow"/>
      <w:b/>
      <w:bCs/>
    </w:rPr>
  </w:style>
  <w:style w:type="paragraph" w:styleId="TOCHeading">
    <w:name w:val="TOC Heading"/>
    <w:basedOn w:val="Heading1"/>
    <w:next w:val="Normal"/>
    <w:uiPriority w:val="39"/>
    <w:semiHidden/>
    <w:unhideWhenUsed/>
    <w:qFormat/>
    <w:rsid w:val="002A34C7"/>
    <w:pPr>
      <w:keepLines/>
      <w:spacing w:before="480" w:after="0" w:line="276" w:lineRule="auto"/>
      <w:outlineLvl w:val="9"/>
    </w:pPr>
    <w:rPr>
      <w:rFonts w:ascii="Cambria" w:hAnsi="Cambria" w:cs="Times New Roman"/>
      <w:color w:val="365F91"/>
      <w:kern w:val="0"/>
    </w:rPr>
  </w:style>
  <w:style w:type="paragraph" w:styleId="TOC1">
    <w:name w:val="toc 1"/>
    <w:basedOn w:val="Normal"/>
    <w:next w:val="Normal"/>
    <w:autoRedefine/>
    <w:uiPriority w:val="39"/>
    <w:rsid w:val="002A34C7"/>
    <w:rPr>
      <w:rFonts w:ascii="Arial Narrow" w:hAnsi="Arial Narrow"/>
      <w:sz w:val="20"/>
      <w:szCs w:val="20"/>
    </w:rPr>
  </w:style>
  <w:style w:type="table" w:styleId="TableGrid">
    <w:name w:val="Table Grid"/>
    <w:basedOn w:val="TableNormal"/>
    <w:uiPriority w:val="59"/>
    <w:rsid w:val="002A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2E7F92"/>
    <w:pPr>
      <w:spacing w:before="100" w:beforeAutospacing="1" w:after="100" w:afterAutospacing="1"/>
    </w:pPr>
    <w:rPr>
      <w:rFonts w:ascii="Tahoma" w:hAnsi="Tahoma" w:cs="Tahoma"/>
      <w:color w:val="000000"/>
      <w:sz w:val="16"/>
      <w:szCs w:val="16"/>
    </w:rPr>
  </w:style>
  <w:style w:type="paragraph" w:customStyle="1" w:styleId="font6">
    <w:name w:val="font6"/>
    <w:basedOn w:val="Normal"/>
    <w:rsid w:val="002E7F92"/>
    <w:pPr>
      <w:spacing w:before="100" w:beforeAutospacing="1" w:after="100" w:afterAutospacing="1"/>
    </w:pPr>
    <w:rPr>
      <w:rFonts w:ascii="Tahoma" w:hAnsi="Tahoma" w:cs="Tahoma"/>
      <w:b/>
      <w:bCs/>
      <w:color w:val="000000"/>
      <w:sz w:val="16"/>
      <w:szCs w:val="16"/>
    </w:rPr>
  </w:style>
  <w:style w:type="paragraph" w:customStyle="1" w:styleId="xl314">
    <w:name w:val="xl314"/>
    <w:basedOn w:val="Normal"/>
    <w:rsid w:val="002E7F92"/>
    <w:pPr>
      <w:shd w:val="clear" w:color="FFFFFF" w:fill="C0C0C0"/>
      <w:spacing w:before="100" w:beforeAutospacing="1" w:after="100" w:afterAutospacing="1"/>
      <w:jc w:val="center"/>
      <w:textAlignment w:val="center"/>
    </w:pPr>
    <w:rPr>
      <w:rFonts w:ascii="Arial" w:hAnsi="Arial" w:cs="Arial"/>
      <w:color w:val="000000"/>
      <w:sz w:val="20"/>
      <w:szCs w:val="20"/>
    </w:rPr>
  </w:style>
  <w:style w:type="paragraph" w:customStyle="1" w:styleId="xl315">
    <w:name w:val="xl315"/>
    <w:basedOn w:val="Normal"/>
    <w:rsid w:val="002E7F92"/>
    <w:pPr>
      <w:spacing w:before="100" w:beforeAutospacing="1" w:after="100" w:afterAutospacing="1"/>
      <w:jc w:val="center"/>
      <w:textAlignment w:val="center"/>
    </w:pPr>
  </w:style>
  <w:style w:type="paragraph" w:customStyle="1" w:styleId="xl316">
    <w:name w:val="xl316"/>
    <w:basedOn w:val="Normal"/>
    <w:rsid w:val="002E7F92"/>
    <w:pPr>
      <w:spacing w:before="100" w:beforeAutospacing="1" w:after="100" w:afterAutospacing="1"/>
      <w:jc w:val="center"/>
      <w:textAlignment w:val="center"/>
    </w:pPr>
    <w:rPr>
      <w:rFonts w:ascii="Arial" w:hAnsi="Arial" w:cs="Arial"/>
      <w:color w:val="FF0000"/>
      <w:sz w:val="20"/>
      <w:szCs w:val="20"/>
    </w:rPr>
  </w:style>
  <w:style w:type="paragraph" w:customStyle="1" w:styleId="xl317">
    <w:name w:val="xl317"/>
    <w:basedOn w:val="Normal"/>
    <w:rsid w:val="002E7F92"/>
    <w:pPr>
      <w:spacing w:before="100" w:beforeAutospacing="1" w:after="100" w:afterAutospacing="1"/>
      <w:jc w:val="center"/>
      <w:textAlignment w:val="center"/>
    </w:pPr>
    <w:rPr>
      <w:rFonts w:ascii="Arial" w:hAnsi="Arial" w:cs="Arial"/>
      <w:color w:val="000000"/>
      <w:sz w:val="20"/>
      <w:szCs w:val="20"/>
    </w:rPr>
  </w:style>
  <w:style w:type="paragraph" w:customStyle="1" w:styleId="xl318">
    <w:name w:val="xl318"/>
    <w:basedOn w:val="Normal"/>
    <w:rsid w:val="002E7F92"/>
    <w:pPr>
      <w:shd w:val="clear" w:color="000000" w:fill="AF1E2D"/>
      <w:spacing w:before="100" w:beforeAutospacing="1" w:after="100" w:afterAutospacing="1"/>
      <w:jc w:val="center"/>
      <w:textAlignment w:val="center"/>
    </w:pPr>
    <w:rPr>
      <w:rFonts w:ascii="Arial" w:hAnsi="Arial" w:cs="Arial"/>
      <w:b/>
      <w:bCs/>
      <w:color w:val="FFFFFF"/>
      <w:sz w:val="20"/>
      <w:szCs w:val="20"/>
    </w:rPr>
  </w:style>
  <w:style w:type="paragraph" w:customStyle="1" w:styleId="xl319">
    <w:name w:val="xl319"/>
    <w:basedOn w:val="Normal"/>
    <w:rsid w:val="002E7F92"/>
    <w:pPr>
      <w:shd w:val="clear" w:color="000000" w:fill="000000"/>
      <w:spacing w:before="100" w:beforeAutospacing="1" w:after="100" w:afterAutospacing="1"/>
      <w:jc w:val="center"/>
      <w:textAlignment w:val="center"/>
    </w:pPr>
    <w:rPr>
      <w:rFonts w:ascii="Arial" w:hAnsi="Arial" w:cs="Arial"/>
      <w:b/>
      <w:bCs/>
      <w:color w:val="FFFFFF"/>
      <w:sz w:val="20"/>
      <w:szCs w:val="20"/>
    </w:rPr>
  </w:style>
  <w:style w:type="paragraph" w:customStyle="1" w:styleId="xl320">
    <w:name w:val="xl320"/>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1">
    <w:name w:val="xl321"/>
    <w:basedOn w:val="Normal"/>
    <w:rsid w:val="002E7F92"/>
    <w:pPr>
      <w:spacing w:before="100" w:beforeAutospacing="1" w:after="100" w:afterAutospacing="1"/>
      <w:jc w:val="center"/>
      <w:textAlignment w:val="center"/>
    </w:pPr>
  </w:style>
  <w:style w:type="paragraph" w:customStyle="1" w:styleId="xl322">
    <w:name w:val="xl322"/>
    <w:basedOn w:val="Normal"/>
    <w:rsid w:val="002E7F92"/>
    <w:pPr>
      <w:shd w:val="clear" w:color="000000" w:fill="808080"/>
      <w:spacing w:before="100" w:beforeAutospacing="1" w:after="100" w:afterAutospacing="1"/>
      <w:jc w:val="center"/>
      <w:textAlignment w:val="center"/>
    </w:pPr>
    <w:rPr>
      <w:rFonts w:ascii="Arial" w:hAnsi="Arial" w:cs="Arial"/>
      <w:b/>
      <w:bCs/>
      <w:color w:val="FFFFFF"/>
      <w:sz w:val="20"/>
      <w:szCs w:val="20"/>
    </w:rPr>
  </w:style>
  <w:style w:type="paragraph" w:customStyle="1" w:styleId="xl323">
    <w:name w:val="xl323"/>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4">
    <w:name w:val="xl324"/>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5">
    <w:name w:val="xl325"/>
    <w:basedOn w:val="Normal"/>
    <w:rsid w:val="002E7F92"/>
    <w:pPr>
      <w:spacing w:before="100" w:beforeAutospacing="1" w:after="100" w:afterAutospacing="1"/>
      <w:jc w:val="center"/>
      <w:textAlignment w:val="center"/>
    </w:pPr>
  </w:style>
  <w:style w:type="paragraph" w:customStyle="1" w:styleId="xl326">
    <w:name w:val="xl326"/>
    <w:basedOn w:val="Normal"/>
    <w:rsid w:val="002E7F92"/>
    <w:pPr>
      <w:spacing w:before="100" w:beforeAutospacing="1" w:after="100" w:afterAutospacing="1"/>
      <w:jc w:val="center"/>
      <w:textAlignment w:val="center"/>
    </w:pPr>
  </w:style>
  <w:style w:type="paragraph" w:customStyle="1" w:styleId="xl327">
    <w:name w:val="xl327"/>
    <w:basedOn w:val="Normal"/>
    <w:rsid w:val="002E7F92"/>
    <w:pPr>
      <w:spacing w:before="100" w:beforeAutospacing="1" w:after="100" w:afterAutospacing="1"/>
      <w:jc w:val="center"/>
      <w:textAlignment w:val="center"/>
    </w:pPr>
    <w:rPr>
      <w:rFonts w:ascii="Arial" w:hAnsi="Arial" w:cs="Arial"/>
      <w:color w:val="FF0000"/>
      <w:sz w:val="20"/>
      <w:szCs w:val="20"/>
    </w:rPr>
  </w:style>
  <w:style w:type="paragraph" w:customStyle="1" w:styleId="xl328">
    <w:name w:val="xl328"/>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9">
    <w:name w:val="xl329"/>
    <w:basedOn w:val="Normal"/>
    <w:rsid w:val="002E7F92"/>
    <w:pPr>
      <w:spacing w:before="100" w:beforeAutospacing="1" w:after="100" w:afterAutospacing="1"/>
      <w:jc w:val="center"/>
      <w:textAlignment w:val="center"/>
    </w:pPr>
  </w:style>
  <w:style w:type="paragraph" w:customStyle="1" w:styleId="xl330">
    <w:name w:val="xl330"/>
    <w:basedOn w:val="Normal"/>
    <w:rsid w:val="002E7F92"/>
    <w:pPr>
      <w:spacing w:before="100" w:beforeAutospacing="1" w:after="100" w:afterAutospacing="1"/>
      <w:jc w:val="center"/>
      <w:textAlignment w:val="center"/>
    </w:pPr>
  </w:style>
  <w:style w:type="paragraph" w:customStyle="1" w:styleId="xl331">
    <w:name w:val="xl331"/>
    <w:basedOn w:val="Normal"/>
    <w:rsid w:val="002E7F92"/>
    <w:pPr>
      <w:shd w:val="clear" w:color="000000" w:fill="FFFFFF"/>
      <w:spacing w:before="100" w:beforeAutospacing="1" w:after="100" w:afterAutospacing="1"/>
      <w:jc w:val="center"/>
      <w:textAlignment w:val="center"/>
    </w:pPr>
    <w:rPr>
      <w:rFonts w:ascii="Arial" w:hAnsi="Arial" w:cs="Arial"/>
      <w:b/>
      <w:bCs/>
      <w:sz w:val="20"/>
      <w:szCs w:val="20"/>
    </w:rPr>
  </w:style>
  <w:style w:type="paragraph" w:styleId="EndnoteText">
    <w:name w:val="endnote text"/>
    <w:basedOn w:val="Normal"/>
    <w:link w:val="EndnoteTextChar"/>
    <w:uiPriority w:val="99"/>
    <w:semiHidden/>
    <w:unhideWhenUsed/>
    <w:rsid w:val="00605403"/>
    <w:rPr>
      <w:sz w:val="20"/>
      <w:szCs w:val="20"/>
    </w:rPr>
  </w:style>
  <w:style w:type="character" w:customStyle="1" w:styleId="EndnoteTextChar">
    <w:name w:val="Endnote Text Char"/>
    <w:basedOn w:val="DefaultParagraphFont"/>
    <w:link w:val="EndnoteText"/>
    <w:uiPriority w:val="99"/>
    <w:semiHidden/>
    <w:rsid w:val="00605403"/>
  </w:style>
  <w:style w:type="character" w:styleId="EndnoteReference">
    <w:name w:val="endnote reference"/>
    <w:basedOn w:val="DefaultParagraphFont"/>
    <w:uiPriority w:val="99"/>
    <w:semiHidden/>
    <w:unhideWhenUsed/>
    <w:rsid w:val="00605403"/>
    <w:rPr>
      <w:vertAlign w:val="superscript"/>
    </w:rPr>
  </w:style>
  <w:style w:type="paragraph" w:styleId="FootnoteText">
    <w:name w:val="footnote text"/>
    <w:basedOn w:val="Normal"/>
    <w:link w:val="FootnoteTextChar"/>
    <w:uiPriority w:val="99"/>
    <w:semiHidden/>
    <w:unhideWhenUsed/>
    <w:rsid w:val="00605403"/>
    <w:rPr>
      <w:sz w:val="20"/>
      <w:szCs w:val="20"/>
    </w:rPr>
  </w:style>
  <w:style w:type="character" w:customStyle="1" w:styleId="FootnoteTextChar">
    <w:name w:val="Footnote Text Char"/>
    <w:basedOn w:val="DefaultParagraphFont"/>
    <w:link w:val="FootnoteText"/>
    <w:uiPriority w:val="99"/>
    <w:semiHidden/>
    <w:rsid w:val="00605403"/>
  </w:style>
  <w:style w:type="character" w:styleId="FootnoteReference">
    <w:name w:val="footnote reference"/>
    <w:basedOn w:val="DefaultParagraphFont"/>
    <w:uiPriority w:val="99"/>
    <w:semiHidden/>
    <w:unhideWhenUsed/>
    <w:rsid w:val="00605403"/>
    <w:rPr>
      <w:vertAlign w:val="superscript"/>
    </w:rPr>
  </w:style>
  <w:style w:type="character" w:styleId="PlaceholderText">
    <w:name w:val="Placeholder Text"/>
    <w:basedOn w:val="DefaultParagraphFont"/>
    <w:uiPriority w:val="99"/>
    <w:semiHidden/>
    <w:rsid w:val="00DC43AE"/>
    <w:rPr>
      <w:color w:val="808080"/>
    </w:rPr>
  </w:style>
  <w:style w:type="character" w:customStyle="1" w:styleId="FooterChar">
    <w:name w:val="Footer Char"/>
    <w:basedOn w:val="DefaultParagraphFont"/>
    <w:link w:val="Footer"/>
    <w:rsid w:val="00DE32C7"/>
    <w:rPr>
      <w:sz w:val="24"/>
      <w:szCs w:val="24"/>
    </w:rPr>
  </w:style>
  <w:style w:type="paragraph" w:customStyle="1" w:styleId="xl65">
    <w:name w:val="xl65"/>
    <w:basedOn w:val="Normal"/>
    <w:rsid w:val="005F275C"/>
    <w:pPr>
      <w:shd w:val="clear" w:color="000000" w:fill="000000"/>
      <w:spacing w:before="100" w:beforeAutospacing="1" w:after="100" w:afterAutospacing="1"/>
      <w:textAlignment w:val="center"/>
    </w:pPr>
    <w:rPr>
      <w:rFonts w:ascii="Arial" w:hAnsi="Arial" w:cs="Arial"/>
      <w:b/>
      <w:bCs/>
      <w:color w:val="FFFFFF"/>
      <w:sz w:val="16"/>
      <w:szCs w:val="16"/>
    </w:rPr>
  </w:style>
  <w:style w:type="paragraph" w:customStyle="1" w:styleId="xl66">
    <w:name w:val="xl66"/>
    <w:basedOn w:val="Normal"/>
    <w:rsid w:val="005F275C"/>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w:hAnsi="Arial" w:cs="Arial"/>
      <w:sz w:val="16"/>
      <w:szCs w:val="16"/>
    </w:rPr>
  </w:style>
  <w:style w:type="paragraph" w:styleId="Revision">
    <w:name w:val="Revision"/>
    <w:hidden/>
    <w:uiPriority w:val="99"/>
    <w:semiHidden/>
    <w:rsid w:val="00CA4C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269815">
      <w:bodyDiv w:val="1"/>
      <w:marLeft w:val="0"/>
      <w:marRight w:val="0"/>
      <w:marTop w:val="0"/>
      <w:marBottom w:val="0"/>
      <w:divBdr>
        <w:top w:val="none" w:sz="0" w:space="0" w:color="auto"/>
        <w:left w:val="none" w:sz="0" w:space="0" w:color="auto"/>
        <w:bottom w:val="none" w:sz="0" w:space="0" w:color="auto"/>
        <w:right w:val="none" w:sz="0" w:space="0" w:color="auto"/>
      </w:divBdr>
    </w:div>
    <w:div w:id="589507317">
      <w:bodyDiv w:val="1"/>
      <w:marLeft w:val="0"/>
      <w:marRight w:val="0"/>
      <w:marTop w:val="0"/>
      <w:marBottom w:val="0"/>
      <w:divBdr>
        <w:top w:val="none" w:sz="0" w:space="0" w:color="auto"/>
        <w:left w:val="none" w:sz="0" w:space="0" w:color="auto"/>
        <w:bottom w:val="none" w:sz="0" w:space="0" w:color="auto"/>
        <w:right w:val="none" w:sz="0" w:space="0" w:color="auto"/>
      </w:divBdr>
    </w:div>
    <w:div w:id="701252255">
      <w:bodyDiv w:val="1"/>
      <w:marLeft w:val="0"/>
      <w:marRight w:val="0"/>
      <w:marTop w:val="0"/>
      <w:marBottom w:val="0"/>
      <w:divBdr>
        <w:top w:val="none" w:sz="0" w:space="0" w:color="auto"/>
        <w:left w:val="none" w:sz="0" w:space="0" w:color="auto"/>
        <w:bottom w:val="none" w:sz="0" w:space="0" w:color="auto"/>
        <w:right w:val="none" w:sz="0" w:space="0" w:color="auto"/>
      </w:divBdr>
    </w:div>
    <w:div w:id="756631371">
      <w:bodyDiv w:val="1"/>
      <w:marLeft w:val="0"/>
      <w:marRight w:val="0"/>
      <w:marTop w:val="0"/>
      <w:marBottom w:val="0"/>
      <w:divBdr>
        <w:top w:val="none" w:sz="0" w:space="0" w:color="auto"/>
        <w:left w:val="none" w:sz="0" w:space="0" w:color="auto"/>
        <w:bottom w:val="none" w:sz="0" w:space="0" w:color="auto"/>
        <w:right w:val="none" w:sz="0" w:space="0" w:color="auto"/>
      </w:divBdr>
    </w:div>
    <w:div w:id="771123185">
      <w:bodyDiv w:val="1"/>
      <w:marLeft w:val="0"/>
      <w:marRight w:val="0"/>
      <w:marTop w:val="0"/>
      <w:marBottom w:val="0"/>
      <w:divBdr>
        <w:top w:val="none" w:sz="0" w:space="0" w:color="auto"/>
        <w:left w:val="none" w:sz="0" w:space="0" w:color="auto"/>
        <w:bottom w:val="none" w:sz="0" w:space="0" w:color="auto"/>
        <w:right w:val="none" w:sz="0" w:space="0" w:color="auto"/>
      </w:divBdr>
    </w:div>
    <w:div w:id="899168191">
      <w:bodyDiv w:val="1"/>
      <w:marLeft w:val="0"/>
      <w:marRight w:val="0"/>
      <w:marTop w:val="0"/>
      <w:marBottom w:val="0"/>
      <w:divBdr>
        <w:top w:val="none" w:sz="0" w:space="0" w:color="auto"/>
        <w:left w:val="none" w:sz="0" w:space="0" w:color="auto"/>
        <w:bottom w:val="none" w:sz="0" w:space="0" w:color="auto"/>
        <w:right w:val="none" w:sz="0" w:space="0" w:color="auto"/>
      </w:divBdr>
    </w:div>
    <w:div w:id="952446879">
      <w:bodyDiv w:val="1"/>
      <w:marLeft w:val="0"/>
      <w:marRight w:val="0"/>
      <w:marTop w:val="0"/>
      <w:marBottom w:val="0"/>
      <w:divBdr>
        <w:top w:val="none" w:sz="0" w:space="0" w:color="auto"/>
        <w:left w:val="none" w:sz="0" w:space="0" w:color="auto"/>
        <w:bottom w:val="none" w:sz="0" w:space="0" w:color="auto"/>
        <w:right w:val="none" w:sz="0" w:space="0" w:color="auto"/>
      </w:divBdr>
    </w:div>
    <w:div w:id="1028944661">
      <w:bodyDiv w:val="1"/>
      <w:marLeft w:val="0"/>
      <w:marRight w:val="0"/>
      <w:marTop w:val="0"/>
      <w:marBottom w:val="0"/>
      <w:divBdr>
        <w:top w:val="none" w:sz="0" w:space="0" w:color="auto"/>
        <w:left w:val="none" w:sz="0" w:space="0" w:color="auto"/>
        <w:bottom w:val="none" w:sz="0" w:space="0" w:color="auto"/>
        <w:right w:val="none" w:sz="0" w:space="0" w:color="auto"/>
      </w:divBdr>
    </w:div>
    <w:div w:id="1076973774">
      <w:bodyDiv w:val="1"/>
      <w:marLeft w:val="0"/>
      <w:marRight w:val="0"/>
      <w:marTop w:val="0"/>
      <w:marBottom w:val="0"/>
      <w:divBdr>
        <w:top w:val="none" w:sz="0" w:space="0" w:color="auto"/>
        <w:left w:val="none" w:sz="0" w:space="0" w:color="auto"/>
        <w:bottom w:val="none" w:sz="0" w:space="0" w:color="auto"/>
        <w:right w:val="none" w:sz="0" w:space="0" w:color="auto"/>
      </w:divBdr>
    </w:div>
    <w:div w:id="1098019953">
      <w:bodyDiv w:val="1"/>
      <w:marLeft w:val="0"/>
      <w:marRight w:val="0"/>
      <w:marTop w:val="0"/>
      <w:marBottom w:val="0"/>
      <w:divBdr>
        <w:top w:val="none" w:sz="0" w:space="0" w:color="auto"/>
        <w:left w:val="none" w:sz="0" w:space="0" w:color="auto"/>
        <w:bottom w:val="none" w:sz="0" w:space="0" w:color="auto"/>
        <w:right w:val="none" w:sz="0" w:space="0" w:color="auto"/>
      </w:divBdr>
    </w:div>
    <w:div w:id="1242183161">
      <w:bodyDiv w:val="1"/>
      <w:marLeft w:val="0"/>
      <w:marRight w:val="0"/>
      <w:marTop w:val="0"/>
      <w:marBottom w:val="0"/>
      <w:divBdr>
        <w:top w:val="none" w:sz="0" w:space="0" w:color="auto"/>
        <w:left w:val="none" w:sz="0" w:space="0" w:color="auto"/>
        <w:bottom w:val="none" w:sz="0" w:space="0" w:color="auto"/>
        <w:right w:val="none" w:sz="0" w:space="0" w:color="auto"/>
      </w:divBdr>
    </w:div>
    <w:div w:id="1249462680">
      <w:bodyDiv w:val="1"/>
      <w:marLeft w:val="0"/>
      <w:marRight w:val="0"/>
      <w:marTop w:val="0"/>
      <w:marBottom w:val="0"/>
      <w:divBdr>
        <w:top w:val="none" w:sz="0" w:space="0" w:color="auto"/>
        <w:left w:val="none" w:sz="0" w:space="0" w:color="auto"/>
        <w:bottom w:val="none" w:sz="0" w:space="0" w:color="auto"/>
        <w:right w:val="none" w:sz="0" w:space="0" w:color="auto"/>
      </w:divBdr>
    </w:div>
    <w:div w:id="1351836408">
      <w:bodyDiv w:val="1"/>
      <w:marLeft w:val="0"/>
      <w:marRight w:val="0"/>
      <w:marTop w:val="0"/>
      <w:marBottom w:val="0"/>
      <w:divBdr>
        <w:top w:val="none" w:sz="0" w:space="0" w:color="auto"/>
        <w:left w:val="none" w:sz="0" w:space="0" w:color="auto"/>
        <w:bottom w:val="none" w:sz="0" w:space="0" w:color="auto"/>
        <w:right w:val="none" w:sz="0" w:space="0" w:color="auto"/>
      </w:divBdr>
    </w:div>
    <w:div w:id="1419400217">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1656642705">
      <w:bodyDiv w:val="1"/>
      <w:marLeft w:val="0"/>
      <w:marRight w:val="0"/>
      <w:marTop w:val="0"/>
      <w:marBottom w:val="0"/>
      <w:divBdr>
        <w:top w:val="none" w:sz="0" w:space="0" w:color="auto"/>
        <w:left w:val="none" w:sz="0" w:space="0" w:color="auto"/>
        <w:bottom w:val="none" w:sz="0" w:space="0" w:color="auto"/>
        <w:right w:val="none" w:sz="0" w:space="0" w:color="auto"/>
      </w:divBdr>
    </w:div>
    <w:div w:id="1987857284">
      <w:bodyDiv w:val="1"/>
      <w:marLeft w:val="0"/>
      <w:marRight w:val="0"/>
      <w:marTop w:val="0"/>
      <w:marBottom w:val="0"/>
      <w:divBdr>
        <w:top w:val="none" w:sz="0" w:space="0" w:color="auto"/>
        <w:left w:val="none" w:sz="0" w:space="0" w:color="auto"/>
        <w:bottom w:val="none" w:sz="0" w:space="0" w:color="auto"/>
        <w:right w:val="none" w:sz="0" w:space="0" w:color="auto"/>
      </w:divBdr>
    </w:div>
    <w:div w:id="2058164823">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 w:id="208129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holesale.frontier.com/docs/wholesaledocs/frontier-trouble-administration-guide.pdf?sfvrsn=2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holesale.frontier.com/wholesale/billing" TargetMode="External"/><Relationship Id="rId7" Type="http://schemas.openxmlformats.org/officeDocument/2006/relationships/settings" Target="settings.xml"/><Relationship Id="rId12" Type="http://schemas.openxmlformats.org/officeDocument/2006/relationships/hyperlink" Target="https://wholesale.frontier.com/wholesale/access-services/asr-samples-by-product"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holesale.frontier.com/wholesale/systems-and-online-tools/connectivity-and-e-bondin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package" Target="embeddings/Microsoft_Excel_Worksheet.xlsx"/><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7CA5A9-3774-49C6-9E77-3EA4C2384E24}">
  <ds:schemaRefs>
    <ds:schemaRef ds:uri="http://schemas.openxmlformats.org/officeDocument/2006/bibliography"/>
  </ds:schemaRefs>
</ds:datastoreItem>
</file>

<file path=customXml/itemProps2.xml><?xml version="1.0" encoding="utf-8"?>
<ds:datastoreItem xmlns:ds="http://schemas.openxmlformats.org/officeDocument/2006/customXml" ds:itemID="{64914428-943B-4FBC-A176-61741ECB6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A2CEC-8705-48E6-9E2C-807B24CD06C5}">
  <ds:schemaRefs>
    <ds:schemaRef ds:uri="http://schemas.microsoft.com/sharepoint/v3/contenttype/forms"/>
  </ds:schemaRefs>
</ds:datastoreItem>
</file>

<file path=customXml/itemProps4.xml><?xml version="1.0" encoding="utf-8"?>
<ds:datastoreItem xmlns:ds="http://schemas.openxmlformats.org/officeDocument/2006/customXml" ds:itemID="{393227EF-6E1B-48DE-B9F9-509299E889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creator>Lisa.Partridge@ftr.com</dc:creator>
  <cp:lastModifiedBy>Beck, Cody</cp:lastModifiedBy>
  <cp:revision>11</cp:revision>
  <cp:lastPrinted>2012-06-28T13:25:00Z</cp:lastPrinted>
  <dcterms:created xsi:type="dcterms:W3CDTF">2020-09-29T14:55:00Z</dcterms:created>
  <dcterms:modified xsi:type="dcterms:W3CDTF">2021-08-26T13:46:00Z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2021-07-30T21:36:40Z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1ba38d5c-a7bf-4aaa-bb7c-a6e7753bd2b1</vt:lpwstr>
  </property>
  <property fmtid="{D5CDD505-2E9C-101B-9397-08002B2CF9AE}" pid="9" name="MSIP_Label_e463cba9-5f6c-478d-9329-7b2295e4e8ed_ContentBits">
    <vt:lpwstr>0</vt:lpwstr>
  </property>
</Properties>
</file>