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60" w:after="60"/>
        <w:widowControl/>
      </w:pPr>
      <w:r>
        <w:rPr>
          <w:rFonts w:ascii="Aptos Display" w:hAnsi="Aptos Display" w:eastAsia="Aptos Display"/>
          <w:b/>
          <w:color w:val="20354A"/>
          <w:sz w:val="84"/>
        </w:rPr>
        <w:t>THOTH</w:t>
      </w:r>
    </w:p>
    <w:p>
      <w:pPr>
        <w:spacing w:after="260"/>
        <w:pBdr>
          <w:bottom w:val="single" w:sz="18" w:space="9" w:color="167C80"/>
        </w:pBdr>
        <w:widowControl/>
      </w:pPr>
      <w:r>
        <w:rPr>
          <w:rFonts w:ascii="Aptos" w:hAnsi="Aptos" w:eastAsia="Aptos"/>
          <w:b/>
          <w:color w:val="167C80"/>
          <w:sz w:val="28"/>
        </w:rPr>
        <w:t>PRODUCT VISION &amp; FUNCTIONAL REQUIREMENTS</w:t>
      </w:r>
    </w:p>
    <w:p>
      <w:pPr>
        <w:spacing w:before="200" w:after="440"/>
        <w:widowControl/>
      </w:pPr>
      <w:r>
        <w:rPr>
          <w:rFonts w:ascii="Aptos" w:hAnsi="Aptos" w:eastAsia="Aptos"/>
          <w:color w:val="20354A"/>
          <w:sz w:val="34"/>
        </w:rPr>
        <w:t>A research companion for discovering questions, developing original ideas, and building defensible knowledge.</w:t>
      </w:r>
    </w:p>
    <w:tbl>
      <w:tblPr>
        <w:tblW w:type="auto" w:w="0"/>
        <w:jc w:val="center"/>
        <w:tblLayout w:type="fixed"/>
        <w:tblLook w:firstColumn="1" w:firstRow="1" w:lastColumn="0" w:lastRow="0" w:noHBand="0" w:noVBand="1" w:val="04A0"/>
      </w:tblPr>
      <w:tblGrid>
        <w:gridCol w:w="9792"/>
      </w:tblGrid>
      <w:tr>
        <w:trPr>
          <w:cantSplit/>
        </w:trPr>
        <w:tc>
          <w:tcPr>
            <w:tcW w:type="dxa" w:w="9792"/>
            <w:shd w:fill="EEF4F5"/>
            <w:tcMar>
              <w:top w:w="150" w:type="dxa"/>
              <w:start w:w="200" w:type="dxa"/>
              <w:bottom w:w="150" w:type="dxa"/>
              <w:end w:w="200" w:type="dxa"/>
            </w:tcMar>
          </w:tcPr>
          <w:p>
            <w:pPr>
              <w:spacing w:after="60"/>
            </w:pPr>
            <w:r>
              <w:rPr>
                <w:rFonts w:ascii="Aptos" w:hAnsi="Aptos" w:eastAsia="Aptos"/>
                <w:b/>
                <w:color w:val="167C80"/>
                <w:sz w:val="21"/>
              </w:rPr>
              <w:t>THE CENTRAL IDEA</w:t>
            </w:r>
          </w:p>
          <w:p>
            <w:pPr>
              <w:spacing w:after="0" w:line="259" w:lineRule="auto"/>
            </w:pPr>
            <w:r>
              <w:rPr>
                <w:rFonts w:ascii="Aptos" w:hAnsi="Aptos" w:eastAsia="Aptos"/>
                <w:color w:val="202B33"/>
                <w:sz w:val="19"/>
              </w:rPr>
              <w:t>Thoth should not merely answer questions a researcher already knows how to ask. It should help people discover which questions are worth asking, understand what existing scholarship establishes, and investigate what might meaningfully add to that knowledge.</w:t>
            </w:r>
          </w:p>
        </w:tc>
      </w:tr>
    </w:tbl>
    <w:p>
      <w:pPr>
        <w:spacing w:after="20"/>
        <w:widowControl/>
      </w:pPr>
    </w:p>
    <w:p>
      <w:pPr>
        <w:spacing w:before="920" w:after="60"/>
        <w:widowControl/>
      </w:pPr>
      <w:r>
        <w:rPr>
          <w:rFonts w:ascii="Aptos" w:hAnsi="Aptos" w:eastAsia="Aptos"/>
          <w:b/>
          <w:color w:val="536675"/>
          <w:sz w:val="18"/>
        </w:rPr>
        <w:t>VISION BRIEF  •  VERSION 1.0</w:t>
      </w:r>
    </w:p>
    <w:p>
      <w:pPr>
        <w:spacing w:after="60"/>
        <w:widowControl/>
      </w:pPr>
      <w:r>
        <w:rPr>
          <w:rFonts w:ascii="Aptos" w:hAnsi="Aptos" w:eastAsia="Aptos"/>
          <w:color w:val="536675"/>
          <w:sz w:val="18"/>
        </w:rPr>
        <w:t>Prepared 15 October 2026</w:t>
      </w:r>
    </w:p>
    <w:p>
      <w:pPr>
        <w:spacing w:after="0"/>
        <w:widowControl/>
      </w:pPr>
      <w:r>
        <w:rPr>
          <w:rFonts w:ascii="Aptos" w:hAnsi="Aptos" w:eastAsia="Aptos"/>
          <w:color w:val="536675"/>
          <w:sz w:val="18"/>
        </w:rPr>
        <w:t>Open-source ambition  |  Evidence-led  |  Simple by design</w:t>
      </w:r>
    </w:p>
    <w:p>
      <w:pPr>
        <w:widowControl/>
      </w:pPr>
      <w:r>
        <w:br w:type="page"/>
      </w:r>
    </w:p>
    <w:p>
      <w:pPr>
        <w:pStyle w:val="Heading1"/>
        <w:keepNext/>
        <w:spacing w:before="260" w:after="100"/>
        <w:widowControl/>
      </w:pPr>
      <w:r>
        <w:rPr>
          <w:rFonts w:ascii="Aptos" w:hAnsi="Aptos" w:eastAsia="Aptos"/>
          <w:b/>
          <w:color w:val="20354A"/>
          <w:sz w:val="34"/>
        </w:rPr>
        <w:t>Document purpose and scope</w:t>
      </w:r>
    </w:p>
    <w:p>
      <w:pPr>
        <w:keepLines/>
        <w:spacing w:after="100" w:line="264" w:lineRule="auto"/>
        <w:widowControl/>
      </w:pPr>
      <w:r>
        <w:rPr>
          <w:rFonts w:ascii="Aptos" w:hAnsi="Aptos" w:eastAsia="Aptos"/>
          <w:color w:val="202B33"/>
          <w:sz w:val="20"/>
        </w:rPr>
        <w:t>This document consolidates the target-state product vision, behaviour, and functional principles agreed during the discussion. It is intended to guide later requirements refinement and technical planning.</w:t>
      </w:r>
    </w:p>
    <w:tbl>
      <w:tblPr>
        <w:tblW w:type="auto" w:w="0"/>
        <w:jc w:val="center"/>
        <w:tblLayout w:type="fixed"/>
        <w:tblLook w:firstColumn="1" w:firstRow="1" w:lastColumn="0" w:lastRow="0" w:noHBand="0" w:noVBand="1" w:val="04A0"/>
      </w:tblPr>
      <w:tblGrid>
        <w:gridCol w:w="9792"/>
      </w:tblGrid>
      <w:tr>
        <w:trPr>
          <w:cantSplit/>
        </w:trPr>
        <w:tc>
          <w:tcPr>
            <w:tcW w:type="dxa" w:w="9792"/>
            <w:shd w:fill="FBF5E9"/>
            <w:tcMar>
              <w:top w:w="150" w:type="dxa"/>
              <w:start w:w="200" w:type="dxa"/>
              <w:bottom w:w="150" w:type="dxa"/>
              <w:end w:w="200" w:type="dxa"/>
            </w:tcMar>
          </w:tcPr>
          <w:p>
            <w:pPr>
              <w:spacing w:after="60"/>
            </w:pPr>
            <w:r>
              <w:rPr>
                <w:rFonts w:ascii="Aptos" w:hAnsi="Aptos" w:eastAsia="Aptos"/>
                <w:b/>
                <w:color w:val="C48A32"/>
                <w:sz w:val="21"/>
              </w:rPr>
              <w:t>SCOPE NOTE</w:t>
            </w:r>
          </w:p>
          <w:p>
            <w:pPr>
              <w:spacing w:after="0" w:line="259" w:lineRule="auto"/>
            </w:pPr>
            <w:r>
              <w:rPr>
                <w:rFonts w:ascii="Aptos" w:hAnsi="Aptos" w:eastAsia="Aptos"/>
                <w:color w:val="202B33"/>
                <w:sz w:val="19"/>
              </w:rPr>
              <w:t>This is a vision document, not a current-system audit or implementation plan. The section comparing what exists today with what needs to change is intentionally deferred until a thorough analysis of the repository and the confirmed vision has been completed.</w:t>
            </w:r>
          </w:p>
        </w:tc>
      </w:tr>
    </w:tbl>
    <w:p>
      <w:pPr>
        <w:spacing w:after="20"/>
        <w:widowControl/>
      </w:pPr>
    </w:p>
    <w:p>
      <w:pPr>
        <w:pStyle w:val="Heading2"/>
        <w:keepNext/>
        <w:spacing w:before="160" w:after="60"/>
        <w:widowControl/>
      </w:pPr>
      <w:r>
        <w:rPr>
          <w:rFonts w:ascii="Aptos" w:hAnsi="Aptos" w:eastAsia="Aptos"/>
          <w:b/>
          <w:color w:val="167C80"/>
          <w:sz w:val="25"/>
        </w:rPr>
        <w:t>Contents</w:t>
      </w:r>
    </w:p>
    <w:p>
      <w:pPr>
        <w:spacing w:after="40" w:line="240" w:lineRule="auto"/>
        <w:ind w:left="230"/>
        <w:widowControl/>
      </w:pPr>
      <w:r>
        <w:rPr>
          <w:rFonts w:ascii="Aptos" w:hAnsi="Aptos" w:eastAsia="Aptos"/>
          <w:color w:val="202B33"/>
          <w:sz w:val="19"/>
        </w:rPr>
        <w:t>1. Product north star</w:t>
      </w:r>
    </w:p>
    <w:p>
      <w:pPr>
        <w:spacing w:after="40" w:line="240" w:lineRule="auto"/>
        <w:ind w:left="230"/>
        <w:widowControl/>
      </w:pPr>
      <w:r>
        <w:rPr>
          <w:rFonts w:ascii="Aptos" w:hAnsi="Aptos" w:eastAsia="Aptos"/>
          <w:color w:val="202B33"/>
          <w:sz w:val="19"/>
        </w:rPr>
        <w:t>2. Core product principles</w:t>
      </w:r>
    </w:p>
    <w:p>
      <w:pPr>
        <w:spacing w:after="40" w:line="240" w:lineRule="auto"/>
        <w:ind w:left="230"/>
        <w:widowControl/>
      </w:pPr>
      <w:r>
        <w:rPr>
          <w:rFonts w:ascii="Aptos" w:hAnsi="Aptos" w:eastAsia="Aptos"/>
          <w:color w:val="202B33"/>
          <w:sz w:val="19"/>
        </w:rPr>
        <w:t>3. The end-to-end research journey</w:t>
      </w:r>
    </w:p>
    <w:p>
      <w:pPr>
        <w:spacing w:after="40" w:line="240" w:lineRule="auto"/>
        <w:ind w:left="230"/>
        <w:widowControl/>
      </w:pPr>
      <w:r>
        <w:rPr>
          <w:rFonts w:ascii="Aptos" w:hAnsi="Aptos" w:eastAsia="Aptos"/>
          <w:color w:val="202B33"/>
          <w:sz w:val="19"/>
        </w:rPr>
        <w:t>4. Originality and research integrity</w:t>
      </w:r>
    </w:p>
    <w:p>
      <w:pPr>
        <w:spacing w:after="40" w:line="240" w:lineRule="auto"/>
        <w:ind w:left="230"/>
        <w:widowControl/>
      </w:pPr>
      <w:r>
        <w:rPr>
          <w:rFonts w:ascii="Aptos" w:hAnsi="Aptos" w:eastAsia="Aptos"/>
          <w:color w:val="202B33"/>
          <w:sz w:val="19"/>
        </w:rPr>
        <w:t>5. Literature discovery and paper analysis</w:t>
      </w:r>
    </w:p>
    <w:p>
      <w:pPr>
        <w:spacing w:after="40" w:line="240" w:lineRule="auto"/>
        <w:ind w:left="230"/>
        <w:widowControl/>
      </w:pPr>
      <w:r>
        <w:rPr>
          <w:rFonts w:ascii="Aptos" w:hAnsi="Aptos" w:eastAsia="Aptos"/>
          <w:color w:val="202B33"/>
          <w:sz w:val="19"/>
        </w:rPr>
        <w:t>6. Multi-agent research and intellectual rigour</w:t>
      </w:r>
    </w:p>
    <w:p>
      <w:pPr>
        <w:spacing w:after="40" w:line="240" w:lineRule="auto"/>
        <w:ind w:left="230"/>
        <w:widowControl/>
      </w:pPr>
      <w:r>
        <w:rPr>
          <w:rFonts w:ascii="Aptos" w:hAnsi="Aptos" w:eastAsia="Aptos"/>
          <w:color w:val="202B33"/>
          <w:sz w:val="19"/>
        </w:rPr>
        <w:t>7. Hypothesis development and research design</w:t>
      </w:r>
    </w:p>
    <w:p>
      <w:pPr>
        <w:spacing w:after="40" w:line="240" w:lineRule="auto"/>
        <w:ind w:left="230"/>
        <w:widowControl/>
      </w:pPr>
      <w:r>
        <w:rPr>
          <w:rFonts w:ascii="Aptos" w:hAnsi="Aptos" w:eastAsia="Aptos"/>
          <w:color w:val="202B33"/>
          <w:sz w:val="19"/>
        </w:rPr>
        <w:t>8. Reports, research history, and manuscripts</w:t>
      </w:r>
    </w:p>
    <w:p>
      <w:pPr>
        <w:spacing w:after="40" w:line="240" w:lineRule="auto"/>
        <w:ind w:left="230"/>
        <w:widowControl/>
      </w:pPr>
      <w:r>
        <w:rPr>
          <w:rFonts w:ascii="Aptos" w:hAnsi="Aptos" w:eastAsia="Aptos"/>
          <w:color w:val="202B33"/>
          <w:sz w:val="19"/>
        </w:rPr>
        <w:t>9. Storage, openness, and resource constraints</w:t>
      </w:r>
    </w:p>
    <w:p>
      <w:pPr>
        <w:spacing w:after="40" w:line="240" w:lineRule="auto"/>
        <w:ind w:left="230"/>
        <w:widowControl/>
      </w:pPr>
      <w:r>
        <w:rPr>
          <w:rFonts w:ascii="Aptos" w:hAnsi="Aptos" w:eastAsia="Aptos"/>
          <w:color w:val="202B33"/>
          <w:sz w:val="19"/>
        </w:rPr>
        <w:t>10. User experience and interaction rules</w:t>
      </w:r>
    </w:p>
    <w:p>
      <w:pPr>
        <w:spacing w:after="40" w:line="240" w:lineRule="auto"/>
        <w:ind w:left="230"/>
        <w:widowControl/>
      </w:pPr>
      <w:r>
        <w:rPr>
          <w:rFonts w:ascii="Aptos" w:hAnsi="Aptos" w:eastAsia="Aptos"/>
          <w:color w:val="202B33"/>
          <w:sz w:val="19"/>
        </w:rPr>
        <w:t>11. Guardrails and non-goals</w:t>
      </w:r>
    </w:p>
    <w:p>
      <w:pPr>
        <w:spacing w:after="40" w:line="240" w:lineRule="auto"/>
        <w:ind w:left="230"/>
        <w:widowControl/>
      </w:pPr>
      <w:r>
        <w:rPr>
          <w:rFonts w:ascii="Aptos" w:hAnsi="Aptos" w:eastAsia="Aptos"/>
          <w:color w:val="202B33"/>
          <w:sz w:val="19"/>
        </w:rPr>
        <w:t>12. Decisions to finalise in a later design pass</w:t>
      </w:r>
    </w:p>
    <w:p>
      <w:pPr>
        <w:pStyle w:val="Heading1"/>
        <w:keepNext/>
        <w:spacing w:before="260" w:after="100"/>
        <w:widowControl/>
      </w:pPr>
      <w:r>
        <w:rPr>
          <w:rFonts w:ascii="Aptos" w:hAnsi="Aptos" w:eastAsia="Aptos"/>
          <w:b/>
          <w:color w:val="20354A"/>
          <w:sz w:val="34"/>
        </w:rPr>
        <w:t>1. Product north star</w:t>
      </w:r>
    </w:p>
    <w:p>
      <w:pPr>
        <w:keepLines/>
        <w:spacing w:after="100" w:line="264" w:lineRule="auto"/>
        <w:widowControl/>
      </w:pPr>
      <w:r>
        <w:rPr>
          <w:rFonts w:ascii="Aptos" w:hAnsi="Aptos" w:eastAsia="Aptos"/>
          <w:color w:val="202B33"/>
          <w:sz w:val="20"/>
        </w:rPr>
        <w:t>Thoth is an open-source research companion that helps people move from curiosity to original, defensible contributions to knowledge. Unlike conventional research assistants that expect a predefined question and then retrieve papers to answer it, Thoth should support the entire intellectual journey: discovering research questions through conversation, exploring ideas, understanding existing scholarship, developing hypotheses, challenging them, and eventually producing rigorous reports and manuscript drafts.</w:t>
      </w:r>
    </w:p>
    <w:p>
      <w:pPr>
        <w:keepLines/>
        <w:spacing w:after="100" w:line="264" w:lineRule="auto"/>
        <w:widowControl/>
      </w:pPr>
      <w:r>
        <w:rPr>
          <w:rFonts w:ascii="Aptos" w:hAnsi="Aptos" w:eastAsia="Aptos"/>
          <w:color w:val="202B33"/>
          <w:sz w:val="20"/>
        </w:rPr>
        <w:t>A user should be able to open Thoth, begin with an observation or an ordinary conversation, and gradually discover a meaningful research direction without already knowing the exact question to ask.</w:t>
      </w:r>
    </w:p>
    <w:p>
      <w:pPr>
        <w:pStyle w:val="Heading2"/>
        <w:keepNext/>
        <w:spacing w:before="160" w:after="60"/>
        <w:widowControl/>
      </w:pPr>
      <w:r>
        <w:rPr>
          <w:rFonts w:ascii="Aptos" w:hAnsi="Aptos" w:eastAsia="Aptos"/>
          <w:b/>
          <w:color w:val="167C80"/>
          <w:sz w:val="25"/>
        </w:rPr>
        <w:t>Three connected roles</w:t>
      </w:r>
    </w:p>
    <w:tbl>
      <w:tblPr>
        <w:tblStyle w:val="TableGrid"/>
        <w:tblW w:type="auto" w:w="0"/>
        <w:jc w:val="center"/>
        <w:tblLayout w:type="fixed"/>
        <w:tblLook w:firstColumn="1" w:firstRow="1" w:lastColumn="0" w:lastRow="0" w:noHBand="0" w:noVBand="1" w:val="04A0"/>
      </w:tblPr>
      <w:tblGrid>
        <w:gridCol w:w="2952"/>
        <w:gridCol w:w="6696"/>
      </w:tblGrid>
      <w:tr>
        <w:trPr>
          <w:tblHeader w:val="true"/>
        </w:trPr>
        <w:tc>
          <w:tcPr>
            <w:tcW w:type="dxa" w:w="2952"/>
            <w:shd w:fill="20354A"/>
            <w:tcMar>
              <w:top w:w="90" w:type="dxa"/>
              <w:start w:w="110" w:type="dxa"/>
              <w:bottom w:w="90" w:type="dxa"/>
              <w:end w:w="110" w:type="dxa"/>
            </w:tcMar>
            <w:vAlign w:val="center"/>
          </w:tcPr>
          <w:p>
            <w:pPr>
              <w:spacing w:after="0"/>
            </w:pPr>
            <w:r>
              <w:rPr>
                <w:rFonts w:ascii="Aptos" w:hAnsi="Aptos" w:eastAsia="Aptos"/>
                <w:b/>
                <w:color w:val="FFFFFF"/>
                <w:sz w:val="18"/>
              </w:rPr>
              <w:t>Role</w:t>
            </w:r>
          </w:p>
        </w:tc>
        <w:tc>
          <w:tcPr>
            <w:tcW w:type="dxa" w:w="6696"/>
            <w:shd w:fill="20354A"/>
            <w:tcMar>
              <w:top w:w="90" w:type="dxa"/>
              <w:start w:w="110" w:type="dxa"/>
              <w:bottom w:w="90" w:type="dxa"/>
              <w:end w:w="110" w:type="dxa"/>
            </w:tcMar>
            <w:vAlign w:val="center"/>
          </w:tcPr>
          <w:p>
            <w:pPr>
              <w:spacing w:after="0"/>
            </w:pPr>
            <w:r>
              <w:rPr>
                <w:rFonts w:ascii="Aptos" w:hAnsi="Aptos" w:eastAsia="Aptos"/>
                <w:b/>
                <w:color w:val="FFFFFF"/>
                <w:sz w:val="18"/>
              </w:rPr>
              <w:t>Purpose</w:t>
            </w:r>
          </w:p>
        </w:tc>
      </w:tr>
      <w:tr>
        <w:trPr>
          <w:cantSplit/>
        </w:trPr>
        <w:tc>
          <w:tcPr>
            <w:tcW w:type="dxa" w:w="2952"/>
            <w:tcMar>
              <w:top w:w="75" w:type="dxa"/>
              <w:start w:w="105" w:type="dxa"/>
              <w:bottom w:w="75" w:type="dxa"/>
              <w:end w:w="105" w:type="dxa"/>
            </w:tcMar>
            <w:vAlign w:val="top"/>
          </w:tcPr>
          <w:p>
            <w:pPr>
              <w:spacing w:after="0" w:line="245" w:lineRule="auto"/>
            </w:pPr>
            <w:r>
              <w:rPr>
                <w:rFonts w:ascii="Aptos" w:hAnsi="Aptos" w:eastAsia="Aptos"/>
                <w:color w:val="202B33"/>
                <w:sz w:val="18"/>
              </w:rPr>
              <w:t>Conversational intellectual companion</w:t>
            </w:r>
          </w:p>
        </w:tc>
        <w:tc>
          <w:tcPr>
            <w:tcW w:type="dxa" w:w="6696"/>
            <w:tcMar>
              <w:top w:w="75" w:type="dxa"/>
              <w:start w:w="105" w:type="dxa"/>
              <w:bottom w:w="75" w:type="dxa"/>
              <w:end w:w="105" w:type="dxa"/>
            </w:tcMar>
            <w:vAlign w:val="top"/>
          </w:tcPr>
          <w:p>
            <w:pPr>
              <w:spacing w:after="0" w:line="245" w:lineRule="auto"/>
            </w:pPr>
            <w:r>
              <w:rPr>
                <w:rFonts w:ascii="Aptos" w:hAnsi="Aptos" w:eastAsia="Aptos"/>
                <w:color w:val="202B33"/>
                <w:sz w:val="18"/>
              </w:rPr>
              <w:t>Supports ordinary conversation, curiosity, interdisciplinary exploration, and natural brainstorming without requiring a formal research prompt.</w:t>
            </w:r>
          </w:p>
        </w:tc>
      </w:tr>
      <w:tr>
        <w:trPr>
          <w:cantSplit/>
        </w:trPr>
        <w:tc>
          <w:tcPr>
            <w:tcW w:type="dxa" w:w="2952"/>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Rigorous research investigator</w:t>
            </w:r>
          </w:p>
        </w:tc>
        <w:tc>
          <w:tcPr>
            <w:tcW w:type="dxa" w:w="6696"/>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Discovers, reads, compares, and critically evaluates literature; investigates contradictions; and assesses whether a proposed contribution is genuinely original.</w:t>
            </w:r>
          </w:p>
        </w:tc>
      </w:tr>
      <w:tr>
        <w:trPr>
          <w:cantSplit/>
        </w:trPr>
        <w:tc>
          <w:tcPr>
            <w:tcW w:type="dxa" w:w="2952"/>
            <w:tcMar>
              <w:top w:w="75" w:type="dxa"/>
              <w:start w:w="105" w:type="dxa"/>
              <w:bottom w:w="75" w:type="dxa"/>
              <w:end w:w="105" w:type="dxa"/>
            </w:tcMar>
            <w:vAlign w:val="top"/>
          </w:tcPr>
          <w:p>
            <w:pPr>
              <w:spacing w:after="0" w:line="245" w:lineRule="auto"/>
            </w:pPr>
            <w:r>
              <w:rPr>
                <w:rFonts w:ascii="Aptos" w:hAnsi="Aptos" w:eastAsia="Aptos"/>
                <w:color w:val="202B33"/>
                <w:sz w:val="18"/>
              </w:rPr>
              <w:t>Research-development partner</w:t>
            </w:r>
          </w:p>
        </w:tc>
        <w:tc>
          <w:tcPr>
            <w:tcW w:type="dxa" w:w="6696"/>
            <w:tcMar>
              <w:top w:w="75" w:type="dxa"/>
              <w:start w:w="105" w:type="dxa"/>
              <w:bottom w:w="75" w:type="dxa"/>
              <w:end w:w="105" w:type="dxa"/>
            </w:tcMar>
            <w:vAlign w:val="top"/>
          </w:tcPr>
          <w:p>
            <w:pPr>
              <w:spacing w:after="0" w:line="245" w:lineRule="auto"/>
            </w:pPr>
            <w:r>
              <w:rPr>
                <w:rFonts w:ascii="Aptos" w:hAnsi="Aptos" w:eastAsia="Aptos"/>
                <w:color w:val="202B33"/>
                <w:sz w:val="18"/>
              </w:rPr>
              <w:t>Helps refine hypotheses, design feasible studies, document evidence, and develop an evolving research manuscript without inventing results or overstating conclusions.</w:t>
            </w:r>
          </w:p>
        </w:tc>
      </w:tr>
    </w:tbl>
    <w:p>
      <w:pPr>
        <w:spacing w:after="20"/>
        <w:widowControl/>
      </w:pPr>
    </w:p>
    <w:tbl>
      <w:tblPr>
        <w:tblW w:type="auto" w:w="0"/>
        <w:jc w:val="center"/>
        <w:tblLayout w:type="fixed"/>
        <w:tblLook w:firstColumn="1" w:firstRow="1" w:lastColumn="0" w:lastRow="0" w:noHBand="0" w:noVBand="1" w:val="04A0"/>
      </w:tblPr>
      <w:tblGrid>
        <w:gridCol w:w="9792"/>
      </w:tblGrid>
      <w:tr>
        <w:trPr>
          <w:cantSplit/>
        </w:trPr>
        <w:tc>
          <w:tcPr>
            <w:tcW w:type="dxa" w:w="9792"/>
            <w:shd w:fill="F1F5F8"/>
            <w:tcMar>
              <w:top w:w="150" w:type="dxa"/>
              <w:start w:w="200" w:type="dxa"/>
              <w:bottom w:w="150" w:type="dxa"/>
              <w:end w:w="200" w:type="dxa"/>
            </w:tcMar>
          </w:tcPr>
          <w:p>
            <w:pPr>
              <w:spacing w:after="60"/>
            </w:pPr>
            <w:r>
              <w:rPr>
                <w:rFonts w:ascii="Aptos" w:hAnsi="Aptos" w:eastAsia="Aptos"/>
                <w:b/>
                <w:color w:val="20354A"/>
                <w:sz w:val="21"/>
              </w:rPr>
              <w:t>DESIGN IMPLICATION</w:t>
            </w:r>
          </w:p>
          <w:p>
            <w:pPr>
              <w:spacing w:after="0" w:line="259" w:lineRule="auto"/>
            </w:pPr>
            <w:r>
              <w:rPr>
                <w:rFonts w:ascii="Aptos" w:hAnsi="Aptos" w:eastAsia="Aptos"/>
                <w:color w:val="202B33"/>
                <w:sz w:val="19"/>
              </w:rPr>
              <w:t>These roles must work together. The user should not lose important context or intellectual progress when moving from conversation to brainstorming, literature review, formal research, or manuscript development.</w:t>
            </w:r>
          </w:p>
        </w:tc>
      </w:tr>
    </w:tbl>
    <w:p>
      <w:pPr>
        <w:spacing w:after="20"/>
        <w:widowControl/>
      </w:pPr>
    </w:p>
    <w:p>
      <w:pPr>
        <w:pStyle w:val="Heading1"/>
        <w:keepNext/>
        <w:spacing w:before="260" w:after="100"/>
        <w:widowControl/>
      </w:pPr>
      <w:r>
        <w:rPr>
          <w:rFonts w:ascii="Aptos" w:hAnsi="Aptos" w:eastAsia="Aptos"/>
          <w:b/>
          <w:color w:val="20354A"/>
          <w:sz w:val="34"/>
        </w:rPr>
        <w:t>2. Core product principles</w:t>
      </w:r>
    </w:p>
    <w:tbl>
      <w:tblPr>
        <w:tblStyle w:val="TableGrid"/>
        <w:tblW w:type="auto" w:w="0"/>
        <w:jc w:val="center"/>
        <w:tblLayout w:type="fixed"/>
        <w:tblLook w:firstColumn="1" w:firstRow="1" w:lastColumn="0" w:lastRow="0" w:noHBand="0" w:noVBand="1" w:val="04A0"/>
      </w:tblPr>
      <w:tblGrid>
        <w:gridCol w:w="2952"/>
        <w:gridCol w:w="6696"/>
      </w:tblGrid>
      <w:tr>
        <w:trPr>
          <w:tblHeader w:val="true"/>
        </w:trPr>
        <w:tc>
          <w:tcPr>
            <w:tcW w:type="dxa" w:w="2952"/>
            <w:shd w:fill="20354A"/>
            <w:tcMar>
              <w:top w:w="90" w:type="dxa"/>
              <w:start w:w="110" w:type="dxa"/>
              <w:bottom w:w="90" w:type="dxa"/>
              <w:end w:w="110" w:type="dxa"/>
            </w:tcMar>
            <w:vAlign w:val="center"/>
          </w:tcPr>
          <w:p>
            <w:pPr>
              <w:spacing w:after="0"/>
            </w:pPr>
            <w:r>
              <w:rPr>
                <w:rFonts w:ascii="Aptos" w:hAnsi="Aptos" w:eastAsia="Aptos"/>
                <w:b/>
                <w:color w:val="FFFFFF"/>
                <w:sz w:val="18"/>
              </w:rPr>
              <w:t>Principle</w:t>
            </w:r>
          </w:p>
        </w:tc>
        <w:tc>
          <w:tcPr>
            <w:tcW w:type="dxa" w:w="6696"/>
            <w:shd w:fill="20354A"/>
            <w:tcMar>
              <w:top w:w="90" w:type="dxa"/>
              <w:start w:w="110" w:type="dxa"/>
              <w:bottom w:w="90" w:type="dxa"/>
              <w:end w:w="110" w:type="dxa"/>
            </w:tcMar>
            <w:vAlign w:val="center"/>
          </w:tcPr>
          <w:p>
            <w:pPr>
              <w:spacing w:after="0"/>
            </w:pPr>
            <w:r>
              <w:rPr>
                <w:rFonts w:ascii="Aptos" w:hAnsi="Aptos" w:eastAsia="Aptos"/>
                <w:b/>
                <w:color w:val="FFFFFF"/>
                <w:sz w:val="18"/>
              </w:rPr>
              <w:t>Meaning for Thoth</w:t>
            </w:r>
          </w:p>
        </w:tc>
      </w:tr>
      <w:tr>
        <w:trPr>
          <w:cantSplit/>
        </w:trPr>
        <w:tc>
          <w:tcPr>
            <w:tcW w:type="dxa" w:w="2952"/>
            <w:tcMar>
              <w:top w:w="75" w:type="dxa"/>
              <w:start w:w="105" w:type="dxa"/>
              <w:bottom w:w="75" w:type="dxa"/>
              <w:end w:w="105" w:type="dxa"/>
            </w:tcMar>
            <w:vAlign w:val="top"/>
          </w:tcPr>
          <w:p>
            <w:pPr>
              <w:spacing w:after="0" w:line="245" w:lineRule="auto"/>
            </w:pPr>
            <w:r>
              <w:rPr>
                <w:rFonts w:ascii="Aptos" w:hAnsi="Aptos" w:eastAsia="Aptos"/>
                <w:color w:val="202B33"/>
                <w:sz w:val="18"/>
              </w:rPr>
              <w:t>Conversation first</w:t>
            </w:r>
          </w:p>
        </w:tc>
        <w:tc>
          <w:tcPr>
            <w:tcW w:type="dxa" w:w="6696"/>
            <w:tcMar>
              <w:top w:w="75" w:type="dxa"/>
              <w:start w:w="105" w:type="dxa"/>
              <w:bottom w:w="75" w:type="dxa"/>
              <w:end w:w="105" w:type="dxa"/>
            </w:tcMar>
            <w:vAlign w:val="top"/>
          </w:tcPr>
          <w:p>
            <w:pPr>
              <w:spacing w:after="0" w:line="245" w:lineRule="auto"/>
            </w:pPr>
            <w:r>
              <w:rPr>
                <w:rFonts w:ascii="Aptos" w:hAnsi="Aptos" w:eastAsia="Aptos"/>
                <w:color w:val="202B33"/>
                <w:sz w:val="18"/>
              </w:rPr>
              <w:t>Thoth should remain a natural conversation partner even while research preparation is taking place.</w:t>
            </w:r>
          </w:p>
        </w:tc>
      </w:tr>
      <w:tr>
        <w:trPr>
          <w:cantSplit/>
        </w:trPr>
        <w:tc>
          <w:tcPr>
            <w:tcW w:type="dxa" w:w="2952"/>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Originality over sophistication</w:t>
            </w:r>
          </w:p>
        </w:tc>
        <w:tc>
          <w:tcPr>
            <w:tcW w:type="dxa" w:w="6696"/>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A meaningful explanation or contribution is more valuable than a complicated but intellectually weak idea.</w:t>
            </w:r>
          </w:p>
        </w:tc>
      </w:tr>
      <w:tr>
        <w:trPr>
          <w:cantSplit/>
        </w:trPr>
        <w:tc>
          <w:tcPr>
            <w:tcW w:type="dxa" w:w="2952"/>
            <w:tcMar>
              <w:top w:w="75" w:type="dxa"/>
              <w:start w:w="105" w:type="dxa"/>
              <w:bottom w:w="75" w:type="dxa"/>
              <w:end w:w="105" w:type="dxa"/>
            </w:tcMar>
            <w:vAlign w:val="top"/>
          </w:tcPr>
          <w:p>
            <w:pPr>
              <w:spacing w:after="0" w:line="245" w:lineRule="auto"/>
            </w:pPr>
            <w:r>
              <w:rPr>
                <w:rFonts w:ascii="Aptos" w:hAnsi="Aptos" w:eastAsia="Aptos"/>
                <w:color w:val="202B33"/>
                <w:sz w:val="18"/>
              </w:rPr>
              <w:t>Evidence before confidence</w:t>
            </w:r>
          </w:p>
        </w:tc>
        <w:tc>
          <w:tcPr>
            <w:tcW w:type="dxa" w:w="6696"/>
            <w:tcMar>
              <w:top w:w="75" w:type="dxa"/>
              <w:start w:w="105" w:type="dxa"/>
              <w:bottom w:w="75" w:type="dxa"/>
              <w:end w:w="105" w:type="dxa"/>
            </w:tcMar>
            <w:vAlign w:val="top"/>
          </w:tcPr>
          <w:p>
            <w:pPr>
              <w:spacing w:after="0" w:line="245" w:lineRule="auto"/>
            </w:pPr>
            <w:r>
              <w:rPr>
                <w:rFonts w:ascii="Aptos" w:hAnsi="Aptos" w:eastAsia="Aptos"/>
                <w:color w:val="202B33"/>
                <w:sz w:val="18"/>
              </w:rPr>
              <w:t>Claims should be traceable to sources; uncertainty, missing evidence, and unresolved disagreement must remain visible.</w:t>
            </w:r>
          </w:p>
        </w:tc>
      </w:tr>
      <w:tr>
        <w:trPr>
          <w:cantSplit/>
        </w:trPr>
        <w:tc>
          <w:tcPr>
            <w:tcW w:type="dxa" w:w="2952"/>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Depth when it matters</w:t>
            </w:r>
          </w:p>
        </w:tc>
        <w:tc>
          <w:tcPr>
            <w:tcW w:type="dxa" w:w="6696"/>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Use lightweight analysis for exploration and deeper analysis when the research objective justifies the added effort.</w:t>
            </w:r>
          </w:p>
        </w:tc>
      </w:tr>
      <w:tr>
        <w:trPr>
          <w:cantSplit/>
        </w:trPr>
        <w:tc>
          <w:tcPr>
            <w:tcW w:type="dxa" w:w="2952"/>
            <w:tcMar>
              <w:top w:w="75" w:type="dxa"/>
              <w:start w:w="105" w:type="dxa"/>
              <w:bottom w:w="75" w:type="dxa"/>
              <w:end w:w="105" w:type="dxa"/>
            </w:tcMar>
            <w:vAlign w:val="top"/>
          </w:tcPr>
          <w:p>
            <w:pPr>
              <w:spacing w:after="0" w:line="245" w:lineRule="auto"/>
            </w:pPr>
            <w:r>
              <w:rPr>
                <w:rFonts w:ascii="Aptos" w:hAnsi="Aptos" w:eastAsia="Aptos"/>
                <w:color w:val="202B33"/>
                <w:sz w:val="18"/>
              </w:rPr>
              <w:t>Simplicity over needless complexity</w:t>
            </w:r>
          </w:p>
        </w:tc>
        <w:tc>
          <w:tcPr>
            <w:tcW w:type="dxa" w:w="6696"/>
            <w:tcMar>
              <w:top w:w="75" w:type="dxa"/>
              <w:start w:w="105" w:type="dxa"/>
              <w:bottom w:w="75" w:type="dxa"/>
              <w:end w:w="105" w:type="dxa"/>
            </w:tcMar>
            <w:vAlign w:val="top"/>
          </w:tcPr>
          <w:p>
            <w:pPr>
              <w:spacing w:after="0" w:line="245" w:lineRule="auto"/>
            </w:pPr>
            <w:r>
              <w:rPr>
                <w:rFonts w:ascii="Aptos" w:hAnsi="Aptos" w:eastAsia="Aptos"/>
                <w:color w:val="202B33"/>
                <w:sz w:val="18"/>
              </w:rPr>
              <w:t>Every theory, variable, method, agent, and workflow step must serve a clear research purpose.</w:t>
            </w:r>
          </w:p>
        </w:tc>
      </w:tr>
      <w:tr>
        <w:trPr>
          <w:cantSplit/>
        </w:trPr>
        <w:tc>
          <w:tcPr>
            <w:tcW w:type="dxa" w:w="2952"/>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User agency</w:t>
            </w:r>
          </w:p>
        </w:tc>
        <w:tc>
          <w:tcPr>
            <w:tcW w:type="dxa" w:w="6696"/>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Thoth can recommend and prepare substantial research actions, but must seek approval before launching them.</w:t>
            </w:r>
          </w:p>
        </w:tc>
      </w:tr>
      <w:tr>
        <w:trPr>
          <w:cantSplit/>
        </w:trPr>
        <w:tc>
          <w:tcPr>
            <w:tcW w:type="dxa" w:w="2952"/>
            <w:tcMar>
              <w:top w:w="75" w:type="dxa"/>
              <w:start w:w="105" w:type="dxa"/>
              <w:bottom w:w="75" w:type="dxa"/>
              <w:end w:w="105" w:type="dxa"/>
            </w:tcMar>
            <w:vAlign w:val="top"/>
          </w:tcPr>
          <w:p>
            <w:pPr>
              <w:spacing w:after="0" w:line="245" w:lineRule="auto"/>
            </w:pPr>
            <w:r>
              <w:rPr>
                <w:rFonts w:ascii="Aptos" w:hAnsi="Aptos" w:eastAsia="Aptos"/>
                <w:color w:val="202B33"/>
                <w:sz w:val="18"/>
              </w:rPr>
              <w:t>Technical feasibility</w:t>
            </w:r>
          </w:p>
        </w:tc>
        <w:tc>
          <w:tcPr>
            <w:tcW w:type="dxa" w:w="6696"/>
            <w:tcMar>
              <w:top w:w="75" w:type="dxa"/>
              <w:start w:w="105" w:type="dxa"/>
              <w:bottom w:w="75" w:type="dxa"/>
              <w:end w:w="105" w:type="dxa"/>
            </w:tcMar>
            <w:vAlign w:val="top"/>
          </w:tcPr>
          <w:p>
            <w:pPr>
              <w:spacing w:after="0" w:line="245" w:lineRule="auto"/>
            </w:pPr>
            <w:r>
              <w:rPr>
                <w:rFonts w:ascii="Aptos" w:hAnsi="Aptos" w:eastAsia="Aptos"/>
                <w:color w:val="202B33"/>
                <w:sz w:val="18"/>
              </w:rPr>
              <w:t>Reuse practical components and add complexity only when it creates clear value.</w:t>
            </w:r>
          </w:p>
        </w:tc>
      </w:tr>
      <w:tr>
        <w:trPr>
          <w:cantSplit/>
        </w:trPr>
        <w:tc>
          <w:tcPr>
            <w:tcW w:type="dxa" w:w="2952"/>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Resource awareness</w:t>
            </w:r>
          </w:p>
        </w:tc>
        <w:tc>
          <w:tcPr>
            <w:tcW w:type="dxa" w:w="6696"/>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Avoid unnecessary permanent storage, repeated processing, excessive agent duplication, and unlimited-cost assumptions.</w:t>
            </w:r>
          </w:p>
        </w:tc>
      </w:tr>
    </w:tbl>
    <w:p>
      <w:pPr>
        <w:spacing w:after="20"/>
        <w:widowControl/>
      </w:pPr>
    </w:p>
    <w:p>
      <w:pPr>
        <w:pStyle w:val="Heading1"/>
        <w:keepNext/>
        <w:spacing w:before="260" w:after="100"/>
        <w:widowControl/>
      </w:pPr>
      <w:r>
        <w:rPr>
          <w:rFonts w:ascii="Aptos" w:hAnsi="Aptos" w:eastAsia="Aptos"/>
          <w:b/>
          <w:color w:val="20354A"/>
          <w:sz w:val="34"/>
        </w:rPr>
        <w:t>3. The end-to-end research journey</w:t>
      </w:r>
    </w:p>
    <w:p>
      <w:pPr>
        <w:keepLines/>
        <w:spacing w:after="100" w:line="264" w:lineRule="auto"/>
        <w:widowControl/>
      </w:pPr>
      <w:r>
        <w:rPr>
          <w:rFonts w:ascii="Aptos" w:hAnsi="Aptos" w:eastAsia="Aptos"/>
          <w:color w:val="202B33"/>
          <w:sz w:val="20"/>
        </w:rPr>
        <w:t>Thoth should support a natural, iterative workflow rather than force every user through a rigid sequence. New findings can return the researcher to any earlier stage.</w:t>
      </w:r>
    </w:p>
    <w:tbl>
      <w:tblPr>
        <w:tblStyle w:val="TableGrid"/>
        <w:tblW w:type="auto" w:w="0"/>
        <w:jc w:val="center"/>
        <w:tblLayout w:type="fixed"/>
        <w:tblLook w:firstColumn="1" w:firstRow="1" w:lastColumn="0" w:lastRow="0" w:noHBand="0" w:noVBand="1" w:val="04A0"/>
      </w:tblPr>
      <w:tblGrid>
        <w:gridCol w:w="2592"/>
        <w:gridCol w:w="7056"/>
      </w:tblGrid>
      <w:tr>
        <w:trPr>
          <w:tblHeader w:val="true"/>
        </w:trPr>
        <w:tc>
          <w:tcPr>
            <w:tcW w:type="dxa" w:w="2592"/>
            <w:shd w:fill="20354A"/>
            <w:tcMar>
              <w:top w:w="90" w:type="dxa"/>
              <w:start w:w="110" w:type="dxa"/>
              <w:bottom w:w="90" w:type="dxa"/>
              <w:end w:w="110" w:type="dxa"/>
            </w:tcMar>
            <w:vAlign w:val="center"/>
          </w:tcPr>
          <w:p>
            <w:pPr>
              <w:spacing w:after="0"/>
            </w:pPr>
            <w:r>
              <w:rPr>
                <w:rFonts w:ascii="Aptos" w:hAnsi="Aptos" w:eastAsia="Aptos"/>
                <w:b/>
                <w:color w:val="FFFFFF"/>
                <w:sz w:val="18"/>
              </w:rPr>
              <w:t>Stage</w:t>
            </w:r>
          </w:p>
        </w:tc>
        <w:tc>
          <w:tcPr>
            <w:tcW w:type="dxa" w:w="7056"/>
            <w:shd w:fill="20354A"/>
            <w:tcMar>
              <w:top w:w="90" w:type="dxa"/>
              <w:start w:w="110" w:type="dxa"/>
              <w:bottom w:w="90" w:type="dxa"/>
              <w:end w:w="110" w:type="dxa"/>
            </w:tcMar>
            <w:vAlign w:val="center"/>
          </w:tcPr>
          <w:p>
            <w:pPr>
              <w:spacing w:after="0"/>
            </w:pPr>
            <w:r>
              <w:rPr>
                <w:rFonts w:ascii="Aptos" w:hAnsi="Aptos" w:eastAsia="Aptos"/>
                <w:b/>
                <w:color w:val="FFFFFF"/>
                <w:sz w:val="18"/>
              </w:rPr>
              <w:t>Expected behaviour</w:t>
            </w:r>
          </w:p>
        </w:tc>
      </w:tr>
      <w:tr>
        <w:trPr>
          <w:cantSplit/>
        </w:trPr>
        <w:tc>
          <w:tcPr>
            <w:tcW w:type="dxa" w:w="2592"/>
            <w:tcMar>
              <w:top w:w="75" w:type="dxa"/>
              <w:start w:w="105" w:type="dxa"/>
              <w:bottom w:w="75" w:type="dxa"/>
              <w:end w:w="105" w:type="dxa"/>
            </w:tcMar>
            <w:vAlign w:val="top"/>
          </w:tcPr>
          <w:p>
            <w:pPr>
              <w:spacing w:after="0" w:line="245" w:lineRule="auto"/>
            </w:pPr>
            <w:r>
              <w:rPr>
                <w:rFonts w:ascii="Aptos" w:hAnsi="Aptos" w:eastAsia="Aptos"/>
                <w:color w:val="202B33"/>
                <w:sz w:val="18"/>
              </w:rPr>
              <w:t>Open conversation</w:t>
            </w:r>
          </w:p>
        </w:tc>
        <w:tc>
          <w:tcPr>
            <w:tcW w:type="dxa" w:w="7056"/>
            <w:tcMar>
              <w:top w:w="75" w:type="dxa"/>
              <w:start w:w="105" w:type="dxa"/>
              <w:bottom w:w="75" w:type="dxa"/>
              <w:end w:w="105" w:type="dxa"/>
            </w:tcMar>
            <w:vAlign w:val="top"/>
          </w:tcPr>
          <w:p>
            <w:pPr>
              <w:spacing w:after="0" w:line="245" w:lineRule="auto"/>
            </w:pPr>
            <w:r>
              <w:rPr>
                <w:rFonts w:ascii="Aptos" w:hAnsi="Aptos" w:eastAsia="Aptos"/>
                <w:color w:val="202B33"/>
                <w:sz w:val="18"/>
              </w:rPr>
              <w:t>The user may begin with curiosity, an observation, a discussion, or no predefined research question.</w:t>
            </w:r>
          </w:p>
        </w:tc>
      </w:tr>
      <w:tr>
        <w:trPr>
          <w:cantSplit/>
        </w:trPr>
        <w:tc>
          <w:tcPr>
            <w:tcW w:type="dxa" w:w="2592"/>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Recognise a promising direction</w:t>
            </w:r>
          </w:p>
        </w:tc>
        <w:tc>
          <w:tcPr>
            <w:tcW w:type="dxa" w:w="7056"/>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Thoth notices a potentially meaningful research idea and briefly explains why it may be worth investigating.</w:t>
            </w:r>
          </w:p>
        </w:tc>
      </w:tr>
      <w:tr>
        <w:trPr>
          <w:cantSplit/>
        </w:trPr>
        <w:tc>
          <w:tcPr>
            <w:tcW w:type="dxa" w:w="2592"/>
            <w:tcMar>
              <w:top w:w="75" w:type="dxa"/>
              <w:start w:w="105" w:type="dxa"/>
              <w:bottom w:w="75" w:type="dxa"/>
              <w:end w:w="105" w:type="dxa"/>
            </w:tcMar>
            <w:vAlign w:val="top"/>
          </w:tcPr>
          <w:p>
            <w:pPr>
              <w:spacing w:after="0" w:line="245" w:lineRule="auto"/>
            </w:pPr>
            <w:r>
              <w:rPr>
                <w:rFonts w:ascii="Aptos" w:hAnsi="Aptos" w:eastAsia="Aptos"/>
                <w:color w:val="202B33"/>
                <w:sz w:val="18"/>
              </w:rPr>
              <w:t>Prepare without blocking</w:t>
            </w:r>
          </w:p>
        </w:tc>
        <w:tc>
          <w:tcPr>
            <w:tcW w:type="dxa" w:w="7056"/>
            <w:tcMar>
              <w:top w:w="75" w:type="dxa"/>
              <w:start w:w="105" w:type="dxa"/>
              <w:bottom w:w="75" w:type="dxa"/>
              <w:end w:w="105" w:type="dxa"/>
            </w:tcMar>
            <w:vAlign w:val="top"/>
          </w:tcPr>
          <w:p>
            <w:pPr>
              <w:spacing w:after="0" w:line="245" w:lineRule="auto"/>
            </w:pPr>
            <w:r>
              <w:rPr>
                <w:rFonts w:ascii="Aptos" w:hAnsi="Aptos" w:eastAsia="Aptos"/>
                <w:color w:val="202B33"/>
                <w:sz w:val="18"/>
              </w:rPr>
              <w:t>Thoth prepares a focused research question and preliminary review plan while the user continues the conversation. Preparation must not freeze the interface or interrupt thinking.</w:t>
            </w:r>
          </w:p>
        </w:tc>
      </w:tr>
      <w:tr>
        <w:trPr>
          <w:cantSplit/>
        </w:trPr>
        <w:tc>
          <w:tcPr>
            <w:tcW w:type="dxa" w:w="2592"/>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Seek approval for substantial work</w:t>
            </w:r>
          </w:p>
        </w:tc>
        <w:tc>
          <w:tcPr>
            <w:tcW w:type="dxa" w:w="7056"/>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When the plan is ready, Thoth presents it and waits for approval before launching the literature review.</w:t>
            </w:r>
          </w:p>
        </w:tc>
      </w:tr>
      <w:tr>
        <w:trPr>
          <w:cantSplit/>
        </w:trPr>
        <w:tc>
          <w:tcPr>
            <w:tcW w:type="dxa" w:w="2592"/>
            <w:tcMar>
              <w:top w:w="75" w:type="dxa"/>
              <w:start w:w="105" w:type="dxa"/>
              <w:bottom w:w="75" w:type="dxa"/>
              <w:end w:w="105" w:type="dxa"/>
            </w:tcMar>
            <w:vAlign w:val="top"/>
          </w:tcPr>
          <w:p>
            <w:pPr>
              <w:spacing w:after="0" w:line="245" w:lineRule="auto"/>
            </w:pPr>
            <w:r>
              <w:rPr>
                <w:rFonts w:ascii="Aptos" w:hAnsi="Aptos" w:eastAsia="Aptos"/>
                <w:color w:val="202B33"/>
                <w:sz w:val="18"/>
              </w:rPr>
              <w:t>Brainstorm with evidence and perspectives</w:t>
            </w:r>
          </w:p>
        </w:tc>
        <w:tc>
          <w:tcPr>
            <w:tcW w:type="dxa" w:w="7056"/>
            <w:tcMar>
              <w:top w:w="75" w:type="dxa"/>
              <w:start w:w="105" w:type="dxa"/>
              <w:bottom w:w="75" w:type="dxa"/>
              <w:end w:w="105" w:type="dxa"/>
            </w:tcMar>
            <w:vAlign w:val="top"/>
          </w:tcPr>
          <w:p>
            <w:pPr>
              <w:spacing w:after="0" w:line="245" w:lineRule="auto"/>
            </w:pPr>
            <w:r>
              <w:rPr>
                <w:rFonts w:ascii="Aptos" w:hAnsi="Aptos" w:eastAsia="Aptos"/>
                <w:color w:val="202B33"/>
                <w:sz w:val="18"/>
              </w:rPr>
              <w:t>The user and Thoth continue examining assumptions, connections, explanations, and objections, including relevant intellectual frameworks.</w:t>
            </w:r>
          </w:p>
        </w:tc>
      </w:tr>
      <w:tr>
        <w:trPr>
          <w:cantSplit/>
        </w:trPr>
        <w:tc>
          <w:tcPr>
            <w:tcW w:type="dxa" w:w="2592"/>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Run a literature review</w:t>
            </w:r>
          </w:p>
        </w:tc>
        <w:tc>
          <w:tcPr>
            <w:tcW w:type="dxa" w:w="7056"/>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Begin with a lightweight scan during exploration. When the idea becomes a serious research project, recommend a formal PRISMA-aligned review and obtain approval.</w:t>
            </w:r>
          </w:p>
        </w:tc>
      </w:tr>
      <w:tr>
        <w:trPr>
          <w:cantSplit/>
        </w:trPr>
        <w:tc>
          <w:tcPr>
            <w:tcW w:type="dxa" w:w="2592"/>
            <w:tcMar>
              <w:top w:w="75" w:type="dxa"/>
              <w:start w:w="105" w:type="dxa"/>
              <w:bottom w:w="75" w:type="dxa"/>
              <w:end w:w="105" w:type="dxa"/>
            </w:tcMar>
            <w:vAlign w:val="top"/>
          </w:tcPr>
          <w:p>
            <w:pPr>
              <w:spacing w:after="0" w:line="245" w:lineRule="auto"/>
            </w:pPr>
            <w:r>
              <w:rPr>
                <w:rFonts w:ascii="Aptos" w:hAnsi="Aptos" w:eastAsia="Aptos"/>
                <w:color w:val="202B33"/>
                <w:sz w:val="18"/>
              </w:rPr>
              <w:t>Return to brainstorming</w:t>
            </w:r>
          </w:p>
        </w:tc>
        <w:tc>
          <w:tcPr>
            <w:tcW w:type="dxa" w:w="7056"/>
            <w:tcMar>
              <w:top w:w="75" w:type="dxa"/>
              <w:start w:w="105" w:type="dxa"/>
              <w:bottom w:w="75" w:type="dxa"/>
              <w:end w:w="105" w:type="dxa"/>
            </w:tcMar>
            <w:vAlign w:val="top"/>
          </w:tcPr>
          <w:p>
            <w:pPr>
              <w:spacing w:after="0" w:line="245" w:lineRule="auto"/>
            </w:pPr>
            <w:r>
              <w:rPr>
                <w:rFonts w:ascii="Aptos" w:hAnsi="Aptos" w:eastAsia="Aptos"/>
                <w:color w:val="202B33"/>
                <w:sz w:val="18"/>
              </w:rPr>
              <w:t>Explain what the literature establishes, challenge or refine the original idea, identify unresolved questions, and continue thinking from the new understanding.</w:t>
            </w:r>
          </w:p>
        </w:tc>
      </w:tr>
      <w:tr>
        <w:trPr>
          <w:cantSplit/>
        </w:trPr>
        <w:tc>
          <w:tcPr>
            <w:tcW w:type="dxa" w:w="2592"/>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Refine one main hypothesis</w:t>
            </w:r>
          </w:p>
        </w:tc>
        <w:tc>
          <w:tcPr>
            <w:tcW w:type="dxa" w:w="7056"/>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Develop a focused, testable hypothesis. Examine alternative explanations when they materially affect the investigation, but do not automatically create multiple separate research branches.</w:t>
            </w:r>
          </w:p>
        </w:tc>
      </w:tr>
      <w:tr>
        <w:trPr>
          <w:cantSplit/>
        </w:trPr>
        <w:tc>
          <w:tcPr>
            <w:tcW w:type="dxa" w:w="2592"/>
            <w:tcMar>
              <w:top w:w="75" w:type="dxa"/>
              <w:start w:w="105" w:type="dxa"/>
              <w:bottom w:w="75" w:type="dxa"/>
              <w:end w:w="105" w:type="dxa"/>
            </w:tcMar>
            <w:vAlign w:val="top"/>
          </w:tcPr>
          <w:p>
            <w:pPr>
              <w:spacing w:after="0" w:line="245" w:lineRule="auto"/>
            </w:pPr>
            <w:r>
              <w:rPr>
                <w:rFonts w:ascii="Aptos" w:hAnsi="Aptos" w:eastAsia="Aptos"/>
                <w:color w:val="202B33"/>
                <w:sz w:val="18"/>
              </w:rPr>
              <w:t>Design the study</w:t>
            </w:r>
          </w:p>
        </w:tc>
        <w:tc>
          <w:tcPr>
            <w:tcW w:type="dxa" w:w="7056"/>
            <w:tcMar>
              <w:top w:w="75" w:type="dxa"/>
              <w:start w:w="105" w:type="dxa"/>
              <w:bottom w:w="75" w:type="dxa"/>
              <w:end w:w="105" w:type="dxa"/>
            </w:tcMar>
            <w:vAlign w:val="top"/>
          </w:tcPr>
          <w:p>
            <w:pPr>
              <w:spacing w:after="0" w:line="245" w:lineRule="auto"/>
            </w:pPr>
            <w:r>
              <w:rPr>
                <w:rFonts w:ascii="Aptos" w:hAnsi="Aptos" w:eastAsia="Aptos"/>
                <w:color w:val="202B33"/>
                <w:sz w:val="18"/>
              </w:rPr>
              <w:t>Recommend a feasible methodology, measurable variables, data requirements, competing predictions, and tests that distinguish explanations.</w:t>
            </w:r>
          </w:p>
        </w:tc>
      </w:tr>
      <w:tr>
        <w:trPr>
          <w:cantSplit/>
        </w:trPr>
        <w:tc>
          <w:tcPr>
            <w:tcW w:type="dxa" w:w="2592"/>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Develop reports and a manuscript</w:t>
            </w:r>
          </w:p>
        </w:tc>
        <w:tc>
          <w:tcPr>
            <w:tcW w:type="dxa" w:w="7056"/>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Produce evidence-grounded research reports and an evolving academic manuscript; update it as actual methods, data, and results become available.</w:t>
            </w:r>
          </w:p>
        </w:tc>
      </w:tr>
    </w:tbl>
    <w:p>
      <w:pPr>
        <w:spacing w:after="20"/>
        <w:widowControl/>
      </w:pPr>
    </w:p>
    <w:p>
      <w:pPr>
        <w:pStyle w:val="Heading2"/>
        <w:keepNext/>
        <w:spacing w:before="160" w:after="60"/>
        <w:widowControl/>
      </w:pPr>
      <w:r>
        <w:rPr>
          <w:rFonts w:ascii="Aptos" w:hAnsi="Aptos" w:eastAsia="Aptos"/>
          <w:b/>
          <w:color w:val="167C80"/>
          <w:sz w:val="25"/>
        </w:rPr>
        <w:t>3.1 Idea capture: detect, suggest, then promote</w:t>
      </w:r>
    </w:p>
    <w:p>
      <w:pPr>
        <w:keepLines/>
        <w:spacing w:after="100" w:line="264" w:lineRule="auto"/>
        <w:widowControl/>
      </w:pPr>
      <w:r>
        <w:rPr>
          <w:rFonts w:ascii="Aptos" w:hAnsi="Aptos" w:eastAsia="Aptos"/>
          <w:color w:val="202B33"/>
          <w:sz w:val="20"/>
        </w:rPr>
        <w:t>Thoth should identify potentially meaningful ideas during conversation, but it should be conservative about declaring them valuable or committing them to the persistent research structure.</w:t>
      </w:r>
    </w:p>
    <w:p>
      <w:pPr>
        <w:pStyle w:val="ListBullet"/>
        <w:spacing w:after="56" w:line="252" w:lineRule="auto"/>
        <w:ind w:left="317" w:hanging="202"/>
        <w:widowControl/>
      </w:pPr>
      <w:r>
        <w:rPr>
          <w:rFonts w:ascii="Aptos" w:hAnsi="Aptos" w:eastAsia="Aptos"/>
          <w:color w:val="202B33"/>
          <w:sz w:val="20"/>
        </w:rPr>
        <w:t>Tentative ideas may remain in the current conversational context while the user continues exploring.</w:t>
      </w:r>
    </w:p>
    <w:p>
      <w:pPr>
        <w:pStyle w:val="ListBullet"/>
        <w:spacing w:after="56" w:line="252" w:lineRule="auto"/>
        <w:ind w:left="317" w:hanging="202"/>
        <w:widowControl/>
      </w:pPr>
      <w:r>
        <w:rPr>
          <w:rFonts w:ascii="Aptos" w:hAnsi="Aptos" w:eastAsia="Aptos"/>
          <w:color w:val="202B33"/>
          <w:sz w:val="20"/>
        </w:rPr>
        <w:t>When an idea appears worth pursuing, Thoth proposes adding it to the persistent project idea network and obtains the user’s approval.</w:t>
      </w:r>
    </w:p>
    <w:p>
      <w:pPr>
        <w:pStyle w:val="ListBullet"/>
        <w:spacing w:after="56" w:line="252" w:lineRule="auto"/>
        <w:ind w:left="317" w:hanging="202"/>
        <w:widowControl/>
      </w:pPr>
      <w:r>
        <w:rPr>
          <w:rFonts w:ascii="Aptos" w:hAnsi="Aptos" w:eastAsia="Aptos"/>
          <w:color w:val="202B33"/>
          <w:sz w:val="20"/>
        </w:rPr>
        <w:t>Promoted ideas can connect to hypotheses, literature reviews, and reports. Connections should be based on meaningful reasoning or evidence, not superficial similarity.</w:t>
      </w:r>
    </w:p>
    <w:p>
      <w:pPr>
        <w:pStyle w:val="ListBullet"/>
        <w:spacing w:after="56" w:line="252" w:lineRule="auto"/>
        <w:ind w:left="317" w:hanging="202"/>
        <w:widowControl/>
      </w:pPr>
      <w:r>
        <w:rPr>
          <w:rFonts w:ascii="Aptos" w:hAnsi="Aptos" w:eastAsia="Aptos"/>
          <w:color w:val="202B33"/>
          <w:sz w:val="20"/>
        </w:rPr>
        <w:t>The network should not become a stream of random AI-generated suggestions. Thoth must explain the rationale for promoting a direction.</w:t>
      </w:r>
    </w:p>
    <w:p>
      <w:pPr>
        <w:pStyle w:val="Heading2"/>
        <w:keepNext/>
        <w:spacing w:before="160" w:after="60"/>
        <w:widowControl/>
      </w:pPr>
      <w:r>
        <w:rPr>
          <w:rFonts w:ascii="Aptos" w:hAnsi="Aptos" w:eastAsia="Aptos"/>
          <w:b/>
          <w:color w:val="167C80"/>
          <w:sz w:val="25"/>
        </w:rPr>
        <w:t>3.2 Brainstorming-to-research handoff</w:t>
      </w:r>
    </w:p>
    <w:p>
      <w:pPr>
        <w:keepLines/>
        <w:spacing w:after="100" w:line="264" w:lineRule="auto"/>
        <w:widowControl/>
      </w:pPr>
      <w:r>
        <w:rPr>
          <w:rFonts w:ascii="Aptos" w:hAnsi="Aptos" w:eastAsia="Aptos"/>
          <w:color w:val="202B33"/>
          <w:sz w:val="20"/>
        </w:rPr>
        <w:t>The handoff should preserve intellectual context without sending an unbounded conversation transcript to every research agent. Thoth should create a structured research brief containing:</w:t>
      </w:r>
    </w:p>
    <w:p>
      <w:pPr>
        <w:pStyle w:val="ListBullet"/>
        <w:spacing w:after="56" w:line="252" w:lineRule="auto"/>
        <w:ind w:left="317" w:hanging="202"/>
        <w:widowControl/>
      </w:pPr>
      <w:r>
        <w:rPr>
          <w:rFonts w:ascii="Aptos" w:hAnsi="Aptos" w:eastAsia="Aptos"/>
          <w:color w:val="202B33"/>
          <w:sz w:val="20"/>
        </w:rPr>
        <w:t>The current hypothesis or research question and why it emerged.</w:t>
      </w:r>
    </w:p>
    <w:p>
      <w:pPr>
        <w:pStyle w:val="ListBullet"/>
        <w:spacing w:after="56" w:line="252" w:lineRule="auto"/>
        <w:ind w:left="317" w:hanging="202"/>
        <w:widowControl/>
      </w:pPr>
      <w:r>
        <w:rPr>
          <w:rFonts w:ascii="Aptos" w:hAnsi="Aptos" w:eastAsia="Aptos"/>
          <w:color w:val="202B33"/>
          <w:sz w:val="20"/>
        </w:rPr>
        <w:t>The motivating observation, problem, or conversation context.</w:t>
      </w:r>
    </w:p>
    <w:p>
      <w:pPr>
        <w:pStyle w:val="ListBullet"/>
        <w:spacing w:after="56" w:line="252" w:lineRule="auto"/>
        <w:ind w:left="317" w:hanging="202"/>
        <w:widowControl/>
      </w:pPr>
      <w:r>
        <w:rPr>
          <w:rFonts w:ascii="Aptos" w:hAnsi="Aptos" w:eastAsia="Aptos"/>
          <w:color w:val="202B33"/>
          <w:sz w:val="20"/>
        </w:rPr>
        <w:t>Important assumptions, definitions, and relevant thinker critiques.</w:t>
      </w:r>
    </w:p>
    <w:p>
      <w:pPr>
        <w:pStyle w:val="ListBullet"/>
        <w:spacing w:after="56" w:line="252" w:lineRule="auto"/>
        <w:ind w:left="317" w:hanging="202"/>
        <w:widowControl/>
      </w:pPr>
      <w:r>
        <w:rPr>
          <w:rFonts w:ascii="Aptos" w:hAnsi="Aptos" w:eastAsia="Aptos"/>
          <w:color w:val="202B33"/>
          <w:sz w:val="20"/>
        </w:rPr>
        <w:t>Unresolved questions, objections, and the intended research outcome.</w:t>
      </w:r>
    </w:p>
    <w:p>
      <w:pPr>
        <w:pStyle w:val="ListBullet"/>
        <w:spacing w:after="56" w:line="252" w:lineRule="auto"/>
        <w:ind w:left="317" w:hanging="202"/>
        <w:widowControl/>
      </w:pPr>
      <w:r>
        <w:rPr>
          <w:rFonts w:ascii="Aptos" w:hAnsi="Aptos" w:eastAsia="Aptos"/>
          <w:color w:val="202B33"/>
          <w:sz w:val="20"/>
        </w:rPr>
        <w:t>A distinction between the original motivation and later changes made in light of literature.</w:t>
      </w:r>
    </w:p>
    <w:p>
      <w:pPr>
        <w:keepLines/>
        <w:spacing w:after="100" w:line="264" w:lineRule="auto"/>
        <w:widowControl/>
      </w:pPr>
      <w:r>
        <w:rPr>
          <w:rFonts w:ascii="Aptos" w:hAnsi="Aptos" w:eastAsia="Aptos"/>
          <w:color w:val="202B33"/>
          <w:sz w:val="20"/>
        </w:rPr>
        <w:t>The brief should evolve as evidence changes the hypothesis, while preserving the original motivation and a traceable record of important revisions.</w:t>
      </w:r>
    </w:p>
    <w:p>
      <w:pPr>
        <w:pStyle w:val="Heading1"/>
        <w:keepNext/>
        <w:spacing w:before="260" w:after="100"/>
        <w:widowControl/>
      </w:pPr>
      <w:r>
        <w:rPr>
          <w:rFonts w:ascii="Aptos" w:hAnsi="Aptos" w:eastAsia="Aptos"/>
          <w:b/>
          <w:color w:val="20354A"/>
          <w:sz w:val="34"/>
        </w:rPr>
        <w:t>4. Originality and research integrity</w:t>
      </w:r>
    </w:p>
    <w:tbl>
      <w:tblPr>
        <w:tblW w:type="auto" w:w="0"/>
        <w:jc w:val="center"/>
        <w:tblLayout w:type="fixed"/>
        <w:tblLook w:firstColumn="1" w:firstRow="1" w:lastColumn="0" w:lastRow="0" w:noHBand="0" w:noVBand="1" w:val="04A0"/>
      </w:tblPr>
      <w:tblGrid>
        <w:gridCol w:w="9792"/>
      </w:tblGrid>
      <w:tr>
        <w:trPr>
          <w:cantSplit/>
        </w:trPr>
        <w:tc>
          <w:tcPr>
            <w:tcW w:type="dxa" w:w="9792"/>
            <w:shd w:fill="EEF4F5"/>
            <w:tcMar>
              <w:top w:w="150" w:type="dxa"/>
              <w:start w:w="200" w:type="dxa"/>
              <w:bottom w:w="150" w:type="dxa"/>
              <w:end w:w="200" w:type="dxa"/>
            </w:tcMar>
          </w:tcPr>
          <w:p>
            <w:pPr>
              <w:spacing w:after="60"/>
            </w:pPr>
            <w:r>
              <w:rPr>
                <w:rFonts w:ascii="Aptos" w:hAnsi="Aptos" w:eastAsia="Aptos"/>
                <w:b/>
                <w:color w:val="167C80"/>
                <w:sz w:val="21"/>
              </w:rPr>
              <w:t>ORIGINALITY STANDARD</w:t>
            </w:r>
          </w:p>
          <w:p>
            <w:pPr>
              <w:spacing w:after="0" w:line="259" w:lineRule="auto"/>
            </w:pPr>
            <w:r>
              <w:rPr>
                <w:rFonts w:ascii="Aptos" w:hAnsi="Aptos" w:eastAsia="Aptos"/>
                <w:color w:val="202B33"/>
                <w:sz w:val="19"/>
              </w:rPr>
              <w:t>Thoth should help discover research that changes what can be understood, explained, interpreted, or investigated. Novel-sounding wording, added variables, or technical complexity do not by themselves establish an original contribution.</w:t>
            </w:r>
          </w:p>
        </w:tc>
      </w:tr>
    </w:tbl>
    <w:p>
      <w:pPr>
        <w:spacing w:after="20"/>
        <w:widowControl/>
      </w:pPr>
    </w:p>
    <w:p>
      <w:pPr>
        <w:pStyle w:val="Heading2"/>
        <w:keepNext/>
        <w:spacing w:before="160" w:after="60"/>
        <w:widowControl/>
      </w:pPr>
      <w:r>
        <w:rPr>
          <w:rFonts w:ascii="Aptos" w:hAnsi="Aptos" w:eastAsia="Aptos"/>
          <w:b/>
          <w:color w:val="167C80"/>
          <w:sz w:val="25"/>
        </w:rPr>
        <w:t>4.1 What may constitute an original contribution</w:t>
      </w:r>
    </w:p>
    <w:p>
      <w:pPr>
        <w:pStyle w:val="ListBullet"/>
        <w:spacing w:after="56" w:line="252" w:lineRule="auto"/>
        <w:ind w:left="317" w:hanging="202"/>
        <w:widowControl/>
      </w:pPr>
      <w:r>
        <w:rPr>
          <w:rFonts w:ascii="Aptos" w:hAnsi="Aptos" w:eastAsia="Aptos"/>
          <w:color w:val="202B33"/>
          <w:sz w:val="20"/>
        </w:rPr>
        <w:t>A genuinely new explanation or mechanism.</w:t>
      </w:r>
    </w:p>
    <w:p>
      <w:pPr>
        <w:pStyle w:val="ListBullet"/>
        <w:spacing w:after="56" w:line="252" w:lineRule="auto"/>
        <w:ind w:left="317" w:hanging="202"/>
        <w:widowControl/>
      </w:pPr>
      <w:r>
        <w:rPr>
          <w:rFonts w:ascii="Aptos" w:hAnsi="Aptos" w:eastAsia="Aptos"/>
          <w:color w:val="202B33"/>
          <w:sz w:val="20"/>
        </w:rPr>
        <w:t>An overlooked relationship or a meaningful connection between established bodies of work.</w:t>
      </w:r>
    </w:p>
    <w:p>
      <w:pPr>
        <w:pStyle w:val="ListBullet"/>
        <w:spacing w:after="56" w:line="252" w:lineRule="auto"/>
        <w:ind w:left="317" w:hanging="202"/>
        <w:widowControl/>
      </w:pPr>
      <w:r>
        <w:rPr>
          <w:rFonts w:ascii="Aptos" w:hAnsi="Aptos" w:eastAsia="Aptos"/>
          <w:color w:val="202B33"/>
          <w:sz w:val="20"/>
        </w:rPr>
        <w:t>A contradiction or inconsistency in existing evidence that calls for investigation.</w:t>
      </w:r>
    </w:p>
    <w:p>
      <w:pPr>
        <w:pStyle w:val="ListBullet"/>
        <w:spacing w:after="56" w:line="252" w:lineRule="auto"/>
        <w:ind w:left="317" w:hanging="202"/>
        <w:widowControl/>
      </w:pPr>
      <w:r>
        <w:rPr>
          <w:rFonts w:ascii="Aptos" w:hAnsi="Aptos" w:eastAsia="Aptos"/>
          <w:color w:val="202B33"/>
          <w:sz w:val="20"/>
        </w:rPr>
        <w:t>A different perspective, interpretation, or methodology that produces a materially different understanding of an established subject.</w:t>
      </w:r>
    </w:p>
    <w:p>
      <w:pPr>
        <w:pStyle w:val="ListBullet"/>
        <w:spacing w:after="56" w:line="252" w:lineRule="auto"/>
        <w:ind w:left="317" w:hanging="202"/>
        <w:widowControl/>
      </w:pPr>
      <w:r>
        <w:rPr>
          <w:rFonts w:ascii="Aptos" w:hAnsi="Aptos" w:eastAsia="Aptos"/>
          <w:color w:val="202B33"/>
          <w:sz w:val="20"/>
        </w:rPr>
        <w:t>A method or analytical approach that reveals something previous approaches did not adequately capture.</w:t>
      </w:r>
    </w:p>
    <w:p>
      <w:pPr>
        <w:pStyle w:val="Heading2"/>
        <w:keepNext/>
        <w:spacing w:before="160" w:after="60"/>
        <w:widowControl/>
      </w:pPr>
      <w:r>
        <w:rPr>
          <w:rFonts w:ascii="Aptos" w:hAnsi="Aptos" w:eastAsia="Aptos"/>
          <w:b/>
          <w:color w:val="167C80"/>
          <w:sz w:val="25"/>
        </w:rPr>
        <w:t>4.2 How Thoth should assess originality</w:t>
      </w:r>
    </w:p>
    <w:p>
      <w:pPr>
        <w:pStyle w:val="ListBullet"/>
        <w:spacing w:after="56" w:line="252" w:lineRule="auto"/>
        <w:ind w:left="317" w:hanging="202"/>
        <w:widowControl/>
      </w:pPr>
      <w:r>
        <w:rPr>
          <w:rFonts w:ascii="Aptos" w:hAnsi="Aptos" w:eastAsia="Aptos"/>
          <w:color w:val="202B33"/>
          <w:sz w:val="20"/>
        </w:rPr>
        <w:t>Compare the substance of the proposed contribution against relevant literature; do not rely on whether the phrasing looks new.</w:t>
      </w:r>
    </w:p>
    <w:p>
      <w:pPr>
        <w:pStyle w:val="ListBullet"/>
        <w:spacing w:after="56" w:line="252" w:lineRule="auto"/>
        <w:ind w:left="317" w:hanging="202"/>
        <w:widowControl/>
      </w:pPr>
      <w:r>
        <w:rPr>
          <w:rFonts w:ascii="Aptos" w:hAnsi="Aptos" w:eastAsia="Aptos"/>
          <w:color w:val="202B33"/>
          <w:sz w:val="20"/>
        </w:rPr>
        <w:t>Examine what previous studies asked, did, found, assumed, and left unresolved.</w:t>
      </w:r>
    </w:p>
    <w:p>
      <w:pPr>
        <w:pStyle w:val="ListBullet"/>
        <w:spacing w:after="56" w:line="252" w:lineRule="auto"/>
        <w:ind w:left="317" w:hanging="202"/>
        <w:widowControl/>
      </w:pPr>
      <w:r>
        <w:rPr>
          <w:rFonts w:ascii="Aptos" w:hAnsi="Aptos" w:eastAsia="Aptos"/>
          <w:color w:val="202B33"/>
          <w:sz w:val="20"/>
        </w:rPr>
        <w:t>Search for prior work that would undermine the originality claim, including adjacent disciplines and alternative terminology where relevant.</w:t>
      </w:r>
    </w:p>
    <w:p>
      <w:pPr>
        <w:pStyle w:val="ListBullet"/>
        <w:spacing w:after="56" w:line="252" w:lineRule="auto"/>
        <w:ind w:left="317" w:hanging="202"/>
        <w:widowControl/>
      </w:pPr>
      <w:r>
        <w:rPr>
          <w:rFonts w:ascii="Aptos" w:hAnsi="Aptos" w:eastAsia="Aptos"/>
          <w:color w:val="202B33"/>
          <w:sz w:val="20"/>
        </w:rPr>
        <w:t>If an idea has already been adequately covered, tell the user clearly, present what the literature found, and explain the overlap.</w:t>
      </w:r>
    </w:p>
    <w:p>
      <w:pPr>
        <w:pStyle w:val="ListBullet"/>
        <w:spacing w:after="56" w:line="252" w:lineRule="auto"/>
        <w:ind w:left="317" w:hanging="202"/>
        <w:widowControl/>
      </w:pPr>
      <w:r>
        <w:rPr>
          <w:rFonts w:ascii="Aptos" w:hAnsi="Aptos" w:eastAsia="Aptos"/>
          <w:color w:val="202B33"/>
          <w:sz w:val="20"/>
        </w:rPr>
        <w:t>Investigate whether a meaningful unresolved contribution remains, without manufacturing a research gap.</w:t>
      </w:r>
    </w:p>
    <w:p>
      <w:pPr>
        <w:pStyle w:val="ListBullet"/>
        <w:spacing w:after="56" w:line="252" w:lineRule="auto"/>
        <w:ind w:left="317" w:hanging="202"/>
        <w:widowControl/>
      </w:pPr>
      <w:r>
        <w:rPr>
          <w:rFonts w:ascii="Aptos" w:hAnsi="Aptos" w:eastAsia="Aptos"/>
          <w:color w:val="202B33"/>
          <w:sz w:val="20"/>
        </w:rPr>
        <w:t>Keep promising but insufficiently assessed directions available as unresolved possibilities rather than falsely labelling them original or discarding them without explanation.</w:t>
      </w:r>
    </w:p>
    <w:p>
      <w:pPr>
        <w:keepLines/>
        <w:spacing w:after="100" w:line="264" w:lineRule="auto"/>
        <w:widowControl/>
      </w:pPr>
      <w:r>
        <w:rPr>
          <w:rFonts w:ascii="Aptos" w:hAnsi="Aptos" w:eastAsia="Aptos"/>
          <w:color w:val="202B33"/>
          <w:sz w:val="20"/>
        </w:rPr>
        <w:t>Thoth can assess the available evidence for originality, but it must not promise that a contribution is unprecedented. Search coverage, language, access, and expert interpretation impose limits on certainty.</w:t>
      </w:r>
    </w:p>
    <w:p>
      <w:pPr>
        <w:pStyle w:val="Heading1"/>
        <w:keepNext/>
        <w:spacing w:before="260" w:after="100"/>
        <w:widowControl/>
      </w:pPr>
      <w:r>
        <w:rPr>
          <w:rFonts w:ascii="Aptos" w:hAnsi="Aptos" w:eastAsia="Aptos"/>
          <w:b/>
          <w:color w:val="20354A"/>
          <w:sz w:val="34"/>
        </w:rPr>
        <w:t>5. Literature discovery and paper analysis</w:t>
      </w:r>
    </w:p>
    <w:p>
      <w:pPr>
        <w:pStyle w:val="Heading2"/>
        <w:keepNext/>
        <w:spacing w:before="160" w:after="60"/>
        <w:widowControl/>
      </w:pPr>
      <w:r>
        <w:rPr>
          <w:rFonts w:ascii="Aptos" w:hAnsi="Aptos" w:eastAsia="Aptos"/>
          <w:b/>
          <w:color w:val="167C80"/>
          <w:sz w:val="25"/>
        </w:rPr>
        <w:t>5.1 Progressive reading depth</w:t>
      </w:r>
    </w:p>
    <w:p>
      <w:pPr>
        <w:keepLines/>
        <w:spacing w:after="100" w:line="264" w:lineRule="auto"/>
        <w:widowControl/>
      </w:pPr>
      <w:r>
        <w:rPr>
          <w:rFonts w:ascii="Aptos" w:hAnsi="Aptos" w:eastAsia="Aptos"/>
          <w:color w:val="202B33"/>
          <w:sz w:val="20"/>
        </w:rPr>
        <w:t>Thoth should read broadly to understand the research landscape, then allocate deeper analysis according to the importance of each paper to the research claim. A paper that could overturn a conclusion, establish prior work, or provide an essential theoretical foundation deserves especially rigorous scrutiny.</w:t>
      </w:r>
    </w:p>
    <w:p>
      <w:pPr>
        <w:keepLines/>
        <w:spacing w:after="100" w:line="264" w:lineRule="auto"/>
        <w:widowControl/>
      </w:pPr>
      <w:r>
        <w:rPr>
          <w:rFonts w:ascii="Aptos" w:hAnsi="Aptos" w:eastAsia="Aptos"/>
          <w:color w:val="202B33"/>
          <w:sz w:val="20"/>
        </w:rPr>
        <w:t>For detailed research papers, Thoth should offer this deeper analysis as an explicit option, explain that it requires additional research and processing time, and obtain approval. The conversation must remain usable while preparation or analysis proceeds.</w:t>
      </w:r>
    </w:p>
    <w:p>
      <w:pPr>
        <w:pStyle w:val="Heading2"/>
        <w:keepNext/>
        <w:spacing w:before="160" w:after="60"/>
        <w:widowControl/>
      </w:pPr>
      <w:r>
        <w:rPr>
          <w:rFonts w:ascii="Aptos" w:hAnsi="Aptos" w:eastAsia="Aptos"/>
          <w:b/>
          <w:color w:val="167C80"/>
          <w:sz w:val="25"/>
        </w:rPr>
        <w:t>5.2 Full-text access</w:t>
      </w:r>
    </w:p>
    <w:p>
      <w:pPr>
        <w:pStyle w:val="ListBullet"/>
        <w:spacing w:after="56" w:line="252" w:lineRule="auto"/>
        <w:ind w:left="317" w:hanging="202"/>
        <w:widowControl/>
      </w:pPr>
      <w:r>
        <w:rPr>
          <w:rFonts w:ascii="Aptos" w:hAnsi="Aptos" w:eastAsia="Aptos"/>
          <w:color w:val="202B33"/>
          <w:sz w:val="20"/>
        </w:rPr>
        <w:t>Automatically search for legally accessible full-text versions, including open-access articles, repository copies, and preprints where appropriate.</w:t>
      </w:r>
    </w:p>
    <w:p>
      <w:pPr>
        <w:pStyle w:val="ListBullet"/>
        <w:spacing w:after="56" w:line="252" w:lineRule="auto"/>
        <w:ind w:left="317" w:hanging="202"/>
        <w:widowControl/>
      </w:pPr>
      <w:r>
        <w:rPr>
          <w:rFonts w:ascii="Aptos" w:hAnsi="Aptos" w:eastAsia="Aptos"/>
          <w:color w:val="202B33"/>
          <w:sz w:val="20"/>
        </w:rPr>
        <w:t>Allow the user to upload PDFs when automated retrieval does not provide access to an important paper.</w:t>
      </w:r>
    </w:p>
    <w:p>
      <w:pPr>
        <w:pStyle w:val="ListBullet"/>
        <w:spacing w:after="56" w:line="252" w:lineRule="auto"/>
        <w:ind w:left="317" w:hanging="202"/>
        <w:widowControl/>
      </w:pPr>
      <w:r>
        <w:rPr>
          <w:rFonts w:ascii="Aptos" w:hAnsi="Aptos" w:eastAsia="Aptos"/>
          <w:color w:val="202B33"/>
          <w:sz w:val="20"/>
        </w:rPr>
        <w:t>Analyse methods, results, figures, tables, assumptions, and limitations wherever the extraction method supports them reliably.</w:t>
      </w:r>
    </w:p>
    <w:p>
      <w:pPr>
        <w:pStyle w:val="ListBullet"/>
        <w:spacing w:after="56" w:line="252" w:lineRule="auto"/>
        <w:ind w:left="317" w:hanging="202"/>
        <w:widowControl/>
      </w:pPr>
      <w:r>
        <w:rPr>
          <w:rFonts w:ascii="Aptos" w:hAnsi="Aptos" w:eastAsia="Aptos"/>
          <w:color w:val="202B33"/>
          <w:sz w:val="20"/>
        </w:rPr>
        <w:t>Distinguish abstract-level reading from full-text assessment. Do not claim that a paper received deep review unless the relevant content was actually accessible and inspected.</w:t>
      </w:r>
    </w:p>
    <w:p>
      <w:pPr>
        <w:pStyle w:val="Heading2"/>
        <w:keepNext/>
        <w:spacing w:before="160" w:after="60"/>
        <w:widowControl/>
      </w:pPr>
      <w:r>
        <w:rPr>
          <w:rFonts w:ascii="Aptos" w:hAnsi="Aptos" w:eastAsia="Aptos"/>
          <w:b/>
          <w:color w:val="167C80"/>
          <w:sz w:val="25"/>
        </w:rPr>
        <w:t>5.3 Handling inaccessible papers</w:t>
      </w:r>
    </w:p>
    <w:p>
      <w:pPr>
        <w:keepLines/>
        <w:spacing w:after="100" w:line="264" w:lineRule="auto"/>
        <w:widowControl/>
      </w:pPr>
      <w:r>
        <w:rPr>
          <w:rFonts w:ascii="Aptos" w:hAnsi="Aptos" w:eastAsia="Aptos"/>
          <w:color w:val="202B33"/>
          <w:sz w:val="20"/>
        </w:rPr>
        <w:t>If a relevant paper remains inaccessible after reasonable attempts to find a legitimate version, Thoth should add a concise note that the paper may be relevant but could not be fully assessed. It may note that institutional or library access could help, then continue with the rest of the review. One inaccessible paper must not block the investigation.</w:t>
      </w:r>
    </w:p>
    <w:p>
      <w:pPr>
        <w:keepLines/>
        <w:spacing w:after="100" w:line="264" w:lineRule="auto"/>
        <w:widowControl/>
      </w:pPr>
      <w:r>
        <w:rPr>
          <w:rFonts w:ascii="Aptos" w:hAnsi="Aptos" w:eastAsia="Aptos"/>
          <w:color w:val="202B33"/>
          <w:sz w:val="20"/>
        </w:rPr>
        <w:t>Claims based only on an abstract must be labelled accordingly. Thoth must not infer unobserved methods, results, or limitations from an inaccessible full text.</w:t>
      </w:r>
    </w:p>
    <w:p>
      <w:pPr>
        <w:pStyle w:val="Heading2"/>
        <w:keepNext/>
        <w:spacing w:before="160" w:after="60"/>
        <w:widowControl/>
      </w:pPr>
      <w:r>
        <w:rPr>
          <w:rFonts w:ascii="Aptos" w:hAnsi="Aptos" w:eastAsia="Aptos"/>
          <w:b/>
          <w:color w:val="167C80"/>
          <w:sz w:val="25"/>
        </w:rPr>
        <w:t>5.4 Lightweight scans and formal systematic reviews</w:t>
      </w:r>
    </w:p>
    <w:p>
      <w:pPr>
        <w:keepLines/>
        <w:spacing w:after="100" w:line="264" w:lineRule="auto"/>
        <w:widowControl/>
      </w:pPr>
      <w:r>
        <w:rPr>
          <w:rFonts w:ascii="Aptos" w:hAnsi="Aptos" w:eastAsia="Aptos"/>
          <w:color w:val="202B33"/>
          <w:sz w:val="20"/>
        </w:rPr>
        <w:t>Early brainstorming should use a lightweight literature scan. When Thoth recognises that an idea is becoming a serious research question, formal report, or manuscript, it should recommend a PRISMA-aligned review, explain the additional effort, and wait for user approval.</w:t>
      </w:r>
    </w:p>
    <w:p>
      <w:pPr>
        <w:keepLines/>
        <w:spacing w:after="100" w:line="264" w:lineRule="auto"/>
        <w:widowControl/>
      </w:pPr>
      <w:r>
        <w:rPr>
          <w:rFonts w:ascii="Aptos" w:hAnsi="Aptos" w:eastAsia="Aptos"/>
          <w:color w:val="202B33"/>
          <w:sz w:val="20"/>
        </w:rPr>
        <w:t>PRISMA is to be used as a transparency and reporting framework for the formal review process, not as a substitute for designing an appropriate review methodology.</w:t>
      </w:r>
    </w:p>
    <w:p>
      <w:pPr>
        <w:pStyle w:val="Heading2"/>
        <w:keepNext/>
        <w:spacing w:before="160" w:after="60"/>
        <w:widowControl/>
      </w:pPr>
      <w:r>
        <w:rPr>
          <w:rFonts w:ascii="Aptos" w:hAnsi="Aptos" w:eastAsia="Aptos"/>
          <w:b/>
          <w:color w:val="167C80"/>
          <w:sz w:val="25"/>
        </w:rPr>
        <w:t>5.5 Formal review protocol and records</w:t>
      </w:r>
    </w:p>
    <w:p>
      <w:pPr>
        <w:pStyle w:val="ListBullet"/>
        <w:spacing w:after="56" w:line="252" w:lineRule="auto"/>
        <w:ind w:left="317" w:hanging="202"/>
        <w:widowControl/>
      </w:pPr>
      <w:r>
        <w:rPr>
          <w:rFonts w:ascii="Aptos" w:hAnsi="Aptos" w:eastAsia="Aptos"/>
          <w:color w:val="202B33"/>
          <w:sz w:val="20"/>
        </w:rPr>
        <w:t>Propose the review question, scope, search boundaries, and inclusion/exclusion criteria; explain the rationale and allow the user to adjust and approve them before the formal review starts.</w:t>
      </w:r>
    </w:p>
    <w:p>
      <w:pPr>
        <w:pStyle w:val="ListBullet"/>
        <w:spacing w:after="56" w:line="252" w:lineRule="auto"/>
        <w:ind w:left="317" w:hanging="202"/>
        <w:widowControl/>
      </w:pPr>
      <w:r>
        <w:rPr>
          <w:rFonts w:ascii="Aptos" w:hAnsi="Aptos" w:eastAsia="Aptos"/>
          <w:color w:val="202B33"/>
          <w:sz w:val="20"/>
        </w:rPr>
        <w:t>Search for supporting and contradictory evidence rather than only literature that agrees with the initial hypothesis.</w:t>
      </w:r>
    </w:p>
    <w:p>
      <w:pPr>
        <w:pStyle w:val="ListBullet"/>
        <w:spacing w:after="56" w:line="252" w:lineRule="auto"/>
        <w:ind w:left="317" w:hanging="202"/>
        <w:widowControl/>
      </w:pPr>
      <w:r>
        <w:rPr>
          <w:rFonts w:ascii="Aptos" w:hAnsi="Aptos" w:eastAsia="Aptos"/>
          <w:color w:val="202B33"/>
          <w:sz w:val="20"/>
        </w:rPr>
        <w:t>Record actual sources and databases searched, queries, search dates, eligibility criteria, screening decisions, exclusions and reasons, and study counts at each stage.</w:t>
      </w:r>
    </w:p>
    <w:p>
      <w:pPr>
        <w:pStyle w:val="ListBullet"/>
        <w:spacing w:after="56" w:line="252" w:lineRule="auto"/>
        <w:ind w:left="317" w:hanging="202"/>
        <w:widowControl/>
      </w:pPr>
      <w:r>
        <w:rPr>
          <w:rFonts w:ascii="Aptos" w:hAnsi="Aptos" w:eastAsia="Aptos"/>
          <w:color w:val="202B33"/>
          <w:sz w:val="20"/>
        </w:rPr>
        <w:t>Generate a PRISMA flow diagram and checklist where applicable, reflecting the actual recorded process.</w:t>
      </w:r>
    </w:p>
    <w:p>
      <w:pPr>
        <w:pStyle w:val="ListBullet"/>
        <w:spacing w:after="56" w:line="252" w:lineRule="auto"/>
        <w:ind w:left="317" w:hanging="202"/>
        <w:widowControl/>
      </w:pPr>
      <w:r>
        <w:rPr>
          <w:rFonts w:ascii="Aptos" w:hAnsi="Aptos" w:eastAsia="Aptos"/>
          <w:color w:val="202B33"/>
          <w:sz w:val="20"/>
        </w:rPr>
        <w:t>Disclose limitations caused by database coverage, language, date range, inaccessible full texts, extraction failures, or other constraints.</w:t>
      </w:r>
    </w:p>
    <w:p>
      <w:pPr>
        <w:pStyle w:val="ListBullet"/>
        <w:spacing w:after="56" w:line="252" w:lineRule="auto"/>
        <w:ind w:left="317" w:hanging="202"/>
        <w:widowControl/>
      </w:pPr>
      <w:r>
        <w:rPr>
          <w:rFonts w:ascii="Aptos" w:hAnsi="Aptos" w:eastAsia="Aptos"/>
          <w:color w:val="202B33"/>
          <w:sz w:val="20"/>
        </w:rPr>
        <w:t>Never invent screening counts, inclusion decisions, or claim that a search was exhaustive without evidence.</w:t>
      </w:r>
    </w:p>
    <w:p>
      <w:pPr>
        <w:pStyle w:val="Heading2"/>
        <w:keepNext/>
        <w:spacing w:before="160" w:after="60"/>
        <w:widowControl/>
      </w:pPr>
      <w:r>
        <w:rPr>
          <w:rFonts w:ascii="Aptos" w:hAnsi="Aptos" w:eastAsia="Aptos"/>
          <w:b/>
          <w:color w:val="167C80"/>
          <w:sz w:val="25"/>
        </w:rPr>
        <w:t>5.6 Critical appraisal of individual studies</w:t>
      </w:r>
    </w:p>
    <w:p>
      <w:pPr>
        <w:keepLines/>
        <w:spacing w:after="100" w:line="264" w:lineRule="auto"/>
        <w:widowControl/>
      </w:pPr>
      <w:r>
        <w:rPr>
          <w:rFonts w:ascii="Aptos" w:hAnsi="Aptos" w:eastAsia="Aptos"/>
          <w:color w:val="202B33"/>
          <w:sz w:val="20"/>
        </w:rPr>
        <w:t>Thoth should assess whether each study’s methods fit its question, whether data and analysis support its findings, what biases or limitations matter, and whether its conclusions go beyond the evidence. It should consider the authors’ stated limitations as well as additional evidence-based criticism.</w:t>
      </w:r>
    </w:p>
    <w:p>
      <w:pPr>
        <w:keepLines/>
        <w:spacing w:after="100" w:line="264" w:lineRule="auto"/>
        <w:widowControl/>
      </w:pPr>
      <w:r>
        <w:rPr>
          <w:rFonts w:ascii="Aptos" w:hAnsi="Aptos" w:eastAsia="Aptos"/>
          <w:color w:val="202B33"/>
          <w:sz w:val="20"/>
        </w:rPr>
        <w:t>Use a common set of core appraisal questions for all papers and add recognised, methodology-appropriate frameworks when they are practical and relevant. Automatically classify study types when the evidence is sufficient; flag uncertainty and ask for clarification only when misclassification could materially change the assessment. Prefer explanations of specific weaknesses and their implications over unexplained universal quality scores.</w:t>
      </w:r>
    </w:p>
    <w:p>
      <w:pPr>
        <w:pStyle w:val="Heading2"/>
        <w:keepNext/>
        <w:spacing w:before="160" w:after="60"/>
        <w:widowControl/>
      </w:pPr>
      <w:r>
        <w:rPr>
          <w:rFonts w:ascii="Aptos" w:hAnsi="Aptos" w:eastAsia="Aptos"/>
          <w:b/>
          <w:color w:val="167C80"/>
          <w:sz w:val="25"/>
        </w:rPr>
        <w:t>5.7 Search stopping and resource discipline</w:t>
      </w:r>
    </w:p>
    <w:p>
      <w:pPr>
        <w:keepLines/>
        <w:spacing w:after="100" w:line="264" w:lineRule="auto"/>
        <w:widowControl/>
      </w:pPr>
      <w:r>
        <w:rPr>
          <w:rFonts w:ascii="Aptos" w:hAnsi="Aptos" w:eastAsia="Aptos"/>
          <w:color w:val="202B33"/>
          <w:sz w:val="20"/>
        </w:rPr>
        <w:t>Proposed approach for later confirmation: search until the documented scope and evidence-driven stopping criteria have been met, while respecting explicit time and resource limits. Record why the review stopped and what might remain missing. Reaching a stopping condition means the documented search criteria were met; it does not prove that no relevant literature exists elsewhere.</w:t>
      </w:r>
    </w:p>
    <w:p>
      <w:pPr>
        <w:pStyle w:val="Heading1"/>
        <w:keepNext/>
        <w:spacing w:before="260" w:after="100"/>
        <w:widowControl/>
      </w:pPr>
      <w:r>
        <w:rPr>
          <w:rFonts w:ascii="Aptos" w:hAnsi="Aptos" w:eastAsia="Aptos"/>
          <w:b/>
          <w:color w:val="20354A"/>
          <w:sz w:val="34"/>
        </w:rPr>
        <w:t>6. Multi-agent research and intellectual rigour</w:t>
      </w:r>
    </w:p>
    <w:p>
      <w:pPr>
        <w:pStyle w:val="Heading2"/>
        <w:keepNext/>
        <w:spacing w:before="160" w:after="60"/>
        <w:widowControl/>
      </w:pPr>
      <w:r>
        <w:rPr>
          <w:rFonts w:ascii="Aptos" w:hAnsi="Aptos" w:eastAsia="Aptos"/>
          <w:b/>
          <w:color w:val="167C80"/>
          <w:sz w:val="25"/>
        </w:rPr>
        <w:t>6.1 Staged hybrid architecture</w:t>
      </w:r>
    </w:p>
    <w:p>
      <w:pPr>
        <w:keepLines/>
        <w:spacing w:after="100" w:line="264" w:lineRule="auto"/>
        <w:widowControl/>
      </w:pPr>
      <w:r>
        <w:rPr>
          <w:rFonts w:ascii="Aptos" w:hAnsi="Aptos" w:eastAsia="Aptos"/>
          <w:color w:val="202B33"/>
          <w:sz w:val="20"/>
        </w:rPr>
        <w:t>Thoth should use specialised research responsibilities, independent judgement over a shared evidence collection, and targeted adversarial review when claims are important, disputed, or consequential. The goal is meaningful intellectual scrutiny, not maximising the number of agents.</w:t>
      </w:r>
    </w:p>
    <w:tbl>
      <w:tblPr>
        <w:tblStyle w:val="TableGrid"/>
        <w:tblW w:type="auto" w:w="0"/>
        <w:jc w:val="center"/>
        <w:tblLayout w:type="fixed"/>
        <w:tblLook w:firstColumn="1" w:firstRow="1" w:lastColumn="0" w:lastRow="0" w:noHBand="0" w:noVBand="1" w:val="04A0"/>
      </w:tblPr>
      <w:tblGrid>
        <w:gridCol w:w="2520"/>
        <w:gridCol w:w="7128"/>
      </w:tblGrid>
      <w:tr>
        <w:trPr>
          <w:tblHeader w:val="true"/>
        </w:trPr>
        <w:tc>
          <w:tcPr>
            <w:tcW w:type="dxa" w:w="2520"/>
            <w:shd w:fill="20354A"/>
            <w:tcMar>
              <w:top w:w="90" w:type="dxa"/>
              <w:start w:w="110" w:type="dxa"/>
              <w:bottom w:w="90" w:type="dxa"/>
              <w:end w:w="110" w:type="dxa"/>
            </w:tcMar>
            <w:vAlign w:val="center"/>
          </w:tcPr>
          <w:p>
            <w:pPr>
              <w:spacing w:after="0"/>
            </w:pPr>
            <w:r>
              <w:rPr>
                <w:rFonts w:ascii="Aptos" w:hAnsi="Aptos" w:eastAsia="Aptos"/>
                <w:b/>
                <w:color w:val="FFFFFF"/>
                <w:sz w:val="18"/>
              </w:rPr>
              <w:t>Logical responsibility</w:t>
            </w:r>
          </w:p>
        </w:tc>
        <w:tc>
          <w:tcPr>
            <w:tcW w:type="dxa" w:w="7128"/>
            <w:shd w:fill="20354A"/>
            <w:tcMar>
              <w:top w:w="90" w:type="dxa"/>
              <w:start w:w="110" w:type="dxa"/>
              <w:bottom w:w="90" w:type="dxa"/>
              <w:end w:w="110" w:type="dxa"/>
            </w:tcMar>
            <w:vAlign w:val="center"/>
          </w:tcPr>
          <w:p>
            <w:pPr>
              <w:spacing w:after="0"/>
            </w:pPr>
            <w:r>
              <w:rPr>
                <w:rFonts w:ascii="Aptos" w:hAnsi="Aptos" w:eastAsia="Aptos"/>
                <w:b/>
                <w:color w:val="FFFFFF"/>
                <w:sz w:val="18"/>
              </w:rPr>
              <w:t>Contribution</w:t>
            </w:r>
          </w:p>
        </w:tc>
      </w:tr>
      <w:tr>
        <w:trPr>
          <w:cantSplit/>
        </w:trPr>
        <w:tc>
          <w:tcPr>
            <w:tcW w:type="dxa" w:w="2520"/>
            <w:tcMar>
              <w:top w:w="75" w:type="dxa"/>
              <w:start w:w="105" w:type="dxa"/>
              <w:bottom w:w="75" w:type="dxa"/>
              <w:end w:w="105" w:type="dxa"/>
            </w:tcMar>
            <w:vAlign w:val="top"/>
          </w:tcPr>
          <w:p>
            <w:pPr>
              <w:spacing w:after="0" w:line="245" w:lineRule="auto"/>
            </w:pPr>
            <w:r>
              <w:rPr>
                <w:rFonts w:ascii="Aptos" w:hAnsi="Aptos" w:eastAsia="Aptos"/>
                <w:color w:val="202B33"/>
                <w:sz w:val="18"/>
              </w:rPr>
              <w:t>Literature researcher</w:t>
            </w:r>
          </w:p>
        </w:tc>
        <w:tc>
          <w:tcPr>
            <w:tcW w:type="dxa" w:w="7128"/>
            <w:tcMar>
              <w:top w:w="75" w:type="dxa"/>
              <w:start w:w="105" w:type="dxa"/>
              <w:bottom w:w="75" w:type="dxa"/>
              <w:end w:w="105" w:type="dxa"/>
            </w:tcMar>
            <w:vAlign w:val="top"/>
          </w:tcPr>
          <w:p>
            <w:pPr>
              <w:spacing w:after="0" w:line="245" w:lineRule="auto"/>
            </w:pPr>
            <w:r>
              <w:rPr>
                <w:rFonts w:ascii="Aptos" w:hAnsi="Aptos" w:eastAsia="Aptos"/>
                <w:color w:val="202B33"/>
                <w:sz w:val="18"/>
              </w:rPr>
              <w:t>Discovers papers, follows citation relationships, and maps the research landscape.</w:t>
            </w:r>
          </w:p>
        </w:tc>
      </w:tr>
      <w:tr>
        <w:trPr>
          <w:cantSplit/>
        </w:trPr>
        <w:tc>
          <w:tcPr>
            <w:tcW w:type="dxa" w:w="2520"/>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Paper analyst</w:t>
            </w:r>
          </w:p>
        </w:tc>
        <w:tc>
          <w:tcPr>
            <w:tcW w:type="dxa" w:w="7128"/>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Examines relevant accessible papers and extracts the argument, approach, findings, assumptions, and limitations.</w:t>
            </w:r>
          </w:p>
        </w:tc>
      </w:tr>
      <w:tr>
        <w:trPr>
          <w:cantSplit/>
        </w:trPr>
        <w:tc>
          <w:tcPr>
            <w:tcW w:type="dxa" w:w="2520"/>
            <w:tcMar>
              <w:top w:w="75" w:type="dxa"/>
              <w:start w:w="105" w:type="dxa"/>
              <w:bottom w:w="75" w:type="dxa"/>
              <w:end w:w="105" w:type="dxa"/>
            </w:tcMar>
            <w:vAlign w:val="top"/>
          </w:tcPr>
          <w:p>
            <w:pPr>
              <w:spacing w:after="0" w:line="245" w:lineRule="auto"/>
            </w:pPr>
            <w:r>
              <w:rPr>
                <w:rFonts w:ascii="Aptos" w:hAnsi="Aptos" w:eastAsia="Aptos"/>
                <w:color w:val="202B33"/>
                <w:sz w:val="18"/>
              </w:rPr>
              <w:t>Synthesis agent</w:t>
            </w:r>
          </w:p>
        </w:tc>
        <w:tc>
          <w:tcPr>
            <w:tcW w:type="dxa" w:w="7128"/>
            <w:tcMar>
              <w:top w:w="75" w:type="dxa"/>
              <w:start w:w="105" w:type="dxa"/>
              <w:bottom w:w="75" w:type="dxa"/>
              <w:end w:w="105" w:type="dxa"/>
            </w:tcMar>
            <w:vAlign w:val="top"/>
          </w:tcPr>
          <w:p>
            <w:pPr>
              <w:spacing w:after="0" w:line="245" w:lineRule="auto"/>
            </w:pPr>
            <w:r>
              <w:rPr>
                <w:rFonts w:ascii="Aptos" w:hAnsi="Aptos" w:eastAsia="Aptos"/>
                <w:color w:val="202B33"/>
                <w:sz w:val="18"/>
              </w:rPr>
              <w:t>Connects findings across studies and compares them with the proposed hypothesis.</w:t>
            </w:r>
          </w:p>
        </w:tc>
      </w:tr>
      <w:tr>
        <w:trPr>
          <w:cantSplit/>
        </w:trPr>
        <w:tc>
          <w:tcPr>
            <w:tcW w:type="dxa" w:w="2520"/>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Evidence verifier</w:t>
            </w:r>
          </w:p>
        </w:tc>
        <w:tc>
          <w:tcPr>
            <w:tcW w:type="dxa" w:w="7128"/>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Checks source provenance and whether the cited evidence actually supports the stated claim.</w:t>
            </w:r>
          </w:p>
        </w:tc>
      </w:tr>
      <w:tr>
        <w:trPr>
          <w:cantSplit/>
        </w:trPr>
        <w:tc>
          <w:tcPr>
            <w:tcW w:type="dxa" w:w="2520"/>
            <w:tcMar>
              <w:top w:w="75" w:type="dxa"/>
              <w:start w:w="105" w:type="dxa"/>
              <w:bottom w:w="75" w:type="dxa"/>
              <w:end w:w="105" w:type="dxa"/>
            </w:tcMar>
            <w:vAlign w:val="top"/>
          </w:tcPr>
          <w:p>
            <w:pPr>
              <w:spacing w:after="0" w:line="245" w:lineRule="auto"/>
            </w:pPr>
            <w:r>
              <w:rPr>
                <w:rFonts w:ascii="Aptos" w:hAnsi="Aptos" w:eastAsia="Aptos"/>
                <w:color w:val="202B33"/>
                <w:sz w:val="18"/>
              </w:rPr>
              <w:t>Methodological critic</w:t>
            </w:r>
          </w:p>
        </w:tc>
        <w:tc>
          <w:tcPr>
            <w:tcW w:type="dxa" w:w="7128"/>
            <w:tcMar>
              <w:top w:w="75" w:type="dxa"/>
              <w:start w:w="105" w:type="dxa"/>
              <w:bottom w:w="75" w:type="dxa"/>
              <w:end w:w="105" w:type="dxa"/>
            </w:tcMar>
            <w:vAlign w:val="top"/>
          </w:tcPr>
          <w:p>
            <w:pPr>
              <w:spacing w:after="0" w:line="245" w:lineRule="auto"/>
            </w:pPr>
            <w:r>
              <w:rPr>
                <w:rFonts w:ascii="Aptos" w:hAnsi="Aptos" w:eastAsia="Aptos"/>
                <w:color w:val="202B33"/>
                <w:sz w:val="18"/>
              </w:rPr>
              <w:t>Assesses design fit, data quality, assumptions, potential bias, and inferential limits.</w:t>
            </w:r>
          </w:p>
        </w:tc>
      </w:tr>
      <w:tr>
        <w:trPr>
          <w:cantSplit/>
        </w:trPr>
        <w:tc>
          <w:tcPr>
            <w:tcW w:type="dxa" w:w="2520"/>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Intellectual thinkers</w:t>
            </w:r>
          </w:p>
        </w:tc>
        <w:tc>
          <w:tcPr>
            <w:tcW w:type="dxa" w:w="7128"/>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Apply relevant reasoning frameworks to assumptions, causality, falsifiability, interpretation, and paradigmatic disputes.</w:t>
            </w:r>
          </w:p>
        </w:tc>
      </w:tr>
      <w:tr>
        <w:trPr>
          <w:cantSplit/>
        </w:trPr>
        <w:tc>
          <w:tcPr>
            <w:tcW w:type="dxa" w:w="2520"/>
            <w:tcMar>
              <w:top w:w="75" w:type="dxa"/>
              <w:start w:w="105" w:type="dxa"/>
              <w:bottom w:w="75" w:type="dxa"/>
              <w:end w:w="105" w:type="dxa"/>
            </w:tcMar>
            <w:vAlign w:val="top"/>
          </w:tcPr>
          <w:p>
            <w:pPr>
              <w:spacing w:after="0" w:line="245" w:lineRule="auto"/>
            </w:pPr>
            <w:r>
              <w:rPr>
                <w:rFonts w:ascii="Aptos" w:hAnsi="Aptos" w:eastAsia="Aptos"/>
                <w:color w:val="202B33"/>
                <w:sz w:val="18"/>
              </w:rPr>
              <w:t>Integrator</w:t>
            </w:r>
          </w:p>
        </w:tc>
        <w:tc>
          <w:tcPr>
            <w:tcW w:type="dxa" w:w="7128"/>
            <w:tcMar>
              <w:top w:w="75" w:type="dxa"/>
              <w:start w:w="105" w:type="dxa"/>
              <w:bottom w:w="75" w:type="dxa"/>
              <w:end w:w="105" w:type="dxa"/>
            </w:tcMar>
            <w:vAlign w:val="top"/>
          </w:tcPr>
          <w:p>
            <w:pPr>
              <w:spacing w:after="0" w:line="245" w:lineRule="auto"/>
            </w:pPr>
            <w:r>
              <w:rPr>
                <w:rFonts w:ascii="Aptos" w:hAnsi="Aptos" w:eastAsia="Aptos"/>
                <w:color w:val="202B33"/>
                <w:sz w:val="18"/>
              </w:rPr>
              <w:t>Investigates material disagreements and produces a synthesis that preserves agreement, conflict, and uncertainty.</w:t>
            </w:r>
          </w:p>
        </w:tc>
      </w:tr>
    </w:tbl>
    <w:p>
      <w:pPr>
        <w:spacing w:after="20"/>
        <w:widowControl/>
      </w:pPr>
    </w:p>
    <w:p>
      <w:pPr>
        <w:keepLines/>
        <w:spacing w:after="100" w:line="264" w:lineRule="auto"/>
        <w:widowControl/>
      </w:pPr>
      <w:r>
        <w:rPr>
          <w:rFonts w:ascii="Aptos" w:hAnsi="Aptos" w:eastAsia="Aptos"/>
          <w:color w:val="202B33"/>
          <w:sz w:val="20"/>
        </w:rPr>
        <w:t>These are logical responsibilities, not a requirement to deploy seven separate services. Roles may be combined or reused where that is technically simpler and does not compromise independent judgement.</w:t>
      </w:r>
    </w:p>
    <w:p>
      <w:pPr>
        <w:pStyle w:val="Heading2"/>
        <w:keepNext/>
        <w:spacing w:before="160" w:after="60"/>
        <w:widowControl/>
      </w:pPr>
      <w:r>
        <w:rPr>
          <w:rFonts w:ascii="Aptos" w:hAnsi="Aptos" w:eastAsia="Aptos"/>
          <w:b/>
          <w:color w:val="167C80"/>
          <w:sz w:val="25"/>
        </w:rPr>
        <w:t>6.2 Shared evidence, independent judgement</w:t>
      </w:r>
    </w:p>
    <w:p>
      <w:pPr>
        <w:pStyle w:val="ListBullet"/>
        <w:spacing w:after="56" w:line="252" w:lineRule="auto"/>
        <w:ind w:left="317" w:hanging="202"/>
        <w:widowControl/>
      </w:pPr>
      <w:r>
        <w:rPr>
          <w:rFonts w:ascii="Aptos" w:hAnsi="Aptos" w:eastAsia="Aptos"/>
          <w:color w:val="202B33"/>
          <w:sz w:val="20"/>
        </w:rPr>
        <w:t>Maintain a common, traceable evidence collection for research agents within the project.</w:t>
      </w:r>
    </w:p>
    <w:p>
      <w:pPr>
        <w:pStyle w:val="ListBullet"/>
        <w:spacing w:after="56" w:line="252" w:lineRule="auto"/>
        <w:ind w:left="317" w:hanging="202"/>
        <w:widowControl/>
      </w:pPr>
      <w:r>
        <w:rPr>
          <w:rFonts w:ascii="Aptos" w:hAnsi="Aptos" w:eastAsia="Aptos"/>
          <w:color w:val="202B33"/>
          <w:sz w:val="20"/>
        </w:rPr>
        <w:t>Let agents independently assess important claims rather than blindly inheriting the Writer’s interpretation.</w:t>
      </w:r>
    </w:p>
    <w:p>
      <w:pPr>
        <w:pStyle w:val="ListBullet"/>
        <w:spacing w:after="56" w:line="252" w:lineRule="auto"/>
        <w:ind w:left="317" w:hanging="202"/>
        <w:widowControl/>
      </w:pPr>
      <w:r>
        <w:rPr>
          <w:rFonts w:ascii="Aptos" w:hAnsi="Aptos" w:eastAsia="Aptos"/>
          <w:color w:val="202B33"/>
          <w:sz w:val="20"/>
        </w:rPr>
        <w:t>Allow a reviewer to inspect original source passages and run targeted searches when material evidence is missing or disputed.</w:t>
      </w:r>
    </w:p>
    <w:p>
      <w:pPr>
        <w:pStyle w:val="ListBullet"/>
        <w:spacing w:after="56" w:line="252" w:lineRule="auto"/>
        <w:ind w:left="317" w:hanging="202"/>
        <w:widowControl/>
      </w:pPr>
      <w:r>
        <w:rPr>
          <w:rFonts w:ascii="Aptos" w:hAnsi="Aptos" w:eastAsia="Aptos"/>
          <w:color w:val="202B33"/>
          <w:sz w:val="20"/>
        </w:rPr>
        <w:t>Reuse evidence and extraction work within a project, but distinguish shared source material from each agent’s assessment.</w:t>
      </w:r>
    </w:p>
    <w:p>
      <w:pPr>
        <w:pStyle w:val="Heading2"/>
        <w:keepNext/>
        <w:spacing w:before="160" w:after="60"/>
        <w:widowControl/>
      </w:pPr>
      <w:r>
        <w:rPr>
          <w:rFonts w:ascii="Aptos" w:hAnsi="Aptos" w:eastAsia="Aptos"/>
          <w:b/>
          <w:color w:val="167C80"/>
          <w:sz w:val="25"/>
        </w:rPr>
        <w:t>6.3 Intellectual thinkers integrated into research</w:t>
      </w:r>
    </w:p>
    <w:p>
      <w:pPr>
        <w:keepLines/>
        <w:spacing w:after="100" w:line="264" w:lineRule="auto"/>
        <w:widowControl/>
      </w:pPr>
      <w:r>
        <w:rPr>
          <w:rFonts w:ascii="Aptos" w:hAnsi="Aptos" w:eastAsia="Aptos"/>
          <w:color w:val="202B33"/>
          <w:sz w:val="20"/>
        </w:rPr>
        <w:t>Relevant thinker frameworks should be available across brainstorming, hypothesis formulation, literature interpretation, and critical review, rather than only as pre-research personas or post-report commands. Thinkers should be invoked when their perspective adds value, not mechanically on every task.</w:t>
      </w:r>
    </w:p>
    <w:p>
      <w:pPr>
        <w:keepLines/>
        <w:spacing w:after="100" w:line="264" w:lineRule="auto"/>
        <w:widowControl/>
      </w:pPr>
      <w:r>
        <w:rPr>
          <w:rFonts w:ascii="Aptos" w:hAnsi="Aptos" w:eastAsia="Aptos"/>
          <w:color w:val="202B33"/>
          <w:sz w:val="20"/>
        </w:rPr>
        <w:t>When the user does not know which perspective to choose, Thoth should recommend or route to a relevant thinker, explain why the perspective may help, and let the user continue with it, switch perspective, request another view, or return to ordinary Thoth conversation.</w:t>
      </w:r>
    </w:p>
    <w:p>
      <w:pPr>
        <w:pStyle w:val="Heading2"/>
        <w:keepNext/>
        <w:spacing w:before="160" w:after="60"/>
        <w:widowControl/>
      </w:pPr>
      <w:r>
        <w:rPr>
          <w:rFonts w:ascii="Aptos" w:hAnsi="Aptos" w:eastAsia="Aptos"/>
          <w:b/>
          <w:color w:val="167C80"/>
          <w:sz w:val="25"/>
        </w:rPr>
        <w:t>6.4 Severity-based criticism gate</w:t>
      </w:r>
    </w:p>
    <w:tbl>
      <w:tblPr>
        <w:tblStyle w:val="TableGrid"/>
        <w:tblW w:type="auto" w:w="0"/>
        <w:jc w:val="center"/>
        <w:tblLayout w:type="fixed"/>
        <w:tblLook w:firstColumn="1" w:firstRow="1" w:lastColumn="0" w:lastRow="0" w:noHBand="0" w:noVBand="1" w:val="04A0"/>
      </w:tblPr>
      <w:tblGrid>
        <w:gridCol w:w="2664"/>
        <w:gridCol w:w="6984"/>
      </w:tblGrid>
      <w:tr>
        <w:trPr>
          <w:tblHeader w:val="true"/>
        </w:trPr>
        <w:tc>
          <w:tcPr>
            <w:tcW w:type="dxa" w:w="2664"/>
            <w:shd w:fill="20354A"/>
            <w:tcMar>
              <w:top w:w="90" w:type="dxa"/>
              <w:start w:w="110" w:type="dxa"/>
              <w:bottom w:w="90" w:type="dxa"/>
              <w:end w:w="110" w:type="dxa"/>
            </w:tcMar>
            <w:vAlign w:val="center"/>
          </w:tcPr>
          <w:p>
            <w:pPr>
              <w:spacing w:after="0"/>
            </w:pPr>
            <w:r>
              <w:rPr>
                <w:rFonts w:ascii="Aptos" w:hAnsi="Aptos" w:eastAsia="Aptos"/>
                <w:b/>
                <w:color w:val="FFFFFF"/>
                <w:sz w:val="18"/>
              </w:rPr>
              <w:t>Issue type</w:t>
            </w:r>
          </w:p>
        </w:tc>
        <w:tc>
          <w:tcPr>
            <w:tcW w:type="dxa" w:w="6984"/>
            <w:shd w:fill="20354A"/>
            <w:tcMar>
              <w:top w:w="90" w:type="dxa"/>
              <w:start w:w="110" w:type="dxa"/>
              <w:bottom w:w="90" w:type="dxa"/>
              <w:end w:w="110" w:type="dxa"/>
            </w:tcMar>
            <w:vAlign w:val="center"/>
          </w:tcPr>
          <w:p>
            <w:pPr>
              <w:spacing w:after="0"/>
            </w:pPr>
            <w:r>
              <w:rPr>
                <w:rFonts w:ascii="Aptos" w:hAnsi="Aptos" w:eastAsia="Aptos"/>
                <w:b/>
                <w:color w:val="FFFFFF"/>
                <w:sz w:val="18"/>
              </w:rPr>
              <w:t>Required behaviour</w:t>
            </w:r>
          </w:p>
        </w:tc>
      </w:tr>
      <w:tr>
        <w:trPr>
          <w:cantSplit/>
        </w:trPr>
        <w:tc>
          <w:tcPr>
            <w:tcW w:type="dxa" w:w="2664"/>
            <w:tcMar>
              <w:top w:w="75" w:type="dxa"/>
              <w:start w:w="105" w:type="dxa"/>
              <w:bottom w:w="75" w:type="dxa"/>
              <w:end w:w="105" w:type="dxa"/>
            </w:tcMar>
            <w:vAlign w:val="top"/>
          </w:tcPr>
          <w:p>
            <w:pPr>
              <w:spacing w:after="0" w:line="245" w:lineRule="auto"/>
            </w:pPr>
            <w:r>
              <w:rPr>
                <w:rFonts w:ascii="Aptos" w:hAnsi="Aptos" w:eastAsia="Aptos"/>
                <w:color w:val="202B33"/>
                <w:sz w:val="18"/>
              </w:rPr>
              <w:t>Critical evidence failure</w:t>
            </w:r>
          </w:p>
        </w:tc>
        <w:tc>
          <w:tcPr>
            <w:tcW w:type="dxa" w:w="6984"/>
            <w:tcMar>
              <w:top w:w="75" w:type="dxa"/>
              <w:start w:w="105" w:type="dxa"/>
              <w:bottom w:w="75" w:type="dxa"/>
              <w:end w:w="105" w:type="dxa"/>
            </w:tcMar>
            <w:vAlign w:val="top"/>
          </w:tcPr>
          <w:p>
            <w:pPr>
              <w:spacing w:after="0" w:line="245" w:lineRule="auto"/>
            </w:pPr>
            <w:r>
              <w:rPr>
                <w:rFonts w:ascii="Aptos" w:hAnsi="Aptos" w:eastAsia="Aptos"/>
                <w:color w:val="202B33"/>
                <w:sz w:val="18"/>
              </w:rPr>
              <w:t>Correct or explicitly qualify unsupported factual claims and misrepresented evidence before presenting the report as final.</w:t>
            </w:r>
          </w:p>
        </w:tc>
      </w:tr>
      <w:tr>
        <w:trPr>
          <w:cantSplit/>
        </w:trPr>
        <w:tc>
          <w:tcPr>
            <w:tcW w:type="dxa" w:w="2664"/>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Serious methodological flaw</w:t>
            </w:r>
          </w:p>
        </w:tc>
        <w:tc>
          <w:tcPr>
            <w:tcW w:type="dxa" w:w="6984"/>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Correct, qualify, or clearly document the flaw and its impact on the conclusion.</w:t>
            </w:r>
          </w:p>
        </w:tc>
      </w:tr>
      <w:tr>
        <w:trPr>
          <w:cantSplit/>
        </w:trPr>
        <w:tc>
          <w:tcPr>
            <w:tcW w:type="dxa" w:w="2664"/>
            <w:tcMar>
              <w:top w:w="75" w:type="dxa"/>
              <w:start w:w="105" w:type="dxa"/>
              <w:bottom w:w="75" w:type="dxa"/>
              <w:end w:w="105" w:type="dxa"/>
            </w:tcMar>
            <w:vAlign w:val="top"/>
          </w:tcPr>
          <w:p>
            <w:pPr>
              <w:spacing w:after="0" w:line="245" w:lineRule="auto"/>
            </w:pPr>
            <w:r>
              <w:rPr>
                <w:rFonts w:ascii="Aptos" w:hAnsi="Aptos" w:eastAsia="Aptos"/>
                <w:color w:val="202B33"/>
                <w:sz w:val="18"/>
              </w:rPr>
              <w:t>Substantive disagreement</w:t>
            </w:r>
          </w:p>
        </w:tc>
        <w:tc>
          <w:tcPr>
            <w:tcW w:type="dxa" w:w="6984"/>
            <w:tcMar>
              <w:top w:w="75" w:type="dxa"/>
              <w:start w:w="105" w:type="dxa"/>
              <w:bottom w:w="75" w:type="dxa"/>
              <w:end w:w="105" w:type="dxa"/>
            </w:tcMar>
            <w:vAlign w:val="top"/>
          </w:tcPr>
          <w:p>
            <w:pPr>
              <w:spacing w:after="0" w:line="245" w:lineRule="auto"/>
            </w:pPr>
            <w:r>
              <w:rPr>
                <w:rFonts w:ascii="Aptos" w:hAnsi="Aptos" w:eastAsia="Aptos"/>
                <w:color w:val="202B33"/>
                <w:sz w:val="18"/>
              </w:rPr>
              <w:t>Investigate the underlying evidence and assumptions; preserve legitimate disagreement if it cannot be settled.</w:t>
            </w:r>
          </w:p>
        </w:tc>
      </w:tr>
      <w:tr>
        <w:trPr>
          <w:cantSplit/>
        </w:trPr>
        <w:tc>
          <w:tcPr>
            <w:tcW w:type="dxa" w:w="2664"/>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Non-critical critique</w:t>
            </w:r>
          </w:p>
        </w:tc>
        <w:tc>
          <w:tcPr>
            <w:tcW w:type="dxa" w:w="6984"/>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Consider it and document it when it materially informs interpretation; it need not block completion.</w:t>
            </w:r>
          </w:p>
        </w:tc>
      </w:tr>
    </w:tbl>
    <w:p>
      <w:pPr>
        <w:spacing w:after="20"/>
        <w:widowControl/>
      </w:pPr>
    </w:p>
    <w:p>
      <w:pPr>
        <w:keepLines/>
        <w:spacing w:after="100" w:line="264" w:lineRule="auto"/>
        <w:widowControl/>
      </w:pPr>
      <w:r>
        <w:rPr>
          <w:rFonts w:ascii="Aptos" w:hAnsi="Aptos" w:eastAsia="Aptos"/>
          <w:color w:val="202B33"/>
          <w:sz w:val="20"/>
        </w:rPr>
        <w:t>Revision must use bounded retries. No single thinker should have unlimited veto authority, and philosophical disagreement alone must not invalidate a report.</w:t>
      </w:r>
    </w:p>
    <w:p>
      <w:pPr>
        <w:pStyle w:val="Heading2"/>
        <w:keepNext/>
        <w:spacing w:before="160" w:after="60"/>
        <w:widowControl/>
      </w:pPr>
      <w:r>
        <w:rPr>
          <w:rFonts w:ascii="Aptos" w:hAnsi="Aptos" w:eastAsia="Aptos"/>
          <w:b/>
          <w:color w:val="167C80"/>
          <w:sz w:val="25"/>
        </w:rPr>
        <w:t>6.5 Unresolved critical issues</w:t>
      </w:r>
    </w:p>
    <w:p>
      <w:pPr>
        <w:keepLines/>
        <w:spacing w:after="100" w:line="264" w:lineRule="auto"/>
        <w:widowControl/>
      </w:pPr>
      <w:r>
        <w:rPr>
          <w:rFonts w:ascii="Aptos" w:hAnsi="Aptos" w:eastAsia="Aptos"/>
          <w:color w:val="202B33"/>
          <w:sz w:val="20"/>
        </w:rPr>
        <w:t>When a critical issue remains unresolved, Thoth should preserve verified findings, mark affected claims, explain what evidence or analysis is missing, and identify possible next steps. It may deliver a provisional research output, but must not represent the report as fully verified.</w:t>
      </w:r>
    </w:p>
    <w:p>
      <w:pPr>
        <w:pStyle w:val="Heading2"/>
        <w:keepNext/>
        <w:spacing w:before="160" w:after="60"/>
        <w:widowControl/>
      </w:pPr>
      <w:r>
        <w:rPr>
          <w:rFonts w:ascii="Aptos" w:hAnsi="Aptos" w:eastAsia="Aptos"/>
          <w:b/>
          <w:color w:val="167C80"/>
          <w:sz w:val="25"/>
        </w:rPr>
        <w:t>6.6 Layered transparency</w:t>
      </w:r>
    </w:p>
    <w:p>
      <w:pPr>
        <w:keepLines/>
        <w:spacing w:after="100" w:line="264" w:lineRule="auto"/>
        <w:widowControl/>
      </w:pPr>
      <w:r>
        <w:rPr>
          <w:rFonts w:ascii="Aptos" w:hAnsi="Aptos" w:eastAsia="Aptos"/>
          <w:color w:val="202B33"/>
          <w:sz w:val="20"/>
        </w:rPr>
        <w:t>Present a clear synthesis in the main conversation. Let users expand agent assessments, source passages, counterarguments, competing interpretations, evidence links, and unresolved objections. The goal is to keep the default experience readable while making important reasoning auditable.</w:t>
      </w:r>
    </w:p>
    <w:p>
      <w:pPr>
        <w:pStyle w:val="Heading1"/>
        <w:keepNext/>
        <w:spacing w:before="260" w:after="100"/>
        <w:widowControl/>
      </w:pPr>
      <w:r>
        <w:rPr>
          <w:rFonts w:ascii="Aptos" w:hAnsi="Aptos" w:eastAsia="Aptos"/>
          <w:b/>
          <w:color w:val="20354A"/>
          <w:sz w:val="34"/>
        </w:rPr>
        <w:t>7. Hypothesis development and research design</w:t>
      </w:r>
    </w:p>
    <w:p>
      <w:pPr>
        <w:pStyle w:val="Heading2"/>
        <w:keepNext/>
        <w:spacing w:before="160" w:after="60"/>
        <w:widowControl/>
      </w:pPr>
      <w:r>
        <w:rPr>
          <w:rFonts w:ascii="Aptos" w:hAnsi="Aptos" w:eastAsia="Aptos"/>
          <w:b/>
          <w:color w:val="167C80"/>
          <w:sz w:val="25"/>
        </w:rPr>
        <w:t>7.1 One main hypothesis at a time</w:t>
      </w:r>
    </w:p>
    <w:p>
      <w:pPr>
        <w:keepLines/>
        <w:spacing w:after="100" w:line="264" w:lineRule="auto"/>
        <w:widowControl/>
      </w:pPr>
      <w:r>
        <w:rPr>
          <w:rFonts w:ascii="Aptos" w:hAnsi="Aptos" w:eastAsia="Aptos"/>
          <w:color w:val="202B33"/>
          <w:sz w:val="20"/>
        </w:rPr>
        <w:t>Thoth should help refine one primary hypothesis at a time. It can consider relevant alternative explanations when they materially affect the investigation, but should not automatically generate multiple independent research branches. This keeps the intellectual journey focused and controls research cost.</w:t>
      </w:r>
    </w:p>
    <w:p>
      <w:pPr>
        <w:pStyle w:val="Heading2"/>
        <w:keepNext/>
        <w:spacing w:before="160" w:after="60"/>
        <w:widowControl/>
      </w:pPr>
      <w:r>
        <w:rPr>
          <w:rFonts w:ascii="Aptos" w:hAnsi="Aptos" w:eastAsia="Aptos"/>
          <w:b/>
          <w:color w:val="167C80"/>
          <w:sz w:val="25"/>
        </w:rPr>
        <w:t>7.2 Feasible, evidence-grounded research design</w:t>
      </w:r>
    </w:p>
    <w:p>
      <w:pPr>
        <w:keepLines/>
        <w:spacing w:after="100" w:line="264" w:lineRule="auto"/>
        <w:widowControl/>
      </w:pPr>
      <w:r>
        <w:rPr>
          <w:rFonts w:ascii="Aptos" w:hAnsi="Aptos" w:eastAsia="Aptos"/>
          <w:color w:val="202B33"/>
          <w:sz w:val="20"/>
        </w:rPr>
        <w:t>After the hypothesis has been refined through discussion and literature review, Thoth should propose the strongest realistic research design. It should identify suitable methodology, measurable variables, data requirements, competing predictions, and the tests or observations that could distinguish explanations.</w:t>
      </w:r>
    </w:p>
    <w:p>
      <w:pPr>
        <w:keepLines/>
        <w:spacing w:after="100" w:line="264" w:lineRule="auto"/>
        <w:widowControl/>
      </w:pPr>
      <w:r>
        <w:rPr>
          <w:rFonts w:ascii="Aptos" w:hAnsi="Aptos" w:eastAsia="Aptos"/>
          <w:color w:val="202B33"/>
          <w:sz w:val="20"/>
        </w:rPr>
        <w:t>Thoth should assess feasibility alongside intellectual merit. When useful, it should search for real datasets, repositories, tools, or other resources and verify what is actually accessible. If the preferred design is impractical or depends on unavailable data, it should explain why and offer realistic alternatives.</w:t>
      </w:r>
    </w:p>
    <w:p>
      <w:pPr>
        <w:pStyle w:val="Heading2"/>
        <w:keepNext/>
        <w:spacing w:before="160" w:after="60"/>
        <w:widowControl/>
      </w:pPr>
      <w:r>
        <w:rPr>
          <w:rFonts w:ascii="Aptos" w:hAnsi="Aptos" w:eastAsia="Aptos"/>
          <w:b/>
          <w:color w:val="167C80"/>
          <w:sz w:val="25"/>
        </w:rPr>
        <w:t>7.3 Simplicity over unnecessary complexity</w:t>
      </w:r>
    </w:p>
    <w:tbl>
      <w:tblPr>
        <w:tblW w:type="auto" w:w="0"/>
        <w:jc w:val="center"/>
        <w:tblLayout w:type="fixed"/>
        <w:tblLook w:firstColumn="1" w:firstRow="1" w:lastColumn="0" w:lastRow="0" w:noHBand="0" w:noVBand="1" w:val="04A0"/>
      </w:tblPr>
      <w:tblGrid>
        <w:gridCol w:w="9792"/>
      </w:tblGrid>
      <w:tr>
        <w:trPr>
          <w:cantSplit/>
        </w:trPr>
        <w:tc>
          <w:tcPr>
            <w:tcW w:type="dxa" w:w="9792"/>
            <w:shd w:fill="EEF4F5"/>
            <w:tcMar>
              <w:top w:w="150" w:type="dxa"/>
              <w:start w:w="200" w:type="dxa"/>
              <w:bottom w:w="150" w:type="dxa"/>
              <w:end w:w="200" w:type="dxa"/>
            </w:tcMar>
          </w:tcPr>
          <w:p>
            <w:pPr>
              <w:spacing w:after="60"/>
            </w:pPr>
            <w:r>
              <w:rPr>
                <w:rFonts w:ascii="Aptos" w:hAnsi="Aptos" w:eastAsia="Aptos"/>
                <w:b/>
                <w:color w:val="167C80"/>
                <w:sz w:val="21"/>
              </w:rPr>
              <w:t>SIMPLEST ADEQUATE DESIGN</w:t>
            </w:r>
          </w:p>
          <w:p>
            <w:pPr>
              <w:spacing w:after="0" w:line="259" w:lineRule="auto"/>
            </w:pPr>
            <w:r>
              <w:rPr>
                <w:rFonts w:ascii="Aptos" w:hAnsi="Aptos" w:eastAsia="Aptos"/>
                <w:color w:val="202B33"/>
                <w:sz w:val="19"/>
              </w:rPr>
              <w:t>Recommend the simplest design that can adequately answer the research question. Explain what it cannot establish. Present a more complex or resource-intensive approach only when the research question genuinely requires it, and let the user decide whether the additional effort is worthwhile.</w:t>
            </w:r>
          </w:p>
        </w:tc>
      </w:tr>
    </w:tbl>
    <w:p>
      <w:pPr>
        <w:spacing w:after="20"/>
        <w:widowControl/>
      </w:pPr>
    </w:p>
    <w:p>
      <w:pPr>
        <w:keepLines/>
        <w:spacing w:after="100" w:line="264" w:lineRule="auto"/>
        <w:widowControl/>
      </w:pPr>
      <w:r>
        <w:rPr>
          <w:rFonts w:ascii="Aptos" w:hAnsi="Aptos" w:eastAsia="Aptos"/>
          <w:color w:val="202B33"/>
          <w:sz w:val="20"/>
        </w:rPr>
        <w:t>Thoth should not add variables, mediators, moderators, statistical tests, theoretical frameworks, or methodological complications merely to make a paper appear sophisticated. Every choice must serve a clear research purpose.</w:t>
      </w:r>
    </w:p>
    <w:p>
      <w:pPr>
        <w:pStyle w:val="Heading2"/>
        <w:keepNext/>
        <w:spacing w:before="160" w:after="60"/>
        <w:widowControl/>
      </w:pPr>
      <w:r>
        <w:rPr>
          <w:rFonts w:ascii="Aptos" w:hAnsi="Aptos" w:eastAsia="Aptos"/>
          <w:b/>
          <w:color w:val="167C80"/>
          <w:sz w:val="25"/>
        </w:rPr>
        <w:t>7.4 Scope of assistance</w:t>
      </w:r>
    </w:p>
    <w:p>
      <w:pPr>
        <w:keepLines/>
        <w:spacing w:after="100" w:line="264" w:lineRule="auto"/>
        <w:widowControl/>
      </w:pPr>
      <w:r>
        <w:rPr>
          <w:rFonts w:ascii="Aptos" w:hAnsi="Aptos" w:eastAsia="Aptos"/>
          <w:color w:val="202B33"/>
          <w:sz w:val="20"/>
        </w:rPr>
        <w:t>The confirmed scope is research design and planning. Thoth may support the user in deciding what should be tested, but it must not imply that it has executed an experiment or produced empirical results when it has not. Any later expansion into automated implementation or experiment execution should be specified separately.</w:t>
      </w:r>
    </w:p>
    <w:p>
      <w:pPr>
        <w:pStyle w:val="Heading1"/>
        <w:keepNext/>
        <w:spacing w:before="260" w:after="100"/>
        <w:widowControl/>
      </w:pPr>
      <w:r>
        <w:rPr>
          <w:rFonts w:ascii="Aptos" w:hAnsi="Aptos" w:eastAsia="Aptos"/>
          <w:b/>
          <w:color w:val="20354A"/>
          <w:sz w:val="34"/>
        </w:rPr>
        <w:t>8. Reports, research history, and manuscripts</w:t>
      </w:r>
    </w:p>
    <w:p>
      <w:pPr>
        <w:pStyle w:val="Heading2"/>
        <w:keepNext/>
        <w:spacing w:before="160" w:after="60"/>
        <w:widowControl/>
      </w:pPr>
      <w:r>
        <w:rPr>
          <w:rFonts w:ascii="Aptos" w:hAnsi="Aptos" w:eastAsia="Aptos"/>
          <w:b/>
          <w:color w:val="167C80"/>
          <w:sz w:val="25"/>
        </w:rPr>
        <w:t>8.1 Research reports and optional PDF export</w:t>
      </w:r>
    </w:p>
    <w:p>
      <w:pPr>
        <w:keepLines/>
        <w:spacing w:after="100" w:line="264" w:lineRule="auto"/>
        <w:widowControl/>
      </w:pPr>
      <w:r>
        <w:rPr>
          <w:rFonts w:ascii="Aptos" w:hAnsi="Aptos" w:eastAsia="Aptos"/>
          <w:color w:val="202B33"/>
          <w:sz w:val="20"/>
        </w:rPr>
        <w:t>Thoth should maintain research context internally so that evidence, reasoning, and hypothesis revisions remain connected. At meaningful milestones, it should ask whether the user wants to save the review or report as a PDF. It should only create the PDF after approval; if the user declines, the research context remains available for continued work without creating an unwanted file.</w:t>
      </w:r>
    </w:p>
    <w:p>
      <w:pPr>
        <w:keepLines/>
        <w:spacing w:after="100" w:line="264" w:lineRule="auto"/>
        <w:widowControl/>
      </w:pPr>
      <w:r>
        <w:rPr>
          <w:rFonts w:ascii="Aptos" w:hAnsi="Aptos" w:eastAsia="Aptos"/>
          <w:color w:val="202B33"/>
          <w:sz w:val="20"/>
        </w:rPr>
        <w:t>The user should be able to inspect the relationship between the original hypothesis and later revisions, including the evidence or reasoning that motivated each change. PDF export is an optional output, not a prerequisite for the research process.</w:t>
      </w:r>
    </w:p>
    <w:p>
      <w:pPr>
        <w:pStyle w:val="Heading2"/>
        <w:keepNext/>
        <w:spacing w:before="160" w:after="60"/>
        <w:widowControl/>
      </w:pPr>
      <w:r>
        <w:rPr>
          <w:rFonts w:ascii="Aptos" w:hAnsi="Aptos" w:eastAsia="Aptos"/>
          <w:b/>
          <w:color w:val="167C80"/>
          <w:sz w:val="25"/>
        </w:rPr>
        <w:t>8.2 Report and claim statuses</w:t>
      </w:r>
    </w:p>
    <w:p>
      <w:pPr>
        <w:keepLines/>
        <w:spacing w:after="100" w:line="264" w:lineRule="auto"/>
        <w:widowControl/>
      </w:pPr>
      <w:r>
        <w:rPr>
          <w:rFonts w:ascii="Aptos" w:hAnsi="Aptos" w:eastAsia="Aptos"/>
          <w:color w:val="202B33"/>
          <w:sz w:val="20"/>
        </w:rPr>
        <w:t>Use a small number of understandable report statuses, complemented by claim-level evidence labels. Completing a document must not imply that every claim has been validated.</w:t>
      </w:r>
    </w:p>
    <w:tbl>
      <w:tblPr>
        <w:tblStyle w:val="TableGrid"/>
        <w:tblW w:type="auto" w:w="0"/>
        <w:jc w:val="center"/>
        <w:tblLayout w:type="fixed"/>
        <w:tblLook w:firstColumn="1" w:firstRow="1" w:lastColumn="0" w:lastRow="0" w:noHBand="0" w:noVBand="1" w:val="04A0"/>
      </w:tblPr>
      <w:tblGrid>
        <w:gridCol w:w="2592"/>
        <w:gridCol w:w="7056"/>
      </w:tblGrid>
      <w:tr>
        <w:trPr>
          <w:tblHeader w:val="true"/>
        </w:trPr>
        <w:tc>
          <w:tcPr>
            <w:tcW w:type="dxa" w:w="2592"/>
            <w:shd w:fill="20354A"/>
            <w:tcMar>
              <w:top w:w="90" w:type="dxa"/>
              <w:start w:w="110" w:type="dxa"/>
              <w:bottom w:w="90" w:type="dxa"/>
              <w:end w:w="110" w:type="dxa"/>
            </w:tcMar>
            <w:vAlign w:val="center"/>
          </w:tcPr>
          <w:p>
            <w:pPr>
              <w:spacing w:after="0"/>
            </w:pPr>
            <w:r>
              <w:rPr>
                <w:rFonts w:ascii="Aptos" w:hAnsi="Aptos" w:eastAsia="Aptos"/>
                <w:b/>
                <w:color w:val="FFFFFF"/>
                <w:sz w:val="18"/>
              </w:rPr>
              <w:t>Claim label</w:t>
            </w:r>
          </w:p>
        </w:tc>
        <w:tc>
          <w:tcPr>
            <w:tcW w:type="dxa" w:w="7056"/>
            <w:shd w:fill="20354A"/>
            <w:tcMar>
              <w:top w:w="90" w:type="dxa"/>
              <w:start w:w="110" w:type="dxa"/>
              <w:bottom w:w="90" w:type="dxa"/>
              <w:end w:w="110" w:type="dxa"/>
            </w:tcMar>
            <w:vAlign w:val="center"/>
          </w:tcPr>
          <w:p>
            <w:pPr>
              <w:spacing w:after="0"/>
            </w:pPr>
            <w:r>
              <w:rPr>
                <w:rFonts w:ascii="Aptos" w:hAnsi="Aptos" w:eastAsia="Aptos"/>
                <w:b/>
                <w:color w:val="FFFFFF"/>
                <w:sz w:val="18"/>
              </w:rPr>
              <w:t>Meaning</w:t>
            </w:r>
          </w:p>
        </w:tc>
      </w:tr>
      <w:tr>
        <w:trPr>
          <w:cantSplit/>
        </w:trPr>
        <w:tc>
          <w:tcPr>
            <w:tcW w:type="dxa" w:w="2592"/>
            <w:tcMar>
              <w:top w:w="75" w:type="dxa"/>
              <w:start w:w="105" w:type="dxa"/>
              <w:bottom w:w="75" w:type="dxa"/>
              <w:end w:w="105" w:type="dxa"/>
            </w:tcMar>
            <w:vAlign w:val="top"/>
          </w:tcPr>
          <w:p>
            <w:pPr>
              <w:spacing w:after="0" w:line="245" w:lineRule="auto"/>
            </w:pPr>
            <w:r>
              <w:rPr>
                <w:rFonts w:ascii="Aptos" w:hAnsi="Aptos" w:eastAsia="Aptos"/>
                <w:color w:val="202B33"/>
                <w:sz w:val="18"/>
              </w:rPr>
              <w:t>Supported</w:t>
            </w:r>
          </w:p>
        </w:tc>
        <w:tc>
          <w:tcPr>
            <w:tcW w:type="dxa" w:w="7056"/>
            <w:tcMar>
              <w:top w:w="75" w:type="dxa"/>
              <w:start w:w="105" w:type="dxa"/>
              <w:bottom w:w="75" w:type="dxa"/>
              <w:end w:w="105" w:type="dxa"/>
            </w:tcMar>
            <w:vAlign w:val="top"/>
          </w:tcPr>
          <w:p>
            <w:pPr>
              <w:spacing w:after="0" w:line="245" w:lineRule="auto"/>
            </w:pPr>
            <w:r>
              <w:rPr>
                <w:rFonts w:ascii="Aptos" w:hAnsi="Aptos" w:eastAsia="Aptos"/>
                <w:color w:val="202B33"/>
                <w:sz w:val="18"/>
              </w:rPr>
              <w:t>The available evidence supports the claim within the stated scope and limitations.</w:t>
            </w:r>
          </w:p>
        </w:tc>
      </w:tr>
      <w:tr>
        <w:trPr>
          <w:cantSplit/>
        </w:trPr>
        <w:tc>
          <w:tcPr>
            <w:tcW w:type="dxa" w:w="2592"/>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Contradicted</w:t>
            </w:r>
          </w:p>
        </w:tc>
        <w:tc>
          <w:tcPr>
            <w:tcW w:type="dxa" w:w="7056"/>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Relevant evidence conflicts with the claim or supports an important alternative.</w:t>
            </w:r>
          </w:p>
        </w:tc>
      </w:tr>
      <w:tr>
        <w:trPr>
          <w:cantSplit/>
        </w:trPr>
        <w:tc>
          <w:tcPr>
            <w:tcW w:type="dxa" w:w="2592"/>
            <w:tcMar>
              <w:top w:w="75" w:type="dxa"/>
              <w:start w:w="105" w:type="dxa"/>
              <w:bottom w:w="75" w:type="dxa"/>
              <w:end w:w="105" w:type="dxa"/>
            </w:tcMar>
            <w:vAlign w:val="top"/>
          </w:tcPr>
          <w:p>
            <w:pPr>
              <w:spacing w:after="0" w:line="245" w:lineRule="auto"/>
            </w:pPr>
            <w:r>
              <w:rPr>
                <w:rFonts w:ascii="Aptos" w:hAnsi="Aptos" w:eastAsia="Aptos"/>
                <w:color w:val="202B33"/>
                <w:sz w:val="18"/>
              </w:rPr>
              <w:t>Uncertain</w:t>
            </w:r>
          </w:p>
        </w:tc>
        <w:tc>
          <w:tcPr>
            <w:tcW w:type="dxa" w:w="7056"/>
            <w:tcMar>
              <w:top w:w="75" w:type="dxa"/>
              <w:start w:w="105" w:type="dxa"/>
              <w:bottom w:w="75" w:type="dxa"/>
              <w:end w:w="105" w:type="dxa"/>
            </w:tcMar>
            <w:vAlign w:val="top"/>
          </w:tcPr>
          <w:p>
            <w:pPr>
              <w:spacing w:after="0" w:line="245" w:lineRule="auto"/>
            </w:pPr>
            <w:r>
              <w:rPr>
                <w:rFonts w:ascii="Aptos" w:hAnsi="Aptos" w:eastAsia="Aptos"/>
                <w:color w:val="202B33"/>
                <w:sz w:val="18"/>
              </w:rPr>
              <w:t>Evidence is mixed, incomplete, or insufficient to support a clear conclusion.</w:t>
            </w:r>
          </w:p>
        </w:tc>
      </w:tr>
      <w:tr>
        <w:trPr>
          <w:cantSplit/>
        </w:trPr>
        <w:tc>
          <w:tcPr>
            <w:tcW w:type="dxa" w:w="2592"/>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Insufficiently assessed</w:t>
            </w:r>
          </w:p>
        </w:tc>
        <w:tc>
          <w:tcPr>
            <w:tcW w:type="dxa" w:w="7056"/>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Source access, extraction, or available information is inadequate for a reliable assessment.</w:t>
            </w:r>
          </w:p>
        </w:tc>
      </w:tr>
    </w:tbl>
    <w:p>
      <w:pPr>
        <w:spacing w:after="20"/>
        <w:widowControl/>
      </w:pPr>
    </w:p>
    <w:p>
      <w:pPr>
        <w:pStyle w:val="Heading2"/>
        <w:keepNext/>
        <w:spacing w:before="160" w:after="60"/>
        <w:widowControl/>
      </w:pPr>
      <w:r>
        <w:rPr>
          <w:rFonts w:ascii="Aptos" w:hAnsi="Aptos" w:eastAsia="Aptos"/>
          <w:b/>
          <w:color w:val="167C80"/>
          <w:sz w:val="25"/>
        </w:rPr>
        <w:t>8.3 Provisional versus fully reviewed output</w:t>
      </w:r>
    </w:p>
    <w:p>
      <w:pPr>
        <w:keepLines/>
        <w:spacing w:after="100" w:line="264" w:lineRule="auto"/>
        <w:widowControl/>
      </w:pPr>
      <w:r>
        <w:rPr>
          <w:rFonts w:ascii="Aptos" w:hAnsi="Aptos" w:eastAsia="Aptos"/>
          <w:color w:val="202B33"/>
          <w:sz w:val="20"/>
        </w:rPr>
        <w:t>Thoth may preserve and deliver useful findings despite unresolved issues, but must label the output as provisional when material claims remain unresolved or critical checks have not passed. It should explain what is incomplete rather than discarding the entire investigation or silently lowering the evidence standard.</w:t>
      </w:r>
    </w:p>
    <w:p>
      <w:pPr>
        <w:pStyle w:val="Heading2"/>
        <w:keepNext/>
        <w:spacing w:before="160" w:after="60"/>
        <w:widowControl/>
      </w:pPr>
      <w:r>
        <w:rPr>
          <w:rFonts w:ascii="Aptos" w:hAnsi="Aptos" w:eastAsia="Aptos"/>
          <w:b/>
          <w:color w:val="167C80"/>
          <w:sz w:val="25"/>
        </w:rPr>
        <w:t>8.4 Evolving academic manuscript</w:t>
      </w:r>
    </w:p>
    <w:p>
      <w:pPr>
        <w:keepLines/>
        <w:spacing w:after="100" w:line="264" w:lineRule="auto"/>
        <w:widowControl/>
      </w:pPr>
      <w:r>
        <w:rPr>
          <w:rFonts w:ascii="Aptos" w:hAnsi="Aptos" w:eastAsia="Aptos"/>
          <w:color w:val="202B33"/>
          <w:sz w:val="20"/>
        </w:rPr>
        <w:t>Thoth should be able to begin a hypothesis-stage manuscript and update it as the research develops. The manuscript should contain the sections appropriate to the intended paper type and research stage, such as introduction, related work, research question or hypotheses, proposed methods, results when available, discussion, limitations, conclusion, and references.</w:t>
      </w:r>
    </w:p>
    <w:p>
      <w:pPr>
        <w:pStyle w:val="ListBullet"/>
        <w:spacing w:after="56" w:line="252" w:lineRule="auto"/>
        <w:ind w:left="317" w:hanging="202"/>
        <w:widowControl/>
      </w:pPr>
      <w:r>
        <w:rPr>
          <w:rFonts w:ascii="Aptos" w:hAnsi="Aptos" w:eastAsia="Aptos"/>
          <w:color w:val="202B33"/>
          <w:sz w:val="20"/>
        </w:rPr>
        <w:t>At the hypothesis stage, distinguish proposed methods and expected analyses from completed work and actual results.</w:t>
      </w:r>
    </w:p>
    <w:p>
      <w:pPr>
        <w:pStyle w:val="ListBullet"/>
        <w:spacing w:after="56" w:line="252" w:lineRule="auto"/>
        <w:ind w:left="317" w:hanging="202"/>
        <w:widowControl/>
      </w:pPr>
      <w:r>
        <w:rPr>
          <w:rFonts w:ascii="Aptos" w:hAnsi="Aptos" w:eastAsia="Aptos"/>
          <w:color w:val="202B33"/>
          <w:sz w:val="20"/>
        </w:rPr>
        <w:t>Update the manuscript when implementation details, data, and experimental results become available.</w:t>
      </w:r>
    </w:p>
    <w:p>
      <w:pPr>
        <w:pStyle w:val="ListBullet"/>
        <w:spacing w:after="56" w:line="252" w:lineRule="auto"/>
        <w:ind w:left="317" w:hanging="202"/>
        <w:widowControl/>
      </w:pPr>
      <w:r>
        <w:rPr>
          <w:rFonts w:ascii="Aptos" w:hAnsi="Aptos" w:eastAsia="Aptos"/>
          <w:color w:val="202B33"/>
          <w:sz w:val="20"/>
        </w:rPr>
        <w:t>Never fabricate results, methods, citations, or completed activities. Mark missing sections or results as pending when appropriate.</w:t>
      </w:r>
    </w:p>
    <w:p>
      <w:pPr>
        <w:pStyle w:val="ListBullet"/>
        <w:spacing w:after="56" w:line="252" w:lineRule="auto"/>
        <w:ind w:left="317" w:hanging="202"/>
        <w:widowControl/>
      </w:pPr>
      <w:r>
        <w:rPr>
          <w:rFonts w:ascii="Aptos" w:hAnsi="Aptos" w:eastAsia="Aptos"/>
          <w:color w:val="202B33"/>
          <w:sz w:val="20"/>
        </w:rPr>
        <w:t>Aim for a well-structured, submission-oriented draft without promising publication or claiming guaranteed publishability.</w:t>
      </w:r>
    </w:p>
    <w:p>
      <w:pPr>
        <w:pStyle w:val="Heading1"/>
        <w:keepNext/>
        <w:spacing w:before="260" w:after="100"/>
        <w:widowControl/>
      </w:pPr>
      <w:r>
        <w:rPr>
          <w:rFonts w:ascii="Aptos" w:hAnsi="Aptos" w:eastAsia="Aptos"/>
          <w:b/>
          <w:color w:val="20354A"/>
          <w:sz w:val="34"/>
        </w:rPr>
        <w:t>9. Storage, openness, and resource constraints</w:t>
      </w:r>
    </w:p>
    <w:p>
      <w:pPr>
        <w:pStyle w:val="Heading2"/>
        <w:keepNext/>
        <w:spacing w:before="160" w:after="60"/>
        <w:widowControl/>
      </w:pPr>
      <w:r>
        <w:rPr>
          <w:rFonts w:ascii="Aptos" w:hAnsi="Aptos" w:eastAsia="Aptos"/>
          <w:b/>
          <w:color w:val="167C80"/>
          <w:sz w:val="25"/>
        </w:rPr>
        <w:t>9.1 Project-scoped paper storage</w:t>
      </w:r>
    </w:p>
    <w:p>
      <w:pPr>
        <w:keepLines/>
        <w:spacing w:after="100" w:line="264" w:lineRule="auto"/>
        <w:widowControl/>
      </w:pPr>
      <w:r>
        <w:rPr>
          <w:rFonts w:ascii="Aptos" w:hAnsi="Aptos" w:eastAsia="Aptos"/>
          <w:color w:val="202B33"/>
          <w:sz w:val="20"/>
        </w:rPr>
        <w:t>Uploaded papers and their processing records should belong to the research project in which they were supplied. Thoth should not automatically maintain a permanent, cross-project library of every paper. If a paper matters in another project, the user can upload it again there.</w:t>
      </w:r>
    </w:p>
    <w:p>
      <w:pPr>
        <w:keepLines/>
        <w:spacing w:after="100" w:line="264" w:lineRule="auto"/>
        <w:widowControl/>
      </w:pPr>
      <w:r>
        <w:rPr>
          <w:rFonts w:ascii="Aptos" w:hAnsi="Aptos" w:eastAsia="Aptos"/>
          <w:color w:val="202B33"/>
          <w:sz w:val="20"/>
        </w:rPr>
        <w:t>This avoids unnecessary accumulation of full-text material and keeps project boundaries explicit. When using an open-access source, Thoth can preserve source identifiers and links and retrieve the material again when needed, subject to access and licensing conditions.</w:t>
      </w:r>
    </w:p>
    <w:p>
      <w:pPr>
        <w:pStyle w:val="Heading2"/>
        <w:keepNext/>
        <w:spacing w:before="160" w:after="60"/>
        <w:widowControl/>
      </w:pPr>
      <w:r>
        <w:rPr>
          <w:rFonts w:ascii="Aptos" w:hAnsi="Aptos" w:eastAsia="Aptos"/>
          <w:b/>
          <w:color w:val="167C80"/>
          <w:sz w:val="25"/>
        </w:rPr>
        <w:t>9.2 User-controlled retention</w:t>
      </w:r>
    </w:p>
    <w:p>
      <w:pPr>
        <w:pStyle w:val="ListBullet"/>
        <w:spacing w:after="56" w:line="252" w:lineRule="auto"/>
        <w:ind w:left="317" w:hanging="202"/>
        <w:widowControl/>
      </w:pPr>
      <w:r>
        <w:rPr>
          <w:rFonts w:ascii="Aptos" w:hAnsi="Aptos" w:eastAsia="Aptos"/>
          <w:color w:val="202B33"/>
          <w:sz w:val="20"/>
        </w:rPr>
        <w:t>Retain the uploaded PDF within the project by default so the investigation can continue without re-ingestion.</w:t>
      </w:r>
    </w:p>
    <w:p>
      <w:pPr>
        <w:pStyle w:val="ListBullet"/>
        <w:spacing w:after="56" w:line="252" w:lineRule="auto"/>
        <w:ind w:left="317" w:hanging="202"/>
        <w:widowControl/>
      </w:pPr>
      <w:r>
        <w:rPr>
          <w:rFonts w:ascii="Aptos" w:hAnsi="Aptos" w:eastAsia="Aptos"/>
          <w:color w:val="202B33"/>
          <w:sz w:val="20"/>
        </w:rPr>
        <w:t>Let the user delete the original PDF while keeping useful extracted content and analysis where feasible.</w:t>
      </w:r>
    </w:p>
    <w:p>
      <w:pPr>
        <w:pStyle w:val="ListBullet"/>
        <w:spacing w:after="56" w:line="252" w:lineRule="auto"/>
        <w:ind w:left="317" w:hanging="202"/>
        <w:widowControl/>
      </w:pPr>
      <w:r>
        <w:rPr>
          <w:rFonts w:ascii="Aptos" w:hAnsi="Aptos" w:eastAsia="Aptos"/>
          <w:color w:val="202B33"/>
          <w:sz w:val="20"/>
        </w:rPr>
        <w:t>Allow rebuildable processing data or caches to be cleared to save storage.</w:t>
      </w:r>
    </w:p>
    <w:p>
      <w:pPr>
        <w:pStyle w:val="ListBullet"/>
        <w:spacing w:after="56" w:line="252" w:lineRule="auto"/>
        <w:ind w:left="317" w:hanging="202"/>
        <w:widowControl/>
      </w:pPr>
      <w:r>
        <w:rPr>
          <w:rFonts w:ascii="Aptos" w:hAnsi="Aptos" w:eastAsia="Aptos"/>
          <w:color w:val="202B33"/>
          <w:sz w:val="20"/>
        </w:rPr>
        <w:t>Allow complete removal of a paper and its associated project records. Explain the consequences before destructive deletion and honour the choice.</w:t>
      </w:r>
    </w:p>
    <w:p>
      <w:pPr>
        <w:pStyle w:val="Heading2"/>
        <w:keepNext/>
        <w:spacing w:before="160" w:after="60"/>
        <w:widowControl/>
      </w:pPr>
      <w:r>
        <w:rPr>
          <w:rFonts w:ascii="Aptos" w:hAnsi="Aptos" w:eastAsia="Aptos"/>
          <w:b/>
          <w:color w:val="167C80"/>
          <w:sz w:val="25"/>
        </w:rPr>
        <w:t>9.3 Free and open-source sustainability</w:t>
      </w:r>
    </w:p>
    <w:p>
      <w:pPr>
        <w:keepLines/>
        <w:spacing w:after="100" w:line="264" w:lineRule="auto"/>
        <w:widowControl/>
      </w:pPr>
      <w:r>
        <w:rPr>
          <w:rFonts w:ascii="Aptos" w:hAnsi="Aptos" w:eastAsia="Aptos"/>
          <w:color w:val="202B33"/>
          <w:sz w:val="20"/>
        </w:rPr>
        <w:t>The software should be freely accessible and open source without assuming that the project will fund unlimited central storage, bandwidth, or model computation for every user. Local or self-hosted use can rely on user-managed storage and resources. Any hosted deployment should have sustainable, explicit resource and retention limits rather than an unsupported promise of unlimited free use.</w:t>
      </w:r>
    </w:p>
    <w:p>
      <w:pPr>
        <w:keepLines/>
        <w:spacing w:after="100" w:line="264" w:lineRule="auto"/>
        <w:widowControl/>
      </w:pPr>
      <w:r>
        <w:rPr>
          <w:rFonts w:ascii="Aptos" w:hAnsi="Aptos" w:eastAsia="Aptos"/>
          <w:color w:val="202B33"/>
          <w:sz w:val="20"/>
        </w:rPr>
        <w:t>The primary deployment model—local-first, hosted, or both—remains open for a later design decision. Regardless of deployment, storage and computational costs must be considered from the start.</w:t>
      </w:r>
    </w:p>
    <w:p>
      <w:pPr>
        <w:pStyle w:val="Heading1"/>
        <w:keepNext/>
        <w:spacing w:before="260" w:after="100"/>
        <w:widowControl/>
      </w:pPr>
      <w:r>
        <w:rPr>
          <w:rFonts w:ascii="Aptos" w:hAnsi="Aptos" w:eastAsia="Aptos"/>
          <w:b/>
          <w:color w:val="20354A"/>
          <w:sz w:val="34"/>
        </w:rPr>
        <w:t>10. User experience and interaction rules</w:t>
      </w:r>
    </w:p>
    <w:p>
      <w:pPr>
        <w:pStyle w:val="ListBullet"/>
        <w:spacing w:after="56" w:line="252" w:lineRule="auto"/>
        <w:ind w:left="317" w:hanging="202"/>
        <w:widowControl/>
      </w:pPr>
      <w:r>
        <w:rPr>
          <w:rFonts w:ascii="Aptos" w:hAnsi="Aptos" w:eastAsia="Aptos"/>
          <w:color w:val="202B33"/>
          <w:sz w:val="20"/>
        </w:rPr>
        <w:t>Ordinary conversation remains available while research preparation or analysis proceeds.</w:t>
      </w:r>
    </w:p>
    <w:p>
      <w:pPr>
        <w:pStyle w:val="ListBullet"/>
        <w:spacing w:after="56" w:line="252" w:lineRule="auto"/>
        <w:ind w:left="317" w:hanging="202"/>
        <w:widowControl/>
      </w:pPr>
      <w:r>
        <w:rPr>
          <w:rFonts w:ascii="Aptos" w:hAnsi="Aptos" w:eastAsia="Aptos"/>
          <w:color w:val="202B33"/>
          <w:sz w:val="20"/>
        </w:rPr>
        <w:t>Thoth may proactively recognise a promising research direction, explain its potential, and prepare a plan without requiring the user to stop the current discussion.</w:t>
      </w:r>
    </w:p>
    <w:p>
      <w:pPr>
        <w:pStyle w:val="ListBullet"/>
        <w:spacing w:after="56" w:line="252" w:lineRule="auto"/>
        <w:ind w:left="317" w:hanging="202"/>
        <w:widowControl/>
      </w:pPr>
      <w:r>
        <w:rPr>
          <w:rFonts w:ascii="Aptos" w:hAnsi="Aptos" w:eastAsia="Aptos"/>
          <w:color w:val="202B33"/>
          <w:sz w:val="20"/>
        </w:rPr>
        <w:t>Ask for approval before launching a substantial literature review or a deeper, time-intensive analysis.</w:t>
      </w:r>
    </w:p>
    <w:p>
      <w:pPr>
        <w:pStyle w:val="ListBullet"/>
        <w:spacing w:after="56" w:line="252" w:lineRule="auto"/>
        <w:ind w:left="317" w:hanging="202"/>
        <w:widowControl/>
      </w:pPr>
      <w:r>
        <w:rPr>
          <w:rFonts w:ascii="Aptos" w:hAnsi="Aptos" w:eastAsia="Aptos"/>
          <w:color w:val="202B33"/>
          <w:sz w:val="20"/>
        </w:rPr>
        <w:t>Explain the additional time or computational effort when offering a deeper research option.</w:t>
      </w:r>
    </w:p>
    <w:p>
      <w:pPr>
        <w:pStyle w:val="ListBullet"/>
        <w:spacing w:after="56" w:line="252" w:lineRule="auto"/>
        <w:ind w:left="317" w:hanging="202"/>
        <w:widowControl/>
      </w:pPr>
      <w:r>
        <w:rPr>
          <w:rFonts w:ascii="Aptos" w:hAnsi="Aptos" w:eastAsia="Aptos"/>
          <w:color w:val="202B33"/>
          <w:sz w:val="20"/>
        </w:rPr>
        <w:t>Offer PDF export at meaningful milestones, but create files only when requested.</w:t>
      </w:r>
    </w:p>
    <w:p>
      <w:pPr>
        <w:pStyle w:val="ListBullet"/>
        <w:spacing w:after="56" w:line="252" w:lineRule="auto"/>
        <w:ind w:left="317" w:hanging="202"/>
        <w:widowControl/>
      </w:pPr>
      <w:r>
        <w:rPr>
          <w:rFonts w:ascii="Aptos" w:hAnsi="Aptos" w:eastAsia="Aptos"/>
          <w:color w:val="202B33"/>
          <w:sz w:val="20"/>
        </w:rPr>
        <w:t>Keep the main answer readable and concise; make detailed evidence and agent assessments expandable or otherwise available on demand.</w:t>
      </w:r>
    </w:p>
    <w:p>
      <w:pPr>
        <w:pStyle w:val="ListBullet"/>
        <w:spacing w:after="56" w:line="252" w:lineRule="auto"/>
        <w:ind w:left="317" w:hanging="202"/>
        <w:widowControl/>
      </w:pPr>
      <w:r>
        <w:rPr>
          <w:rFonts w:ascii="Aptos" w:hAnsi="Aptos" w:eastAsia="Aptos"/>
          <w:color w:val="202B33"/>
          <w:sz w:val="20"/>
        </w:rPr>
        <w:t>Allow users to steer, pause, redirect, or abandon a direction without losing previously preserved project context.</w:t>
      </w:r>
    </w:p>
    <w:p>
      <w:pPr>
        <w:pStyle w:val="ListBullet"/>
        <w:spacing w:after="56" w:line="252" w:lineRule="auto"/>
        <w:ind w:left="317" w:hanging="202"/>
        <w:widowControl/>
      </w:pPr>
      <w:r>
        <w:rPr>
          <w:rFonts w:ascii="Aptos" w:hAnsi="Aptos" w:eastAsia="Aptos"/>
          <w:color w:val="202B33"/>
          <w:sz w:val="20"/>
        </w:rPr>
        <w:t>Make limitations and uncertainty understandable. Do not hide failed access, incomplete review, or unresolved criticism behind a generic “complete” status.</w:t>
      </w:r>
    </w:p>
    <w:p>
      <w:pPr>
        <w:pStyle w:val="Heading1"/>
        <w:keepNext/>
        <w:spacing w:before="260" w:after="100"/>
        <w:widowControl/>
      </w:pPr>
      <w:r>
        <w:rPr>
          <w:rFonts w:ascii="Aptos" w:hAnsi="Aptos" w:eastAsia="Aptos"/>
          <w:b/>
          <w:color w:val="20354A"/>
          <w:sz w:val="34"/>
        </w:rPr>
        <w:t>11. Guardrails and non-goals</w:t>
      </w:r>
    </w:p>
    <w:p>
      <w:pPr>
        <w:pStyle w:val="ListBullet"/>
        <w:spacing w:after="56" w:line="252" w:lineRule="auto"/>
        <w:ind w:left="317" w:hanging="202"/>
        <w:widowControl/>
      </w:pPr>
      <w:r>
        <w:rPr>
          <w:rFonts w:ascii="Aptos" w:hAnsi="Aptos" w:eastAsia="Aptos"/>
          <w:color w:val="202B33"/>
          <w:sz w:val="20"/>
        </w:rPr>
        <w:t>Do not produce research ideas merely because they sound novel or technically impressive.</w:t>
      </w:r>
    </w:p>
    <w:p>
      <w:pPr>
        <w:pStyle w:val="ListBullet"/>
        <w:spacing w:after="56" w:line="252" w:lineRule="auto"/>
        <w:ind w:left="317" w:hanging="202"/>
        <w:widowControl/>
      </w:pPr>
      <w:r>
        <w:rPr>
          <w:rFonts w:ascii="Aptos" w:hAnsi="Aptos" w:eastAsia="Aptos"/>
          <w:color w:val="202B33"/>
          <w:sz w:val="20"/>
        </w:rPr>
        <w:t>Do not declare an idea original solely because an AI model generated or labelled it original.</w:t>
      </w:r>
    </w:p>
    <w:p>
      <w:pPr>
        <w:pStyle w:val="ListBullet"/>
        <w:spacing w:after="56" w:line="252" w:lineRule="auto"/>
        <w:ind w:left="317" w:hanging="202"/>
        <w:widowControl/>
      </w:pPr>
      <w:r>
        <w:rPr>
          <w:rFonts w:ascii="Aptos" w:hAnsi="Aptos" w:eastAsia="Aptos"/>
          <w:color w:val="202B33"/>
          <w:sz w:val="20"/>
        </w:rPr>
        <w:t>Do not manufacture research gaps to justify a report or continuation of a project.</w:t>
      </w:r>
    </w:p>
    <w:p>
      <w:pPr>
        <w:pStyle w:val="ListBullet"/>
        <w:spacing w:after="56" w:line="252" w:lineRule="auto"/>
        <w:ind w:left="317" w:hanging="202"/>
        <w:widowControl/>
      </w:pPr>
      <w:r>
        <w:rPr>
          <w:rFonts w:ascii="Aptos" w:hAnsi="Aptos" w:eastAsia="Aptos"/>
          <w:color w:val="202B33"/>
          <w:sz w:val="20"/>
        </w:rPr>
        <w:t>Do not invent citations, findings, screening counts, source access, methods, experiments, or results.</w:t>
      </w:r>
    </w:p>
    <w:p>
      <w:pPr>
        <w:pStyle w:val="ListBullet"/>
        <w:spacing w:after="56" w:line="252" w:lineRule="auto"/>
        <w:ind w:left="317" w:hanging="202"/>
        <w:widowControl/>
      </w:pPr>
      <w:r>
        <w:rPr>
          <w:rFonts w:ascii="Aptos" w:hAnsi="Aptos" w:eastAsia="Aptos"/>
          <w:color w:val="202B33"/>
          <w:sz w:val="20"/>
        </w:rPr>
        <w:t>Do not treat a quotation’s presence in a source as sufficient proof that it supports a claim.</w:t>
      </w:r>
    </w:p>
    <w:p>
      <w:pPr>
        <w:pStyle w:val="ListBullet"/>
        <w:spacing w:after="56" w:line="252" w:lineRule="auto"/>
        <w:ind w:left="317" w:hanging="202"/>
        <w:widowControl/>
      </w:pPr>
      <w:r>
        <w:rPr>
          <w:rFonts w:ascii="Aptos" w:hAnsi="Aptos" w:eastAsia="Aptos"/>
          <w:color w:val="202B33"/>
          <w:sz w:val="20"/>
        </w:rPr>
        <w:t>Do not present abstract-level inspection as full-text analysis.</w:t>
      </w:r>
    </w:p>
    <w:p>
      <w:pPr>
        <w:pStyle w:val="ListBullet"/>
        <w:spacing w:after="56" w:line="252" w:lineRule="auto"/>
        <w:ind w:left="317" w:hanging="202"/>
        <w:widowControl/>
      </w:pPr>
      <w:r>
        <w:rPr>
          <w:rFonts w:ascii="Aptos" w:hAnsi="Aptos" w:eastAsia="Aptos"/>
          <w:color w:val="202B33"/>
          <w:sz w:val="20"/>
        </w:rPr>
        <w:t>Do not force consensus when evidence supports legitimate disagreement or leaves a question unresolved.</w:t>
      </w:r>
    </w:p>
    <w:p>
      <w:pPr>
        <w:pStyle w:val="ListBullet"/>
        <w:spacing w:after="56" w:line="252" w:lineRule="auto"/>
        <w:ind w:left="317" w:hanging="202"/>
        <w:widowControl/>
      </w:pPr>
      <w:r>
        <w:rPr>
          <w:rFonts w:ascii="Aptos" w:hAnsi="Aptos" w:eastAsia="Aptos"/>
          <w:color w:val="202B33"/>
          <w:sz w:val="20"/>
        </w:rPr>
        <w:t>Do not add methodological complexity, thinker calls, or agent processes without a meaningful reason.</w:t>
      </w:r>
    </w:p>
    <w:p>
      <w:pPr>
        <w:pStyle w:val="ListBullet"/>
        <w:spacing w:after="56" w:line="252" w:lineRule="auto"/>
        <w:ind w:left="317" w:hanging="202"/>
        <w:widowControl/>
      </w:pPr>
      <w:r>
        <w:rPr>
          <w:rFonts w:ascii="Aptos" w:hAnsi="Aptos" w:eastAsia="Aptos"/>
          <w:color w:val="202B33"/>
          <w:sz w:val="20"/>
        </w:rPr>
        <w:t>Do not create PDF exports without the user’s approval.</w:t>
      </w:r>
    </w:p>
    <w:p>
      <w:pPr>
        <w:pStyle w:val="ListBullet"/>
        <w:spacing w:after="56" w:line="252" w:lineRule="auto"/>
        <w:ind w:left="317" w:hanging="202"/>
        <w:widowControl/>
      </w:pPr>
      <w:r>
        <w:rPr>
          <w:rFonts w:ascii="Aptos" w:hAnsi="Aptos" w:eastAsia="Aptos"/>
          <w:color w:val="202B33"/>
          <w:sz w:val="20"/>
        </w:rPr>
        <w:t>Do not make a report appear fully verified when critical evidence or review remains unresolved.</w:t>
      </w:r>
    </w:p>
    <w:p>
      <w:pPr>
        <w:pStyle w:val="Heading1"/>
        <w:keepNext/>
        <w:spacing w:before="260" w:after="100"/>
        <w:widowControl/>
      </w:pPr>
      <w:r>
        <w:rPr>
          <w:rFonts w:ascii="Aptos" w:hAnsi="Aptos" w:eastAsia="Aptos"/>
          <w:b/>
          <w:color w:val="20354A"/>
          <w:sz w:val="34"/>
        </w:rPr>
        <w:t>12. Decisions to finalise in a later design pass</w:t>
      </w:r>
    </w:p>
    <w:p>
      <w:pPr>
        <w:keepLines/>
        <w:spacing w:after="100" w:line="264" w:lineRule="auto"/>
        <w:widowControl/>
      </w:pPr>
      <w:r>
        <w:rPr>
          <w:rFonts w:ascii="Aptos" w:hAnsi="Aptos" w:eastAsia="Aptos"/>
          <w:color w:val="202B33"/>
          <w:sz w:val="20"/>
        </w:rPr>
        <w:t>The following items remain open or need operational definitions. They should be settled after the wider vision and repository have been reviewed together; they are not reasons to continue fragmenting the present vision into premature implementation details.</w:t>
      </w:r>
    </w:p>
    <w:tbl>
      <w:tblPr>
        <w:tblStyle w:val="TableGrid"/>
        <w:tblW w:type="auto" w:w="0"/>
        <w:jc w:val="center"/>
        <w:tblLayout w:type="fixed"/>
        <w:tblLook w:firstColumn="1" w:firstRow="1" w:lastColumn="0" w:lastRow="0" w:noHBand="0" w:noVBand="1" w:val="04A0"/>
      </w:tblPr>
      <w:tblGrid>
        <w:gridCol w:w="2448"/>
        <w:gridCol w:w="7200"/>
      </w:tblGrid>
      <w:tr>
        <w:trPr>
          <w:tblHeader w:val="true"/>
        </w:trPr>
        <w:tc>
          <w:tcPr>
            <w:tcW w:type="dxa" w:w="2448"/>
            <w:shd w:fill="20354A"/>
            <w:tcMar>
              <w:top w:w="90" w:type="dxa"/>
              <w:start w:w="110" w:type="dxa"/>
              <w:bottom w:w="90" w:type="dxa"/>
              <w:end w:w="110" w:type="dxa"/>
            </w:tcMar>
            <w:vAlign w:val="center"/>
          </w:tcPr>
          <w:p>
            <w:pPr>
              <w:spacing w:after="0"/>
            </w:pPr>
            <w:r>
              <w:rPr>
                <w:rFonts w:ascii="Aptos" w:hAnsi="Aptos" w:eastAsia="Aptos"/>
                <w:b/>
                <w:color w:val="FFFFFF"/>
                <w:sz w:val="18"/>
              </w:rPr>
              <w:t>Open item</w:t>
            </w:r>
          </w:p>
        </w:tc>
        <w:tc>
          <w:tcPr>
            <w:tcW w:type="dxa" w:w="7200"/>
            <w:shd w:fill="20354A"/>
            <w:tcMar>
              <w:top w:w="90" w:type="dxa"/>
              <w:start w:w="110" w:type="dxa"/>
              <w:bottom w:w="90" w:type="dxa"/>
              <w:end w:w="110" w:type="dxa"/>
            </w:tcMar>
            <w:vAlign w:val="center"/>
          </w:tcPr>
          <w:p>
            <w:pPr>
              <w:spacing w:after="0"/>
            </w:pPr>
            <w:r>
              <w:rPr>
                <w:rFonts w:ascii="Aptos" w:hAnsi="Aptos" w:eastAsia="Aptos"/>
                <w:b/>
                <w:color w:val="FFFFFF"/>
                <w:sz w:val="18"/>
              </w:rPr>
              <w:t>What needs to be decided</w:t>
            </w:r>
          </w:p>
        </w:tc>
      </w:tr>
      <w:tr>
        <w:trPr>
          <w:cantSplit/>
        </w:trPr>
        <w:tc>
          <w:tcPr>
            <w:tcW w:type="dxa" w:w="2448"/>
            <w:tcMar>
              <w:top w:w="75" w:type="dxa"/>
              <w:start w:w="105" w:type="dxa"/>
              <w:bottom w:w="75" w:type="dxa"/>
              <w:end w:w="105" w:type="dxa"/>
            </w:tcMar>
            <w:vAlign w:val="top"/>
          </w:tcPr>
          <w:p>
            <w:pPr>
              <w:spacing w:after="0" w:line="245" w:lineRule="auto"/>
            </w:pPr>
            <w:r>
              <w:rPr>
                <w:rFonts w:ascii="Aptos" w:hAnsi="Aptos" w:eastAsia="Aptos"/>
                <w:color w:val="202B33"/>
                <w:sz w:val="18"/>
              </w:rPr>
              <w:t>Deployment model</w:t>
            </w:r>
          </w:p>
        </w:tc>
        <w:tc>
          <w:tcPr>
            <w:tcW w:type="dxa" w:w="7200"/>
            <w:tcMar>
              <w:top w:w="75" w:type="dxa"/>
              <w:start w:w="105" w:type="dxa"/>
              <w:bottom w:w="75" w:type="dxa"/>
              <w:end w:w="105" w:type="dxa"/>
            </w:tcMar>
            <w:vAlign w:val="top"/>
          </w:tcPr>
          <w:p>
            <w:pPr>
              <w:spacing w:after="0" w:line="245" w:lineRule="auto"/>
            </w:pPr>
            <w:r>
              <w:rPr>
                <w:rFonts w:ascii="Aptos" w:hAnsi="Aptos" w:eastAsia="Aptos"/>
                <w:color w:val="202B33"/>
                <w:sz w:val="18"/>
              </w:rPr>
              <w:t>Whether the primary supported experience is local-first, hosted, or both; hosted resource limits and sustainability model if applicable.</w:t>
            </w:r>
          </w:p>
        </w:tc>
      </w:tr>
      <w:tr>
        <w:trPr>
          <w:cantSplit/>
        </w:trPr>
        <w:tc>
          <w:tcPr>
            <w:tcW w:type="dxa" w:w="2448"/>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Search stopping criteria</w:t>
            </w:r>
          </w:p>
        </w:tc>
        <w:tc>
          <w:tcPr>
            <w:tcW w:type="dxa" w:w="7200"/>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Concrete, measurable criteria for a sufficiently covered search, with explicit resource budgets and transparent records of why the review stopped.</w:t>
            </w:r>
          </w:p>
        </w:tc>
      </w:tr>
      <w:tr>
        <w:trPr>
          <w:cantSplit/>
        </w:trPr>
        <w:tc>
          <w:tcPr>
            <w:tcW w:type="dxa" w:w="2448"/>
            <w:tcMar>
              <w:top w:w="75" w:type="dxa"/>
              <w:start w:w="105" w:type="dxa"/>
              <w:bottom w:w="75" w:type="dxa"/>
              <w:end w:w="105" w:type="dxa"/>
            </w:tcMar>
            <w:vAlign w:val="top"/>
          </w:tcPr>
          <w:p>
            <w:pPr>
              <w:spacing w:after="0" w:line="245" w:lineRule="auto"/>
            </w:pPr>
            <w:r>
              <w:rPr>
                <w:rFonts w:ascii="Aptos" w:hAnsi="Aptos" w:eastAsia="Aptos"/>
                <w:color w:val="202B33"/>
                <w:sz w:val="18"/>
              </w:rPr>
              <w:t>Depth and resource thresholds</w:t>
            </w:r>
          </w:p>
        </w:tc>
        <w:tc>
          <w:tcPr>
            <w:tcW w:type="dxa" w:w="7200"/>
            <w:tcMar>
              <w:top w:w="75" w:type="dxa"/>
              <w:start w:w="105" w:type="dxa"/>
              <w:bottom w:w="75" w:type="dxa"/>
              <w:end w:w="105" w:type="dxa"/>
            </w:tcMar>
            <w:vAlign w:val="top"/>
          </w:tcPr>
          <w:p>
            <w:pPr>
              <w:spacing w:after="0" w:line="245" w:lineRule="auto"/>
            </w:pPr>
            <w:r>
              <w:rPr>
                <w:rFonts w:ascii="Aptos" w:hAnsi="Aptos" w:eastAsia="Aptos"/>
                <w:color w:val="202B33"/>
                <w:sz w:val="18"/>
              </w:rPr>
              <w:t>Practical signals for when to recommend deeper paper analysis, cross-examination, or a formal review, and how to estimate added effort.</w:t>
            </w:r>
          </w:p>
        </w:tc>
      </w:tr>
      <w:tr>
        <w:trPr>
          <w:cantSplit/>
        </w:trPr>
        <w:tc>
          <w:tcPr>
            <w:tcW w:type="dxa" w:w="2448"/>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Formal workflow details</w:t>
            </w:r>
          </w:p>
        </w:tc>
        <w:tc>
          <w:tcPr>
            <w:tcW w:type="dxa" w:w="7200"/>
            <w:shd w:fill="F7F9FA"/>
            <w:tcMar>
              <w:top w:w="75" w:type="dxa"/>
              <w:start w:w="105" w:type="dxa"/>
              <w:bottom w:w="75" w:type="dxa"/>
              <w:end w:w="105" w:type="dxa"/>
            </w:tcMar>
            <w:vAlign w:val="top"/>
          </w:tcPr>
          <w:p>
            <w:pPr>
              <w:spacing w:after="0" w:line="245" w:lineRule="auto"/>
            </w:pPr>
            <w:r>
              <w:rPr>
                <w:rFonts w:ascii="Aptos" w:hAnsi="Aptos" w:eastAsia="Aptos"/>
                <w:color w:val="202B33"/>
                <w:sz w:val="18"/>
              </w:rPr>
              <w:t>The minimum viable PRISMA-oriented process and paper-appraisal support for the first implementation, without attempting to support every specialist framework immediately.</w:t>
            </w:r>
          </w:p>
        </w:tc>
      </w:tr>
    </w:tbl>
    <w:p>
      <w:pPr>
        <w:spacing w:after="20"/>
        <w:widowControl/>
      </w:pPr>
    </w:p>
    <w:p>
      <w:pPr>
        <w:pStyle w:val="Heading1"/>
        <w:keepNext/>
        <w:spacing w:before="260" w:after="100"/>
        <w:widowControl/>
      </w:pPr>
      <w:r>
        <w:rPr>
          <w:rFonts w:ascii="Aptos" w:hAnsi="Aptos" w:eastAsia="Aptos"/>
          <w:b/>
          <w:color w:val="20354A"/>
          <w:sz w:val="34"/>
        </w:rPr>
        <w:t>Closing statement</w:t>
      </w:r>
    </w:p>
    <w:tbl>
      <w:tblPr>
        <w:tblW w:type="auto" w:w="0"/>
        <w:jc w:val="center"/>
        <w:tblLayout w:type="fixed"/>
        <w:tblLook w:firstColumn="1" w:firstRow="1" w:lastColumn="0" w:lastRow="0" w:noHBand="0" w:noVBand="1" w:val="04A0"/>
      </w:tblPr>
      <w:tblGrid>
        <w:gridCol w:w="9792"/>
      </w:tblGrid>
      <w:tr>
        <w:trPr>
          <w:cantSplit/>
        </w:trPr>
        <w:tc>
          <w:tcPr>
            <w:tcW w:type="dxa" w:w="9792"/>
            <w:shd w:fill="EEF4F5"/>
            <w:tcMar>
              <w:top w:w="150" w:type="dxa"/>
              <w:start w:w="200" w:type="dxa"/>
              <w:bottom w:w="150" w:type="dxa"/>
              <w:end w:w="200" w:type="dxa"/>
            </w:tcMar>
          </w:tcPr>
          <w:p>
            <w:pPr>
              <w:spacing w:after="60"/>
            </w:pPr>
            <w:r>
              <w:rPr>
                <w:rFonts w:ascii="Aptos" w:hAnsi="Aptos" w:eastAsia="Aptos"/>
                <w:b/>
                <w:color w:val="167C80"/>
                <w:sz w:val="21"/>
              </w:rPr>
              <w:t>WHAT THOTH IS FOR</w:t>
            </w:r>
          </w:p>
          <w:p>
            <w:pPr>
              <w:spacing w:after="0" w:line="259" w:lineRule="auto"/>
            </w:pPr>
            <w:r>
              <w:rPr>
                <w:rFonts w:ascii="Aptos" w:hAnsi="Aptos" w:eastAsia="Aptos"/>
                <w:color w:val="202B33"/>
                <w:sz w:val="19"/>
              </w:rPr>
              <w:t>Thoth is not fundamentally a machine for generating research reports. Reports are one output of the system, not its purpose. Its purpose is to help a person think better, investigate more deeply, understand what is already known, recognise what remains unresolved, and develop a defensible original contribution to knowledge—without fabricated novelty, superficial summaries, unsupported confidence, or needless technical complexity.</w:t>
            </w:r>
          </w:p>
        </w:tc>
      </w:tr>
    </w:tbl>
    <w:p>
      <w:pPr>
        <w:spacing w:after="20"/>
        <w:widowControl/>
      </w:pPr>
    </w:p>
    <w:p>
      <w:pPr>
        <w:keepLines/>
        <w:spacing w:after="0" w:line="264" w:lineRule="auto"/>
        <w:widowControl/>
      </w:pPr>
      <w:r>
        <w:rPr>
          <w:rFonts w:ascii="Aptos" w:hAnsi="Aptos" w:eastAsia="Aptos"/>
          <w:color w:val="202B33"/>
          <w:sz w:val="20"/>
        </w:rPr>
        <w:t>The next phase should be a thorough analysis of the current repository against this target-state vision. Only after that review should a separate “what exists today versus what needs to change” section be added, grounded in inspected code and explicit evidence.</w:t>
      </w:r>
    </w:p>
    <w:sectPr w:rsidR="00FC693F" w:rsidRPr="0006063C" w:rsidSect="00034616">
      <w:headerReference w:type="default" r:id="rId9"/>
      <w:footerReference w:type="default" r:id="rId10"/>
      <w:pgSz w:w="12240" w:h="15840"/>
      <w:pgMar w:top="1037"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eastAsia="Aptos"/>
        <w:color w:val="536675"/>
        <w:sz w:val="16"/>
      </w:rPr>
      <w:t xml:space="preserve">THOTH  •  Vision Brief  |  Page </w:t>
    </w:r>
    <w:r>
      <w:rPr>
        <w:rFonts w:ascii="Aptos" w:hAnsi="Aptos" w:eastAsia="Aptos"/>
        <w:color w:val="536675"/>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4" w:space="3" w:color="D8E2E7"/>
      </w:pBdr>
    </w:pPr>
    <w:r>
      <w:rPr>
        <w:rFonts w:ascii="Aptos" w:hAnsi="Aptos" w:eastAsia="Aptos"/>
        <w:b/>
        <w:color w:val="536675"/>
        <w:sz w:val="16"/>
      </w:rPr>
      <w:t>THOTH  /  PRODUCT 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202B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20354A"/>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67C80"/>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2035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202B33"/>
      <w:sz w:val="20"/>
    </w:rPr>
  </w:style>
  <w:style w:type="paragraph" w:styleId="ListBullet2">
    <w:name w:val="List Bullet 2"/>
    <w:basedOn w:val="Normal"/>
    <w:uiPriority w:val="99"/>
    <w:unhideWhenUsed/>
    <w:rsid w:val="00326F90"/>
    <w:pPr>
      <w:numPr>
        <w:numId w:val="2"/>
      </w:numPr>
      <w:contextualSpacing/>
    </w:pPr>
    <w:rPr>
      <w:rFonts w:ascii="Aptos" w:hAnsi="Aptos"/>
      <w:color w:val="202B33"/>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color w:val="202B33"/>
      <w:sz w:val="20"/>
    </w:rPr>
  </w:style>
  <w:style w:type="paragraph" w:styleId="ListNumber2">
    <w:name w:val="List Number 2"/>
    <w:basedOn w:val="Normal"/>
    <w:uiPriority w:val="99"/>
    <w:unhideWhenUsed/>
    <w:rsid w:val="0029639D"/>
    <w:pPr>
      <w:numPr>
        <w:numId w:val="6"/>
      </w:numPr>
      <w:contextualSpacing/>
    </w:pPr>
    <w:rPr>
      <w:rFonts w:ascii="Aptos" w:hAnsi="Aptos"/>
      <w:color w:val="202B33"/>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THOTH — Product Vision &amp; Functional Requirements</dc:title>
  <dc:subject>Consolidated target-state product vision for Thoth</dc:subject>
  <dc:creator>Thoth Project</dc:creator>
  <cp:keywords>Thoth, research assistant, product vision, literature review, originality, multi-agent research</cp:keywords>
  <dc:description>Vision brief only; current-system alignment analysis intentionally deferred.</dc:description>
  <cp:lastModifiedBy/>
  <cp:revision>1</cp:revision>
  <dcterms:created xsi:type="dcterms:W3CDTF">2013-12-23T23:15:00Z</dcterms:created>
  <dcterms:modified xsi:type="dcterms:W3CDTF">2013-12-23T23:15:00Z</dcterms:modified>
  <cp:category/>
</cp:coreProperties>
</file>