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B2545"/>
          <w:sz w:val="72"/>
          <w:szCs w:val="72"/>
        </w:rPr>
        <w:t xml:space="preserve">SOLOHUB</w:t>
      </w:r>
    </w:p>
    <w:p>
      <w:pPr>
        <w:spacing w:after="200"/>
        <w:jc w:val="center"/>
      </w:pPr>
      <w:r>
        <w:rPr>
          <w:rFonts w:ascii="Arial" w:cs="Arial" w:eastAsia="Arial" w:hAnsi="Arial"/>
          <w:color w:val="1E5F8C"/>
          <w:sz w:val="28"/>
          <w:szCs w:val="28"/>
        </w:rPr>
        <w:t xml:space="preserve">Production-Readiness Audit, 12-Month Business Plan &amp; Marketing Roadmap</w:t>
      </w:r>
    </w:p>
    <w:p>
      <w:pPr>
        <w:spacing w:after="400"/>
        <w:jc w:val="center"/>
      </w:pPr>
      <w:r>
        <w:rPr>
          <w:rFonts w:ascii="Arial" w:cs="Arial" w:eastAsia="Arial" w:hAnsi="Arial"/>
          <w:i/>
          <w:iCs/>
          <w:color w:val="555555"/>
          <w:sz w:val="24"/>
          <w:szCs w:val="24"/>
        </w:rPr>
        <w:t xml:space="preserve">Service-Commerce Platform for Solo Entrepreneurs</w:t>
      </w:r>
    </w:p>
    <w:p>
      <w:pPr>
        <w:pBdr>
          <w:top w:val="single" w:color="C77F2C" w:sz="12" w:space="4"/>
        </w:pBdr>
        <w:spacing w:after="100" w:before="1200"/>
        <w:jc w:val="center"/>
      </w:pPr>
      <w:r>
        <w:rPr>
          <w:sz w:val="22"/>
          <w:szCs w:val="22"/>
        </w:rPr>
        <w:t xml:space="preserve"> </w:t>
      </w:r>
    </w:p>
    <w:p>
      <w:pPr>
        <w:spacing w:after="80"/>
        <w:jc w:val="center"/>
      </w:pPr>
      <w:r>
        <w:rPr>
          <w:rFonts w:ascii="Arial" w:cs="Arial" w:eastAsia="Arial" w:hAnsi="Arial"/>
          <w:b/>
          <w:bCs/>
          <w:color w:val="0B2545"/>
          <w:sz w:val="22"/>
          <w:szCs w:val="22"/>
        </w:rPr>
        <w:t xml:space="preserve">Prepared for: SoloHub Founding Team</w:t>
      </w:r>
    </w:p>
    <w:p>
      <w:pPr>
        <w:spacing w:after="80"/>
        <w:jc w:val="center"/>
      </w:pPr>
      <w:r>
        <w:rPr>
          <w:rFonts w:ascii="Arial" w:cs="Arial" w:eastAsia="Arial" w:hAnsi="Arial"/>
          <w:color w:val="555555"/>
          <w:sz w:val="22"/>
          <w:szCs w:val="22"/>
        </w:rPr>
        <w:t xml:space="preserve">Prepared by: Senior SaaS Consultant &amp; CMO</w:t>
      </w:r>
    </w:p>
    <w:p>
      <w:pPr>
        <w:spacing w:after="80"/>
        <w:jc w:val="center"/>
      </w:pPr>
      <w:r>
        <w:rPr>
          <w:rFonts w:ascii="Arial" w:cs="Arial" w:eastAsia="Arial" w:hAnsi="Arial"/>
          <w:color w:val="555555"/>
          <w:sz w:val="22"/>
          <w:szCs w:val="22"/>
        </w:rPr>
        <w:t xml:space="preserve">Date: April 2026</w:t>
      </w:r>
    </w:p>
    <w:p>
      <w:r>
        <w:br w:type="page"/>
      </w:r>
    </w:p>
    <w:p>
      <w:pPr>
        <w:pStyle w:val="Heading1"/>
        <w:spacing w:after="200" w:before="360"/>
      </w:pPr>
      <w:r>
        <w:rPr>
          <w:rFonts w:ascii="Arial" w:cs="Arial" w:eastAsia="Arial" w:hAnsi="Arial"/>
          <w:b/>
          <w:bCs/>
          <w:color w:val="0B2545"/>
          <w:sz w:val="36"/>
          <w:szCs w:val="36"/>
        </w:rPr>
        <w:t xml:space="preserve">Executive Summary</w:t>
      </w:r>
    </w:p>
    <w:p>
      <w:pPr>
        <w:spacing w:after="160" w:before="0" w:line="300"/>
      </w:pPr>
      <w:r>
        <w:rPr>
          <w:rFonts w:ascii="Arial" w:cs="Arial" w:eastAsia="Arial" w:hAnsi="Arial"/>
          <w:color w:val="222222"/>
          <w:sz w:val="22"/>
          <w:szCs w:val="22"/>
        </w:rPr>
        <w:t xml:space="preserve">SoloHub is positioned to enter the Service-Commerce category — a market where Calendly owns scheduling, Fresha owns the salon vertical, and HoneyBook owns creative service businesses. The strategic gap is the under-served 'true solo' operator who needs a single, mobile-first surface for landing page, booking, payments, and reminders, without inheriting the complexity of multi-staff ERP suites.</w:t>
      </w:r>
    </w:p>
    <w:p>
      <w:pPr>
        <w:spacing w:after="160" w:before="0" w:line="300"/>
      </w:pPr>
      <w:r>
        <w:rPr>
          <w:rFonts w:ascii="Arial" w:cs="Arial" w:eastAsia="Arial" w:hAnsi="Arial"/>
          <w:color w:val="222222"/>
          <w:sz w:val="22"/>
          <w:szCs w:val="22"/>
        </w:rPr>
        <w:t xml:space="preserve">This document delivers three things: (1) a Critical Path of must-build items before any real customer takes a paid booking; (2) a 12-month feature and monetization roadmap; and (3) a phased marketing plan from beta validation to ecosystem and platform stage. The recommendations assume cash-conscious launch with a small team and a need to demonstrate retention before raising or scaling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2"/>
              <w:left w:val="single" w:color="0B2545" w:sz="24"/>
              <w:bottom w:val="single" w:color="0B2545" w:sz="4"/>
              <w:right w:val="single" w:color="0B2545" w:sz="4"/>
            </w:tcBorders>
            <w:shd w:fill="F1F4F8" w:val="clear"/>
            <w:tcMar>
              <w:top w:type="dxa" w:w="160"/>
              <w:left w:type="dxa" w:w="200"/>
              <w:bottom w:type="dxa" w:w="160"/>
              <w:right w:type="dxa" w:w="160"/>
            </w:tcMar>
          </w:tcPr>
          <w:p>
            <w:pPr>
              <w:spacing w:after="80"/>
            </w:pPr>
            <w:r>
              <w:rPr>
                <w:rFonts w:ascii="Arial" w:cs="Arial" w:eastAsia="Arial" w:hAnsi="Arial"/>
                <w:b/>
                <w:bCs/>
                <w:color w:val="0B2545"/>
                <w:sz w:val="22"/>
                <w:szCs w:val="22"/>
              </w:rPr>
              <w:t xml:space="preserve">Three takeaways the team should align on this week</w:t>
            </w:r>
          </w:p>
          <w:p>
            <w:pPr>
              <w:spacing w:after="60" w:line="280"/>
            </w:pPr>
            <w:r>
              <w:rPr>
                <w:rFonts w:ascii="Arial" w:cs="Arial" w:eastAsia="Arial" w:hAnsi="Arial"/>
                <w:color w:val="222222"/>
                <w:sz w:val="21"/>
                <w:szCs w:val="21"/>
              </w:rPr>
              <w:t xml:space="preserve">1. Do not launch payments until the double-booking, time-zone, and webhook reconciliation tests below are green. A single double-charged client kills early word-of-mouth.</w:t>
            </w:r>
          </w:p>
          <w:p>
            <w:pPr>
              <w:spacing w:after="60" w:line="280"/>
            </w:pPr>
            <w:r>
              <w:rPr>
                <w:rFonts w:ascii="Arial" w:cs="Arial" w:eastAsia="Arial" w:hAnsi="Arial"/>
                <w:color w:val="222222"/>
                <w:sz w:val="21"/>
                <w:szCs w:val="21"/>
              </w:rPr>
              <w:t xml:space="preserve">2. Pick the monetization model now. The recommendation is a Hybrid: low flat monthly fee + small commission only on payments processed through SoloHub. This aligns incentives without taxing solo earners.</w:t>
            </w:r>
          </w:p>
          <w:p>
            <w:pPr>
              <w:spacing w:after="60" w:line="280"/>
            </w:pPr>
            <w:r>
              <w:rPr>
                <w:rFonts w:ascii="Arial" w:cs="Arial" w:eastAsia="Arial" w:hAnsi="Arial"/>
                <w:color w:val="222222"/>
                <w:sz w:val="21"/>
                <w:szCs w:val="21"/>
              </w:rPr>
              <w:t xml:space="preserve">3. The first 10 power users decide the next 1,000. Win them through hand-curated white-glove onboarding in two niches (Beauty/Hair and Private Tutoring), not paid ads.</w:t>
            </w:r>
          </w:p>
        </w:tc>
      </w:tr>
    </w:tbl>
    <w:p>
      <w:r>
        <w:br w:type="page"/>
      </w:r>
    </w:p>
    <w:p>
      <w:pPr>
        <w:pStyle w:val="Heading1"/>
        <w:spacing w:after="200" w:before="360"/>
      </w:pPr>
      <w:r>
        <w:rPr>
          <w:rFonts w:ascii="Arial" w:cs="Arial" w:eastAsia="Arial" w:hAnsi="Arial"/>
          <w:b/>
          <w:bCs/>
          <w:color w:val="0B2545"/>
          <w:sz w:val="36"/>
          <w:szCs w:val="36"/>
        </w:rPr>
        <w:t xml:space="preserve">Part 1 — Pre-Production Implementation: The Critical Path</w:t>
      </w:r>
    </w:p>
    <w:p>
      <w:pPr>
        <w:spacing w:after="160" w:before="0" w:line="300"/>
      </w:pPr>
      <w:r>
        <w:rPr>
          <w:rFonts w:ascii="Arial" w:cs="Arial" w:eastAsia="Arial" w:hAnsi="Arial"/>
          <w:color w:val="222222"/>
          <w:sz w:val="22"/>
          <w:szCs w:val="22"/>
        </w:rPr>
        <w:t xml:space="preserve">Below is the minimum bar required before SoloHub touches a real customer's money or calendar. Items are grouped by risk class: Booking Integrity, Transactional Reliability, Trust &amp; Compliance, and Discovery (SEO). Anything in the 'P0' column blocks launch.</w:t>
      </w:r>
    </w:p>
    <w:p>
      <w:pPr>
        <w:pStyle w:val="Heading2"/>
        <w:spacing w:after="160" w:before="280"/>
      </w:pPr>
      <w:r>
        <w:rPr>
          <w:rFonts w:ascii="Arial" w:cs="Arial" w:eastAsia="Arial" w:hAnsi="Arial"/>
          <w:b/>
          <w:bCs/>
          <w:color w:val="1E5F8C"/>
          <w:sz w:val="28"/>
          <w:szCs w:val="28"/>
        </w:rPr>
        <w:t xml:space="preserve">1.1 Calendar Synchronization &amp; Double-Booking Logic</w:t>
      </w:r>
    </w:p>
    <w:p>
      <w:pPr>
        <w:spacing w:after="120" w:before="0" w:line="300"/>
      </w:pPr>
      <w:r>
        <w:rPr>
          <w:rFonts w:ascii="Arial" w:cs="Arial" w:eastAsia="Arial" w:hAnsi="Arial"/>
          <w:color w:val="222222"/>
          <w:sz w:val="22"/>
          <w:szCs w:val="22"/>
        </w:rPr>
        <w:t xml:space="preserve">This is the single largest source of catastrophic, unrecoverable bugs in any booking platform. A double-booked client never comes back, and the provider blames you publicly. Engineer this defensively.</w:t>
      </w:r>
    </w:p>
    <w:p>
      <w:pPr>
        <w:pStyle w:val="Heading3"/>
        <w:spacing w:after="120" w:before="200"/>
      </w:pPr>
      <w:r>
        <w:rPr>
          <w:rFonts w:ascii="Arial" w:cs="Arial" w:eastAsia="Arial" w:hAnsi="Arial"/>
          <w:b/>
          <w:bCs/>
          <w:color w:val="C77F2C"/>
          <w:sz w:val="24"/>
          <w:szCs w:val="24"/>
        </w:rPr>
        <w:t xml:space="preserve">Time-Zone Architecture (non-negotiable)</w:t>
      </w:r>
    </w:p>
    <w:p>
      <w:pPr>
        <w:pStyle w:val="ListParagraph"/>
        <w:numPr>
          <w:ilvl w:val="0"/>
          <w:numId w:val="2"/>
        </w:numPr>
        <w:spacing w:after="80" w:line="280"/>
      </w:pPr>
      <w:r>
        <w:rPr>
          <w:rFonts w:ascii="Arial" w:cs="Arial" w:eastAsia="Arial" w:hAnsi="Arial"/>
          <w:color w:val="222222"/>
          <w:sz w:val="22"/>
          <w:szCs w:val="22"/>
        </w:rPr>
        <w:t xml:space="preserve">Store all timestamps in UTC at the database layer. Do not store local times — ever. Any ISO string entering the database without a 'Z' or explicit offset should fail validation in CI.</w:t>
      </w:r>
    </w:p>
    <w:p>
      <w:pPr>
        <w:pStyle w:val="ListParagraph"/>
        <w:numPr>
          <w:ilvl w:val="0"/>
          <w:numId w:val="2"/>
        </w:numPr>
        <w:spacing w:after="80" w:line="280"/>
      </w:pPr>
      <w:r>
        <w:rPr>
          <w:rFonts w:ascii="Arial" w:cs="Arial" w:eastAsia="Arial" w:hAnsi="Arial"/>
          <w:color w:val="222222"/>
          <w:sz w:val="22"/>
          <w:szCs w:val="22"/>
        </w:rPr>
        <w:t xml:space="preserve">Persist three fields on every booking: booking_start_utc, booking_end_utc, and provider_iana_timezone (e.g., 'Europe/Amsterdam'). Display logic always derives from UTC + viewer's IANA zone.</w:t>
      </w:r>
    </w:p>
    <w:p>
      <w:pPr>
        <w:pStyle w:val="ListParagraph"/>
        <w:numPr>
          <w:ilvl w:val="0"/>
          <w:numId w:val="2"/>
        </w:numPr>
        <w:spacing w:after="80" w:line="280"/>
      </w:pPr>
      <w:r>
        <w:rPr>
          <w:rFonts w:ascii="Arial" w:cs="Arial" w:eastAsia="Arial" w:hAnsi="Arial"/>
          <w:color w:val="222222"/>
          <w:sz w:val="22"/>
          <w:szCs w:val="22"/>
        </w:rPr>
        <w:t xml:space="preserve">Use IANA Time Zone Database identifiers, not GMT offsets. 'Europe/London' and 'Africa/Casablanca' have different DST rules — offsets lie twice a year.</w:t>
      </w:r>
    </w:p>
    <w:p>
      <w:pPr>
        <w:pStyle w:val="ListParagraph"/>
        <w:numPr>
          <w:ilvl w:val="0"/>
          <w:numId w:val="2"/>
        </w:numPr>
        <w:spacing w:after="80" w:line="280"/>
      </w:pPr>
      <w:r>
        <w:rPr>
          <w:rFonts w:ascii="Arial" w:cs="Arial" w:eastAsia="Arial" w:hAnsi="Arial"/>
          <w:color w:val="222222"/>
          <w:sz w:val="22"/>
          <w:szCs w:val="22"/>
        </w:rPr>
        <w:t xml:space="preserve">Pin a recent IANA tzdata version inside the container. DST rules change; some governments announce changes 30 days out. Plan a quarterly tzdata bump via CI.</w:t>
      </w:r>
    </w:p>
    <w:p>
      <w:pPr>
        <w:pStyle w:val="ListParagraph"/>
        <w:numPr>
          <w:ilvl w:val="0"/>
          <w:numId w:val="2"/>
        </w:numPr>
        <w:spacing w:after="80" w:line="280"/>
      </w:pPr>
      <w:r>
        <w:rPr>
          <w:rFonts w:ascii="Arial" w:cs="Arial" w:eastAsia="Arial" w:hAnsi="Arial"/>
          <w:color w:val="222222"/>
          <w:sz w:val="22"/>
          <w:szCs w:val="22"/>
        </w:rPr>
        <w:t xml:space="preserve">Render times in the viewer's timezone with an explicit label (e.g., '14:00 CET — your local time'). Never assume the browser's timezone is correct on mobile.</w:t>
      </w:r>
    </w:p>
    <w:p>
      <w:pPr>
        <w:pStyle w:val="Heading3"/>
        <w:spacing w:after="120" w:before="200"/>
      </w:pPr>
      <w:r>
        <w:rPr>
          <w:rFonts w:ascii="Arial" w:cs="Arial" w:eastAsia="Arial" w:hAnsi="Arial"/>
          <w:b/>
          <w:bCs/>
          <w:color w:val="C77F2C"/>
          <w:sz w:val="24"/>
          <w:szCs w:val="24"/>
        </w:rPr>
        <w:t xml:space="preserve">Double-Booking Prevention</w:t>
      </w:r>
    </w:p>
    <w:p>
      <w:pPr>
        <w:pStyle w:val="ListParagraph"/>
        <w:numPr>
          <w:ilvl w:val="0"/>
          <w:numId w:val="2"/>
        </w:numPr>
        <w:spacing w:after="80" w:line="280"/>
      </w:pPr>
      <w:r>
        <w:rPr>
          <w:rFonts w:ascii="Arial" w:cs="Arial" w:eastAsia="Arial" w:hAnsi="Arial"/>
          <w:color w:val="222222"/>
          <w:sz w:val="22"/>
          <w:szCs w:val="22"/>
        </w:rPr>
        <w:t xml:space="preserve">Two-layer defense: (a) optimistic UI check against cached availability, (b) hard, transactional check at write time inside a database transaction. The second layer is the source of truth.</w:t>
      </w:r>
    </w:p>
    <w:p>
      <w:pPr>
        <w:pStyle w:val="ListParagraph"/>
        <w:numPr>
          <w:ilvl w:val="0"/>
          <w:numId w:val="2"/>
        </w:numPr>
        <w:spacing w:after="80" w:line="280"/>
      </w:pPr>
      <w:r>
        <w:rPr>
          <w:rFonts w:ascii="Arial" w:cs="Arial" w:eastAsia="Arial" w:hAnsi="Arial"/>
          <w:color w:val="222222"/>
          <w:sz w:val="22"/>
          <w:szCs w:val="22"/>
        </w:rPr>
        <w:t xml:space="preserve">Use a database-level exclusion constraint (PostgreSQL: btree_gist + EXCLUDE USING gist (resource_id WITH =, tstzrange(start, end) WITH &amp;&amp;)). This makes a double-booking literally impossible at the row level — no race condition can sneak past.</w:t>
      </w:r>
    </w:p>
    <w:p>
      <w:pPr>
        <w:pStyle w:val="ListParagraph"/>
        <w:numPr>
          <w:ilvl w:val="0"/>
          <w:numId w:val="2"/>
        </w:numPr>
        <w:spacing w:after="80" w:line="280"/>
      </w:pPr>
      <w:r>
        <w:rPr>
          <w:rFonts w:ascii="Arial" w:cs="Arial" w:eastAsia="Arial" w:hAnsi="Arial"/>
          <w:color w:val="222222"/>
          <w:sz w:val="22"/>
          <w:szCs w:val="22"/>
        </w:rPr>
        <w:t xml:space="preserve">All availability writes must go through a single serialized path with row-level locking on the resource (provider or staff member). Never let two web workers compute availability in parallel without coordination.</w:t>
      </w:r>
    </w:p>
    <w:p>
      <w:pPr>
        <w:pStyle w:val="ListParagraph"/>
        <w:numPr>
          <w:ilvl w:val="0"/>
          <w:numId w:val="2"/>
        </w:numPr>
        <w:spacing w:after="80" w:line="280"/>
      </w:pPr>
      <w:r>
        <w:rPr>
          <w:rFonts w:ascii="Arial" w:cs="Arial" w:eastAsia="Arial" w:hAnsi="Arial"/>
          <w:color w:val="222222"/>
          <w:sz w:val="22"/>
          <w:szCs w:val="22"/>
        </w:rPr>
        <w:t xml:space="preserve">Define a buffer policy per service (e.g., 10 minutes between haircuts) and apply it on read AND write — never only on read. Front-end-only buffers get bypassed by direct API calls.</w:t>
      </w:r>
    </w:p>
    <w:p>
      <w:pPr>
        <w:pStyle w:val="ListParagraph"/>
        <w:numPr>
          <w:ilvl w:val="0"/>
          <w:numId w:val="2"/>
        </w:numPr>
        <w:spacing w:after="80" w:line="280"/>
      </w:pPr>
      <w:r>
        <w:rPr>
          <w:rFonts w:ascii="Arial" w:cs="Arial" w:eastAsia="Arial" w:hAnsi="Arial"/>
          <w:color w:val="222222"/>
          <w:sz w:val="22"/>
          <w:szCs w:val="22"/>
        </w:rPr>
        <w:t xml:space="preserve">Treat external calendars (Google, Apple, Outlook) as untrusted inputs. Pull busy windows on every confirmation step, not just on initial sync, because users add personal events between login and checkout.</w:t>
      </w:r>
    </w:p>
    <w:p>
      <w:pPr>
        <w:pStyle w:val="Heading3"/>
        <w:spacing w:after="120" w:before="200"/>
      </w:pPr>
      <w:r>
        <w:rPr>
          <w:rFonts w:ascii="Arial" w:cs="Arial" w:eastAsia="Arial" w:hAnsi="Arial"/>
          <w:b/>
          <w:bCs/>
          <w:color w:val="C77F2C"/>
          <w:sz w:val="24"/>
          <w:szCs w:val="24"/>
        </w:rPr>
        <w:t xml:space="preserve">External Calendar Sync</w:t>
      </w:r>
    </w:p>
    <w:p>
      <w:pPr>
        <w:pStyle w:val="ListParagraph"/>
        <w:numPr>
          <w:ilvl w:val="0"/>
          <w:numId w:val="2"/>
        </w:numPr>
        <w:spacing w:after="80" w:line="280"/>
      </w:pPr>
      <w:r>
        <w:rPr>
          <w:rFonts w:ascii="Arial" w:cs="Arial" w:eastAsia="Arial" w:hAnsi="Arial"/>
          <w:color w:val="222222"/>
          <w:sz w:val="22"/>
          <w:szCs w:val="22"/>
        </w:rPr>
        <w:t xml:space="preserve">Use webhooks where supported (Google Calendar push notifications, Microsoft Graph subscriptions). Polling alone creates a 5-15 minute window where double-bookings happen.</w:t>
      </w:r>
    </w:p>
    <w:p>
      <w:pPr>
        <w:pStyle w:val="ListParagraph"/>
        <w:numPr>
          <w:ilvl w:val="0"/>
          <w:numId w:val="2"/>
        </w:numPr>
        <w:spacing w:after="80" w:line="280"/>
      </w:pPr>
      <w:r>
        <w:rPr>
          <w:rFonts w:ascii="Arial" w:cs="Arial" w:eastAsia="Arial" w:hAnsi="Arial"/>
          <w:color w:val="222222"/>
          <w:sz w:val="22"/>
          <w:szCs w:val="22"/>
        </w:rPr>
        <w:t xml:space="preserve">Implement two-way sync carefully: only write to external calendars events created in SoloHub. Never modify or delete events SoloHub did not create — this destroys customer trust the first time it touches a personal anniversary.</w:t>
      </w:r>
    </w:p>
    <w:p>
      <w:pPr>
        <w:pStyle w:val="ListParagraph"/>
        <w:numPr>
          <w:ilvl w:val="0"/>
          <w:numId w:val="2"/>
        </w:numPr>
        <w:spacing w:after="80" w:line="280"/>
      </w:pPr>
      <w:r>
        <w:rPr>
          <w:rFonts w:ascii="Arial" w:cs="Arial" w:eastAsia="Arial" w:hAnsi="Arial"/>
          <w:color w:val="222222"/>
          <w:sz w:val="22"/>
          <w:szCs w:val="22"/>
        </w:rPr>
        <w:t xml:space="preserve">Maintain a sync_log table with idempotency keys and last-known-state hashes per external event, so reconnects don't duplicate.</w:t>
      </w:r>
    </w:p>
    <w:p>
      <w:pPr>
        <w:pStyle w:val="ListParagraph"/>
        <w:numPr>
          <w:ilvl w:val="0"/>
          <w:numId w:val="2"/>
        </w:numPr>
        <w:spacing w:after="80" w:line="280"/>
      </w:pPr>
      <w:r>
        <w:rPr>
          <w:rFonts w:ascii="Arial" w:cs="Arial" w:eastAsia="Arial" w:hAnsi="Arial"/>
          <w:color w:val="222222"/>
          <w:sz w:val="22"/>
          <w:szCs w:val="22"/>
        </w:rPr>
        <w:t xml:space="preserve">Build a 'reconnect required' state. OAuth tokens expire, especially Google's 7-day refresh on test users. Surface this in-app and via email before the next booking would fail.</w:t>
      </w:r>
    </w:p>
    <w:p>
      <w:pPr>
        <w:pStyle w:val="Heading3"/>
        <w:spacing w:after="120" w:before="200"/>
      </w:pPr>
      <w:r>
        <w:rPr>
          <w:rFonts w:ascii="Arial" w:cs="Arial" w:eastAsia="Arial" w:hAnsi="Arial"/>
          <w:b/>
          <w:bCs/>
          <w:color w:val="C77F2C"/>
          <w:sz w:val="24"/>
          <w:szCs w:val="24"/>
        </w:rPr>
        <w:t xml:space="preserve">Acceptance Tests Before Launch (Calendar)</w:t>
      </w:r>
    </w:p>
    <w:p>
      <w:pPr>
        <w:pStyle w:val="ListParagraph"/>
        <w:numPr>
          <w:ilvl w:val="0"/>
          <w:numId w:val="3"/>
        </w:numPr>
        <w:spacing w:after="80" w:line="280"/>
      </w:pPr>
      <w:r>
        <w:rPr>
          <w:rFonts w:ascii="Arial" w:cs="Arial" w:eastAsia="Arial" w:hAnsi="Arial"/>
          <w:color w:val="222222"/>
          <w:sz w:val="22"/>
          <w:szCs w:val="22"/>
        </w:rPr>
        <w:t xml:space="preserve">DST forward jump: a booking made on 27 March at 02:30 local in Europe/Amsterdam must not silently move to 03:30 (this hour does not exist).</w:t>
      </w:r>
    </w:p>
    <w:p>
      <w:pPr>
        <w:pStyle w:val="ListParagraph"/>
        <w:numPr>
          <w:ilvl w:val="0"/>
          <w:numId w:val="3"/>
        </w:numPr>
        <w:spacing w:after="80" w:line="280"/>
      </w:pPr>
      <w:r>
        <w:rPr>
          <w:rFonts w:ascii="Arial" w:cs="Arial" w:eastAsia="Arial" w:hAnsi="Arial"/>
          <w:color w:val="222222"/>
          <w:sz w:val="22"/>
          <w:szCs w:val="22"/>
        </w:rPr>
        <w:t xml:space="preserve">DST backward jump: a 02:30 booking on 30 October must resolve unambiguously (this hour exists twice). Display behavior is documented.</w:t>
      </w:r>
    </w:p>
    <w:p>
      <w:pPr>
        <w:pStyle w:val="ListParagraph"/>
        <w:numPr>
          <w:ilvl w:val="0"/>
          <w:numId w:val="3"/>
        </w:numPr>
        <w:spacing w:after="80" w:line="280"/>
      </w:pPr>
      <w:r>
        <w:rPr>
          <w:rFonts w:ascii="Arial" w:cs="Arial" w:eastAsia="Arial" w:hAnsi="Arial"/>
          <w:color w:val="222222"/>
          <w:sz w:val="22"/>
          <w:szCs w:val="22"/>
        </w:rPr>
        <w:t xml:space="preserve">Cross-timezone: client in New York books a 09:00 Madrid slot. Reminder emails to client show 03:00 EST; reminders to provider show 09:00 CET.</w:t>
      </w:r>
    </w:p>
    <w:p>
      <w:pPr>
        <w:pStyle w:val="ListParagraph"/>
        <w:numPr>
          <w:ilvl w:val="0"/>
          <w:numId w:val="3"/>
        </w:numPr>
        <w:spacing w:after="80" w:line="280"/>
      </w:pPr>
      <w:r>
        <w:rPr>
          <w:rFonts w:ascii="Arial" w:cs="Arial" w:eastAsia="Arial" w:hAnsi="Arial"/>
          <w:color w:val="222222"/>
          <w:sz w:val="22"/>
          <w:szCs w:val="22"/>
        </w:rPr>
        <w:t xml:space="preserve">Concurrent-booking stress test: 50 simultaneous requests for the same slot. Exactly one succeeds. No partial writes, no orphan payment intents.</w:t>
      </w:r>
    </w:p>
    <w:p>
      <w:pPr>
        <w:pStyle w:val="ListParagraph"/>
        <w:numPr>
          <w:ilvl w:val="0"/>
          <w:numId w:val="3"/>
        </w:numPr>
        <w:spacing w:after="80" w:line="280"/>
      </w:pPr>
      <w:r>
        <w:rPr>
          <w:rFonts w:ascii="Arial" w:cs="Arial" w:eastAsia="Arial" w:hAnsi="Arial"/>
          <w:color w:val="222222"/>
          <w:sz w:val="22"/>
          <w:szCs w:val="22"/>
        </w:rPr>
        <w:t xml:space="preserve">External-calendar-poisoning test: provider adds a 'busy' Google Calendar event during the booking flow. The booking confirmation step re-checks availability and rejects gracefully.</w:t>
      </w:r>
    </w:p>
    <w:p>
      <w:pPr>
        <w:pStyle w:val="Heading2"/>
        <w:spacing w:after="160" w:before="280"/>
      </w:pPr>
      <w:r>
        <w:rPr>
          <w:rFonts w:ascii="Arial" w:cs="Arial" w:eastAsia="Arial" w:hAnsi="Arial"/>
          <w:b/>
          <w:bCs/>
          <w:color w:val="1E5F8C"/>
          <w:sz w:val="28"/>
          <w:szCs w:val="28"/>
        </w:rPr>
        <w:t xml:space="preserve">1.2 Transactional Reliability: Reminders &amp; Payments</w:t>
      </w:r>
    </w:p>
    <w:p>
      <w:pPr>
        <w:pStyle w:val="Heading3"/>
        <w:spacing w:after="120" w:before="200"/>
      </w:pPr>
      <w:r>
        <w:rPr>
          <w:rFonts w:ascii="Arial" w:cs="Arial" w:eastAsia="Arial" w:hAnsi="Arial"/>
          <w:b/>
          <w:bCs/>
          <w:color w:val="C77F2C"/>
          <w:sz w:val="24"/>
          <w:szCs w:val="24"/>
        </w:rPr>
        <w:t xml:space="preserve">Automated SMS / Email Reminders</w:t>
      </w:r>
    </w:p>
    <w:p>
      <w:pPr>
        <w:pStyle w:val="ListParagraph"/>
        <w:numPr>
          <w:ilvl w:val="0"/>
          <w:numId w:val="2"/>
        </w:numPr>
        <w:spacing w:after="80" w:line="280"/>
      </w:pPr>
      <w:r>
        <w:rPr>
          <w:rFonts w:ascii="Arial" w:cs="Arial" w:eastAsia="Arial" w:hAnsi="Arial"/>
          <w:color w:val="222222"/>
          <w:sz w:val="22"/>
          <w:szCs w:val="22"/>
        </w:rPr>
        <w:t xml:space="preserve">Use a job queue (BullMQ/Sidekiq/Cloud Tasks) with idempotency keys per (booking_id, channel, offset). Never rely on cron-only scheduling — restarts will skip jobs.</w:t>
      </w:r>
    </w:p>
    <w:p>
      <w:pPr>
        <w:pStyle w:val="ListParagraph"/>
        <w:numPr>
          <w:ilvl w:val="0"/>
          <w:numId w:val="2"/>
        </w:numPr>
        <w:spacing w:after="80" w:line="280"/>
      </w:pPr>
      <w:r>
        <w:rPr>
          <w:rFonts w:ascii="Arial" w:cs="Arial" w:eastAsia="Arial" w:hAnsi="Arial"/>
          <w:color w:val="222222"/>
          <w:sz w:val="22"/>
          <w:szCs w:val="22"/>
        </w:rPr>
        <w:t xml:space="preserve">Standard cadence: confirmation immediately, reminder at T-24h, reminder at T-1h. Make these configurable per service type (a 30-min haircut and a 90-min tutoring session have different no-show patterns).</w:t>
      </w:r>
    </w:p>
    <w:p>
      <w:pPr>
        <w:pStyle w:val="ListParagraph"/>
        <w:numPr>
          <w:ilvl w:val="0"/>
          <w:numId w:val="2"/>
        </w:numPr>
        <w:spacing w:after="80" w:line="280"/>
      </w:pPr>
      <w:r>
        <w:rPr>
          <w:rFonts w:ascii="Arial" w:cs="Arial" w:eastAsia="Arial" w:hAnsi="Arial"/>
          <w:color w:val="222222"/>
          <w:sz w:val="22"/>
          <w:szCs w:val="22"/>
        </w:rPr>
        <w:t xml:space="preserve">Always include a one-click reschedule link signed with a short-lived JWT (24-hour expiry). 'Reply STOP to cancel' kills bookings. 'Tap to reschedule' saves them.</w:t>
      </w:r>
    </w:p>
    <w:p>
      <w:pPr>
        <w:pStyle w:val="ListParagraph"/>
        <w:numPr>
          <w:ilvl w:val="0"/>
          <w:numId w:val="2"/>
        </w:numPr>
        <w:spacing w:after="80" w:line="280"/>
      </w:pPr>
      <w:r>
        <w:rPr>
          <w:rFonts w:ascii="Arial" w:cs="Arial" w:eastAsia="Arial" w:hAnsi="Arial"/>
          <w:color w:val="222222"/>
          <w:sz w:val="22"/>
          <w:szCs w:val="22"/>
        </w:rPr>
        <w:t xml:space="preserve">SMS: use a deliverability-grade provider (Twilio, MessageBird, or Sinch). For EU launch, secure dedicated long codes or alphanumeric senders per country — shared shortcodes are increasingly blocked.</w:t>
      </w:r>
    </w:p>
    <w:p>
      <w:pPr>
        <w:pStyle w:val="ListParagraph"/>
        <w:numPr>
          <w:ilvl w:val="0"/>
          <w:numId w:val="2"/>
        </w:numPr>
        <w:spacing w:after="80" w:line="280"/>
      </w:pPr>
      <w:r>
        <w:rPr>
          <w:rFonts w:ascii="Arial" w:cs="Arial" w:eastAsia="Arial" w:hAnsi="Arial"/>
          <w:color w:val="222222"/>
          <w:sz w:val="22"/>
          <w:szCs w:val="22"/>
        </w:rPr>
        <w:t xml:space="preserve">Email: separate transactional domain from marketing domain. Reminders go from book.solohub.com; newsletters go from hello.solohub.com. Set up SPF, DKIM, and DMARC with p=quarantine before first send.</w:t>
      </w:r>
    </w:p>
    <w:p>
      <w:pPr>
        <w:pStyle w:val="ListParagraph"/>
        <w:numPr>
          <w:ilvl w:val="0"/>
          <w:numId w:val="2"/>
        </w:numPr>
        <w:spacing w:after="80" w:line="280"/>
      </w:pPr>
      <w:r>
        <w:rPr>
          <w:rFonts w:ascii="Arial" w:cs="Arial" w:eastAsia="Arial" w:hAnsi="Arial"/>
          <w:color w:val="222222"/>
          <w:sz w:val="22"/>
          <w:szCs w:val="22"/>
        </w:rPr>
        <w:t xml:space="preserve">Quiet hours: never send SMS between 21:00–08:00 in the recipient's timezone, even if the reminder offset technically falls there. This is a regulatory requirement in some markets and a UX requirement everywhere.</w:t>
      </w:r>
    </w:p>
    <w:p>
      <w:pPr>
        <w:pStyle w:val="ListParagraph"/>
        <w:numPr>
          <w:ilvl w:val="0"/>
          <w:numId w:val="2"/>
        </w:numPr>
        <w:spacing w:after="80" w:line="280"/>
      </w:pPr>
      <w:r>
        <w:rPr>
          <w:rFonts w:ascii="Arial" w:cs="Arial" w:eastAsia="Arial" w:hAnsi="Arial"/>
          <w:color w:val="222222"/>
          <w:sz w:val="22"/>
          <w:szCs w:val="22"/>
        </w:rPr>
        <w:t xml:space="preserve">Track delivery, open, and click events. Surface 'reminder failed to deliver' in the provider dashboard so they can call the client manually before a no-show.</w:t>
      </w:r>
    </w:p>
    <w:p>
      <w:pPr>
        <w:pStyle w:val="Heading3"/>
        <w:spacing w:after="120" w:before="200"/>
      </w:pPr>
      <w:r>
        <w:rPr>
          <w:rFonts w:ascii="Arial" w:cs="Arial" w:eastAsia="Arial" w:hAnsi="Arial"/>
          <w:b/>
          <w:bCs/>
          <w:color w:val="C77F2C"/>
          <w:sz w:val="24"/>
          <w:szCs w:val="24"/>
        </w:rPr>
        <w:t xml:space="preserve">Payment Gateway Integration (Stripe / PayPal)</w:t>
      </w:r>
    </w:p>
    <w:p>
      <w:pPr>
        <w:pStyle w:val="ListParagraph"/>
        <w:numPr>
          <w:ilvl w:val="0"/>
          <w:numId w:val="2"/>
        </w:numPr>
        <w:spacing w:after="80" w:line="280"/>
      </w:pPr>
      <w:r>
        <w:rPr>
          <w:rFonts w:ascii="Arial" w:cs="Arial" w:eastAsia="Arial" w:hAnsi="Arial"/>
          <w:color w:val="222222"/>
          <w:sz w:val="22"/>
          <w:szCs w:val="22"/>
        </w:rPr>
        <w:t xml:space="preserve">Default to Stripe Connect (Express accounts) for solo providers — fastest onboarding, built-in KYC, and supports payouts in 40+ countries. Add PayPal as a secondary option if EU/LATAM clients demand it.</w:t>
      </w:r>
    </w:p>
    <w:p>
      <w:pPr>
        <w:pStyle w:val="ListParagraph"/>
        <w:numPr>
          <w:ilvl w:val="0"/>
          <w:numId w:val="2"/>
        </w:numPr>
        <w:spacing w:after="80" w:line="280"/>
      </w:pPr>
      <w:r>
        <w:rPr>
          <w:rFonts w:ascii="Arial" w:cs="Arial" w:eastAsia="Arial" w:hAnsi="Arial"/>
          <w:color w:val="222222"/>
          <w:sz w:val="22"/>
          <w:szCs w:val="22"/>
        </w:rPr>
        <w:t xml:space="preserve">Use Payment Intents, not the legacy Charges API. SCA (Strong Customer Authentication) is mandatory in the EU/UK and increasingly enforced elsewhere.</w:t>
      </w:r>
    </w:p>
    <w:p>
      <w:pPr>
        <w:pStyle w:val="ListParagraph"/>
        <w:numPr>
          <w:ilvl w:val="0"/>
          <w:numId w:val="2"/>
        </w:numPr>
        <w:spacing w:after="80" w:line="280"/>
      </w:pPr>
      <w:r>
        <w:rPr>
          <w:rFonts w:ascii="Arial" w:cs="Arial" w:eastAsia="Arial" w:hAnsi="Arial"/>
          <w:color w:val="222222"/>
          <w:sz w:val="22"/>
          <w:szCs w:val="22"/>
        </w:rPr>
        <w:t xml:space="preserve">Webhooks are the source of truth, never the redirect. The user's browser may close before payment confirms; only payment_intent.succeeded webhooks should mark a booking PAID.</w:t>
      </w:r>
    </w:p>
    <w:p>
      <w:pPr>
        <w:pStyle w:val="ListParagraph"/>
        <w:numPr>
          <w:ilvl w:val="0"/>
          <w:numId w:val="2"/>
        </w:numPr>
        <w:spacing w:after="80" w:line="280"/>
      </w:pPr>
      <w:r>
        <w:rPr>
          <w:rFonts w:ascii="Arial" w:cs="Arial" w:eastAsia="Arial" w:hAnsi="Arial"/>
          <w:color w:val="222222"/>
          <w:sz w:val="22"/>
          <w:szCs w:val="22"/>
        </w:rPr>
        <w:t xml:space="preserve">Verify webhook signatures on every event. Reject any unsigned or replayed event (track event IDs for at least 30 days).</w:t>
      </w:r>
    </w:p>
    <w:p>
      <w:pPr>
        <w:pStyle w:val="ListParagraph"/>
        <w:numPr>
          <w:ilvl w:val="0"/>
          <w:numId w:val="2"/>
        </w:numPr>
        <w:spacing w:after="80" w:line="280"/>
      </w:pPr>
      <w:r>
        <w:rPr>
          <w:rFonts w:ascii="Arial" w:cs="Arial" w:eastAsia="Arial" w:hAnsi="Arial"/>
          <w:color w:val="222222"/>
          <w:sz w:val="22"/>
          <w:szCs w:val="22"/>
        </w:rPr>
        <w:t xml:space="preserve">Handle the seven canonical states: requires_payment_method, requires_confirmation, requires_action, processing, succeeded, requires_capture, canceled. Map each to a clear booking state — do not let bookings sit in limbo.</w:t>
      </w:r>
    </w:p>
    <w:p>
      <w:pPr>
        <w:pStyle w:val="ListParagraph"/>
        <w:numPr>
          <w:ilvl w:val="0"/>
          <w:numId w:val="2"/>
        </w:numPr>
        <w:spacing w:after="80" w:line="280"/>
      </w:pPr>
      <w:r>
        <w:rPr>
          <w:rFonts w:ascii="Arial" w:cs="Arial" w:eastAsia="Arial" w:hAnsi="Arial"/>
          <w:color w:val="222222"/>
          <w:sz w:val="22"/>
          <w:szCs w:val="22"/>
        </w:rPr>
        <w:t xml:space="preserve">Build a reconciliation cron: every 15 minutes, fetch payment_intents created in the last 24 hours and compare with database state. Webhooks fail; reconciliation catches the rest.</w:t>
      </w:r>
    </w:p>
    <w:p>
      <w:pPr>
        <w:pStyle w:val="ListParagraph"/>
        <w:numPr>
          <w:ilvl w:val="0"/>
          <w:numId w:val="2"/>
        </w:numPr>
        <w:spacing w:after="80" w:line="280"/>
      </w:pPr>
      <w:r>
        <w:rPr>
          <w:rFonts w:ascii="Arial" w:cs="Arial" w:eastAsia="Arial" w:hAnsi="Arial"/>
          <w:color w:val="222222"/>
          <w:sz w:val="22"/>
          <w:szCs w:val="22"/>
        </w:rPr>
        <w:t xml:space="preserve">Implement deposits and no-show fees behind feature flags. Hold payment methods on file (Stripe SetupIntent) and capture only on no-show, with clear T&amp;Cs disclosure at booking time.</w:t>
      </w:r>
    </w:p>
    <w:p>
      <w:pPr>
        <w:pStyle w:val="ListParagraph"/>
        <w:numPr>
          <w:ilvl w:val="0"/>
          <w:numId w:val="2"/>
        </w:numPr>
        <w:spacing w:after="80" w:line="280"/>
      </w:pPr>
      <w:r>
        <w:rPr>
          <w:rFonts w:ascii="Arial" w:cs="Arial" w:eastAsia="Arial" w:hAnsi="Arial"/>
          <w:color w:val="222222"/>
          <w:sz w:val="22"/>
          <w:szCs w:val="22"/>
        </w:rPr>
        <w:t xml:space="preserve">Refund flow must be one click for the provider, with automatic email to the client and a reversible audit trail. Manual refunds drive support load through the roof.</w:t>
      </w:r>
    </w:p>
    <w:p>
      <w:pPr>
        <w:pStyle w:val="Heading3"/>
        <w:spacing w:after="120" w:before="200"/>
      </w:pPr>
      <w:r>
        <w:rPr>
          <w:rFonts w:ascii="Arial" w:cs="Arial" w:eastAsia="Arial" w:hAnsi="Arial"/>
          <w:b/>
          <w:bCs/>
          <w:color w:val="C77F2C"/>
          <w:sz w:val="24"/>
          <w:szCs w:val="24"/>
        </w:rPr>
        <w:t xml:space="preserve">Payment Acceptance Tests Before Launch</w:t>
      </w:r>
    </w:p>
    <w:p>
      <w:pPr>
        <w:pStyle w:val="ListParagraph"/>
        <w:numPr>
          <w:ilvl w:val="0"/>
          <w:numId w:val="3"/>
        </w:numPr>
        <w:spacing w:after="80" w:line="280"/>
      </w:pPr>
      <w:r>
        <w:rPr>
          <w:rFonts w:ascii="Arial" w:cs="Arial" w:eastAsia="Arial" w:hAnsi="Arial"/>
          <w:color w:val="222222"/>
          <w:sz w:val="22"/>
          <w:szCs w:val="22"/>
        </w:rPr>
        <w:t xml:space="preserve">Webhook replay: deliver the same payment_intent.succeeded event five times. Booking state and ledger remain consistent. Idempotency holds.</w:t>
      </w:r>
    </w:p>
    <w:p>
      <w:pPr>
        <w:pStyle w:val="ListParagraph"/>
        <w:numPr>
          <w:ilvl w:val="0"/>
          <w:numId w:val="3"/>
        </w:numPr>
        <w:spacing w:after="80" w:line="280"/>
      </w:pPr>
      <w:r>
        <w:rPr>
          <w:rFonts w:ascii="Arial" w:cs="Arial" w:eastAsia="Arial" w:hAnsi="Arial"/>
          <w:color w:val="222222"/>
          <w:sz w:val="22"/>
          <w:szCs w:val="22"/>
        </w:rPr>
        <w:t xml:space="preserve">Network failure mid-checkout: kill the connection after authorization but before our webhook handler returns 200. Reconciliation cron fixes the booking on next pass.</w:t>
      </w:r>
    </w:p>
    <w:p>
      <w:pPr>
        <w:pStyle w:val="ListParagraph"/>
        <w:numPr>
          <w:ilvl w:val="0"/>
          <w:numId w:val="3"/>
        </w:numPr>
        <w:spacing w:after="80" w:line="280"/>
      </w:pPr>
      <w:r>
        <w:rPr>
          <w:rFonts w:ascii="Arial" w:cs="Arial" w:eastAsia="Arial" w:hAnsi="Arial"/>
          <w:color w:val="222222"/>
          <w:sz w:val="22"/>
          <w:szCs w:val="22"/>
        </w:rPr>
        <w:t xml:space="preserve">3DS challenge: card requiring SCA. Booking does not confirm until 3DS completes; client receives correct UX through the redirect.</w:t>
      </w:r>
    </w:p>
    <w:p>
      <w:pPr>
        <w:pStyle w:val="ListParagraph"/>
        <w:numPr>
          <w:ilvl w:val="0"/>
          <w:numId w:val="3"/>
        </w:numPr>
        <w:spacing w:after="80" w:line="280"/>
      </w:pPr>
      <w:r>
        <w:rPr>
          <w:rFonts w:ascii="Arial" w:cs="Arial" w:eastAsia="Arial" w:hAnsi="Arial"/>
          <w:color w:val="222222"/>
          <w:sz w:val="22"/>
          <w:szCs w:val="22"/>
        </w:rPr>
        <w:t xml:space="preserve">Refund flow: provider issues full and partial refunds. Stripe balance reflects, client email fires, ledger updates within 60 seconds.</w:t>
      </w:r>
    </w:p>
    <w:p>
      <w:pPr>
        <w:pStyle w:val="ListParagraph"/>
        <w:numPr>
          <w:ilvl w:val="0"/>
          <w:numId w:val="3"/>
        </w:numPr>
        <w:spacing w:after="80" w:line="280"/>
      </w:pPr>
      <w:r>
        <w:rPr>
          <w:rFonts w:ascii="Arial" w:cs="Arial" w:eastAsia="Arial" w:hAnsi="Arial"/>
          <w:color w:val="222222"/>
          <w:sz w:val="22"/>
          <w:szCs w:val="22"/>
        </w:rPr>
        <w:t xml:space="preserve">Disputed charge: simulated chargeback webhook. Booking marked disputed, provider notified with evidence-upload deeplink, payout hold visible.</w:t>
      </w:r>
    </w:p>
    <w:p>
      <w:pPr>
        <w:pStyle w:val="Heading2"/>
        <w:spacing w:after="160" w:before="280"/>
      </w:pPr>
      <w:r>
        <w:rPr>
          <w:rFonts w:ascii="Arial" w:cs="Arial" w:eastAsia="Arial" w:hAnsi="Arial"/>
          <w:b/>
          <w:bCs/>
          <w:color w:val="1E5F8C"/>
          <w:sz w:val="28"/>
          <w:szCs w:val="28"/>
        </w:rPr>
        <w:t xml:space="preserve">1.3 Trust &amp; Compliance</w:t>
      </w:r>
    </w:p>
    <w:p>
      <w:pPr>
        <w:pStyle w:val="Heading3"/>
        <w:spacing w:after="120" w:before="200"/>
      </w:pPr>
      <w:r>
        <w:rPr>
          <w:rFonts w:ascii="Arial" w:cs="Arial" w:eastAsia="Arial" w:hAnsi="Arial"/>
          <w:b/>
          <w:bCs/>
          <w:color w:val="C77F2C"/>
          <w:sz w:val="24"/>
          <w:szCs w:val="24"/>
        </w:rPr>
        <w:t xml:space="preserve">Terms of Service: Cancellation &amp; Refund Policy</w:t>
      </w:r>
    </w:p>
    <w:p>
      <w:pPr>
        <w:pStyle w:val="ListParagraph"/>
        <w:numPr>
          <w:ilvl w:val="0"/>
          <w:numId w:val="2"/>
        </w:numPr>
        <w:spacing w:after="80" w:line="280"/>
      </w:pPr>
      <w:r>
        <w:rPr>
          <w:rFonts w:ascii="Arial" w:cs="Arial" w:eastAsia="Arial" w:hAnsi="Arial"/>
          <w:color w:val="222222"/>
          <w:sz w:val="22"/>
          <w:szCs w:val="22"/>
        </w:rPr>
        <w:t xml:space="preserve">Two-layer T&amp;Cs: (a) SoloHub's platform T&amp;Cs (between SoloHub and the provider/client), and (b) per-provider booking terms set at the service level (e.g., '24-hour cancellation, 50% refund').</w:t>
      </w:r>
    </w:p>
    <w:p>
      <w:pPr>
        <w:pStyle w:val="ListParagraph"/>
        <w:numPr>
          <w:ilvl w:val="0"/>
          <w:numId w:val="2"/>
        </w:numPr>
        <w:spacing w:after="80" w:line="280"/>
      </w:pPr>
      <w:r>
        <w:rPr>
          <w:rFonts w:ascii="Arial" w:cs="Arial" w:eastAsia="Arial" w:hAnsi="Arial"/>
          <w:color w:val="222222"/>
          <w:sz w:val="22"/>
          <w:szCs w:val="22"/>
        </w:rPr>
        <w:t xml:space="preserve">Per-provider terms must be (i) shown at booking time, (ii) checkbox-confirmed by the client, (iii) included in the confirmation email. This creates an enforceable contract trail.</w:t>
      </w:r>
    </w:p>
    <w:p>
      <w:pPr>
        <w:pStyle w:val="ListParagraph"/>
        <w:numPr>
          <w:ilvl w:val="0"/>
          <w:numId w:val="2"/>
        </w:numPr>
        <w:spacing w:after="80" w:line="280"/>
      </w:pPr>
      <w:r>
        <w:rPr>
          <w:rFonts w:ascii="Arial" w:cs="Arial" w:eastAsia="Arial" w:hAnsi="Arial"/>
          <w:color w:val="222222"/>
          <w:sz w:val="22"/>
          <w:szCs w:val="22"/>
        </w:rPr>
        <w:t xml:space="preserve">Default templates by jurisdiction (US/UK/EU) reduce legal copy-paste errors. Provide a free 'Generate cancellation policy' wizard — most solo providers don't have one.</w:t>
      </w:r>
    </w:p>
    <w:p>
      <w:pPr>
        <w:pStyle w:val="ListParagraph"/>
        <w:numPr>
          <w:ilvl w:val="0"/>
          <w:numId w:val="2"/>
        </w:numPr>
        <w:spacing w:after="80" w:line="280"/>
      </w:pPr>
      <w:r>
        <w:rPr>
          <w:rFonts w:ascii="Arial" w:cs="Arial" w:eastAsia="Arial" w:hAnsi="Arial"/>
          <w:color w:val="222222"/>
          <w:sz w:val="22"/>
          <w:szCs w:val="22"/>
        </w:rPr>
        <w:t xml:space="preserve">Have a real attorney in your launch country review the platform T&amp;Cs once. Free templates from Termly or iubenda are a starting draft, not a final document.</w:t>
      </w:r>
    </w:p>
    <w:p>
      <w:pPr>
        <w:pStyle w:val="Heading3"/>
        <w:spacing w:after="120" w:before="200"/>
      </w:pPr>
      <w:r>
        <w:rPr>
          <w:rFonts w:ascii="Arial" w:cs="Arial" w:eastAsia="Arial" w:hAnsi="Arial"/>
          <w:b/>
          <w:bCs/>
          <w:color w:val="C77F2C"/>
          <w:sz w:val="24"/>
          <w:szCs w:val="24"/>
        </w:rPr>
        <w:t xml:space="preserve">Data Privacy &amp; GDPR</w:t>
      </w:r>
    </w:p>
    <w:p>
      <w:pPr>
        <w:pStyle w:val="ListParagraph"/>
        <w:numPr>
          <w:ilvl w:val="0"/>
          <w:numId w:val="2"/>
        </w:numPr>
        <w:spacing w:after="80" w:line="280"/>
      </w:pPr>
      <w:r>
        <w:rPr>
          <w:rFonts w:ascii="Arial" w:cs="Arial" w:eastAsia="Arial" w:hAnsi="Arial"/>
          <w:color w:val="222222"/>
          <w:sz w:val="22"/>
          <w:szCs w:val="22"/>
        </w:rPr>
        <w:t xml:space="preserve">Map data flows now: who is Controller and who is Processor for client lists? Most likely: SoloHub is Processor for client PII the provider uploads, and Controller for usage telemetry. Document this in your DPA.</w:t>
      </w:r>
    </w:p>
    <w:p>
      <w:pPr>
        <w:pStyle w:val="ListParagraph"/>
        <w:numPr>
          <w:ilvl w:val="0"/>
          <w:numId w:val="2"/>
        </w:numPr>
        <w:spacing w:after="80" w:line="280"/>
      </w:pPr>
      <w:r>
        <w:rPr>
          <w:rFonts w:ascii="Arial" w:cs="Arial" w:eastAsia="Arial" w:hAnsi="Arial"/>
          <w:color w:val="222222"/>
          <w:sz w:val="22"/>
          <w:szCs w:val="22"/>
        </w:rPr>
        <w:t xml:space="preserve">Provide a Data Processing Agreement (DPA) downloadable in-app. EU customers will ask for it within the first week of beta.</w:t>
      </w:r>
    </w:p>
    <w:p>
      <w:pPr>
        <w:pStyle w:val="ListParagraph"/>
        <w:numPr>
          <w:ilvl w:val="0"/>
          <w:numId w:val="2"/>
        </w:numPr>
        <w:spacing w:after="80" w:line="280"/>
      </w:pPr>
      <w:r>
        <w:rPr>
          <w:rFonts w:ascii="Arial" w:cs="Arial" w:eastAsia="Arial" w:hAnsi="Arial"/>
          <w:color w:val="222222"/>
          <w:sz w:val="22"/>
          <w:szCs w:val="22"/>
        </w:rPr>
        <w:t xml:space="preserve">Implement the GDPR rights: access, rectification, erasure, portability, restriction. The 'erase' button must cascade through bookings, payments (Stripe), email logs, and analytics — not just the user row.</w:t>
      </w:r>
    </w:p>
    <w:p>
      <w:pPr>
        <w:pStyle w:val="ListParagraph"/>
        <w:numPr>
          <w:ilvl w:val="0"/>
          <w:numId w:val="2"/>
        </w:numPr>
        <w:spacing w:after="80" w:line="280"/>
      </w:pPr>
      <w:r>
        <w:rPr>
          <w:rFonts w:ascii="Arial" w:cs="Arial" w:eastAsia="Arial" w:hAnsi="Arial"/>
          <w:color w:val="222222"/>
          <w:sz w:val="22"/>
          <w:szCs w:val="22"/>
        </w:rPr>
        <w:t xml:space="preserve">Cookie consent: use a CMP (Cookiebot, OneTrust, Iubenda) on the marketing site and on every public booking page. Default to 'reject all' for non-essential cookies in the EU.</w:t>
      </w:r>
    </w:p>
    <w:p>
      <w:pPr>
        <w:pStyle w:val="ListParagraph"/>
        <w:numPr>
          <w:ilvl w:val="0"/>
          <w:numId w:val="2"/>
        </w:numPr>
        <w:spacing w:after="80" w:line="280"/>
      </w:pPr>
      <w:r>
        <w:rPr>
          <w:rFonts w:ascii="Arial" w:cs="Arial" w:eastAsia="Arial" w:hAnsi="Arial"/>
          <w:color w:val="222222"/>
          <w:sz w:val="22"/>
          <w:szCs w:val="22"/>
        </w:rPr>
        <w:t xml:space="preserve">Sub-processor list public on solohub.com/legal/subprocessors. List every vendor that touches customer data: Stripe, Twilio, SendGrid, your hosting provider, your analytics provider.</w:t>
      </w:r>
    </w:p>
    <w:p>
      <w:pPr>
        <w:pStyle w:val="ListParagraph"/>
        <w:numPr>
          <w:ilvl w:val="0"/>
          <w:numId w:val="2"/>
        </w:numPr>
        <w:spacing w:after="80" w:line="280"/>
      </w:pPr>
      <w:r>
        <w:rPr>
          <w:rFonts w:ascii="Arial" w:cs="Arial" w:eastAsia="Arial" w:hAnsi="Arial"/>
          <w:color w:val="222222"/>
          <w:sz w:val="22"/>
          <w:szCs w:val="22"/>
        </w:rPr>
        <w:t xml:space="preserve">Hosting location matters. EU customers will ask. Pick an EU region (Frankfurt, Amsterdam, Dublin) for EU customer data; document data residency.</w:t>
      </w:r>
    </w:p>
    <w:p>
      <w:pPr>
        <w:pStyle w:val="ListParagraph"/>
        <w:numPr>
          <w:ilvl w:val="0"/>
          <w:numId w:val="2"/>
        </w:numPr>
        <w:spacing w:after="80" w:line="280"/>
      </w:pPr>
      <w:r>
        <w:rPr>
          <w:rFonts w:ascii="Arial" w:cs="Arial" w:eastAsia="Arial" w:hAnsi="Arial"/>
          <w:color w:val="222222"/>
          <w:sz w:val="22"/>
          <w:szCs w:val="22"/>
        </w:rPr>
        <w:t xml:space="preserve">Data retention policy: bookings older than 5 years auto-archive (financial record retention) but are not used in analytics. Communicate retention in the privacy policy.</w:t>
      </w:r>
    </w:p>
    <w:p>
      <w:pPr>
        <w:pStyle w:val="ListParagraph"/>
        <w:numPr>
          <w:ilvl w:val="0"/>
          <w:numId w:val="2"/>
        </w:numPr>
        <w:spacing w:after="80" w:line="280"/>
      </w:pPr>
      <w:r>
        <w:rPr>
          <w:rFonts w:ascii="Arial" w:cs="Arial" w:eastAsia="Arial" w:hAnsi="Arial"/>
          <w:color w:val="222222"/>
          <w:sz w:val="22"/>
          <w:szCs w:val="22"/>
        </w:rPr>
        <w:t xml:space="preserve">Breach response plan written, tested, and including the 72-hour GDPR notification requirement. Most startups discover this requirement during the breach. Don't be one of them.</w:t>
      </w:r>
    </w:p>
    <w:p>
      <w:pPr>
        <w:pStyle w:val="Heading3"/>
        <w:spacing w:after="120" w:before="200"/>
      </w:pPr>
      <w:r>
        <w:rPr>
          <w:rFonts w:ascii="Arial" w:cs="Arial" w:eastAsia="Arial" w:hAnsi="Arial"/>
          <w:b/>
          <w:bCs/>
          <w:color w:val="C77F2C"/>
          <w:sz w:val="24"/>
          <w:szCs w:val="24"/>
        </w:rPr>
        <w:t xml:space="preserve">Other Compliance Watch-List (Not P0 but Plan For)</w:t>
      </w:r>
    </w:p>
    <w:p>
      <w:pPr>
        <w:pStyle w:val="ListParagraph"/>
        <w:numPr>
          <w:ilvl w:val="0"/>
          <w:numId w:val="2"/>
        </w:numPr>
        <w:spacing w:after="80" w:line="280"/>
      </w:pPr>
      <w:r>
        <w:rPr>
          <w:rFonts w:ascii="Arial" w:cs="Arial" w:eastAsia="Arial" w:hAnsi="Arial"/>
          <w:color w:val="222222"/>
          <w:sz w:val="22"/>
          <w:szCs w:val="22"/>
        </w:rPr>
        <w:t xml:space="preserve">PCI DSS: outsourced to Stripe via Stripe Elements / Payment Element. Never let a card number touch your servers. Annual SAQ-A self-assessment is sufficient.</w:t>
      </w:r>
    </w:p>
    <w:p>
      <w:pPr>
        <w:pStyle w:val="ListParagraph"/>
        <w:numPr>
          <w:ilvl w:val="0"/>
          <w:numId w:val="2"/>
        </w:numPr>
        <w:spacing w:after="80" w:line="280"/>
      </w:pPr>
      <w:r>
        <w:rPr>
          <w:rFonts w:ascii="Arial" w:cs="Arial" w:eastAsia="Arial" w:hAnsi="Arial"/>
          <w:color w:val="222222"/>
          <w:sz w:val="22"/>
          <w:szCs w:val="22"/>
        </w:rPr>
        <w:t xml:space="preserve">PSD2 / SCA: handled by Stripe Payment Intents. Verify your integration uses the modern flow.</w:t>
      </w:r>
    </w:p>
    <w:p>
      <w:pPr>
        <w:pStyle w:val="ListParagraph"/>
        <w:numPr>
          <w:ilvl w:val="0"/>
          <w:numId w:val="2"/>
        </w:numPr>
        <w:spacing w:after="80" w:line="280"/>
      </w:pPr>
      <w:r>
        <w:rPr>
          <w:rFonts w:ascii="Arial" w:cs="Arial" w:eastAsia="Arial" w:hAnsi="Arial"/>
          <w:color w:val="222222"/>
          <w:sz w:val="22"/>
          <w:szCs w:val="22"/>
        </w:rPr>
        <w:t xml:space="preserve">CCPA (California): if any traffic comes from California, add 'Do Not Sell My Personal Information' link and right-to-know flow.</w:t>
      </w:r>
    </w:p>
    <w:p>
      <w:pPr>
        <w:pStyle w:val="ListParagraph"/>
        <w:numPr>
          <w:ilvl w:val="0"/>
          <w:numId w:val="2"/>
        </w:numPr>
        <w:spacing w:after="80" w:line="280"/>
      </w:pPr>
      <w:r>
        <w:rPr>
          <w:rFonts w:ascii="Arial" w:cs="Arial" w:eastAsia="Arial" w:hAnsi="Arial"/>
          <w:color w:val="222222"/>
          <w:sz w:val="22"/>
          <w:szCs w:val="22"/>
        </w:rPr>
        <w:t xml:space="preserve">ePrivacy / TCPA (US): explicit opt-in for SMS marketing. Transactional reminders are fine; promotional SMS requires opt-in proof and per-message opt-out.</w:t>
      </w:r>
    </w:p>
    <w:p>
      <w:pPr>
        <w:pStyle w:val="Heading2"/>
        <w:spacing w:after="160" w:before="280"/>
      </w:pPr>
      <w:r>
        <w:rPr>
          <w:rFonts w:ascii="Arial" w:cs="Arial" w:eastAsia="Arial" w:hAnsi="Arial"/>
          <w:b/>
          <w:bCs/>
          <w:color w:val="1E5F8C"/>
          <w:sz w:val="28"/>
          <w:szCs w:val="28"/>
        </w:rPr>
        <w:t xml:space="preserve">1.4 SEO for Auto-Generated Landing &amp; Booking Pages</w:t>
      </w:r>
    </w:p>
    <w:p>
      <w:pPr>
        <w:spacing w:after="120" w:before="0" w:line="300"/>
      </w:pPr>
      <w:r>
        <w:rPr>
          <w:rFonts w:ascii="Arial" w:cs="Arial" w:eastAsia="Arial" w:hAnsi="Arial"/>
          <w:color w:val="222222"/>
          <w:sz w:val="22"/>
          <w:szCs w:val="22"/>
        </w:rPr>
        <w:t xml:space="preserve">Every SoloHub user gets a public page (e.g., solohub.com/sara-cuts or sara-cuts.solohub.com). These pages are the platform's organic-acquisition flywheel for years. Get the foundations right before launch.</w:t>
      </w:r>
    </w:p>
    <w:p>
      <w:pPr>
        <w:pStyle w:val="Heading3"/>
        <w:spacing w:after="120" w:before="200"/>
      </w:pPr>
      <w:r>
        <w:rPr>
          <w:rFonts w:ascii="Arial" w:cs="Arial" w:eastAsia="Arial" w:hAnsi="Arial"/>
          <w:b/>
          <w:bCs/>
          <w:color w:val="C77F2C"/>
          <w:sz w:val="24"/>
          <w:szCs w:val="24"/>
        </w:rPr>
        <w:t xml:space="preserve">Indexability Foundations</w:t>
      </w:r>
    </w:p>
    <w:p>
      <w:pPr>
        <w:pStyle w:val="ListParagraph"/>
        <w:numPr>
          <w:ilvl w:val="0"/>
          <w:numId w:val="2"/>
        </w:numPr>
        <w:spacing w:after="80" w:line="280"/>
      </w:pPr>
      <w:r>
        <w:rPr>
          <w:rFonts w:ascii="Arial" w:cs="Arial" w:eastAsia="Arial" w:hAnsi="Arial"/>
          <w:color w:val="222222"/>
          <w:sz w:val="22"/>
          <w:szCs w:val="22"/>
        </w:rPr>
        <w:t xml:space="preserve">Server-side render every public page (Next.js App Router, SSR or SSG with revalidate). Client-only React for booking pages = no Google index for years.</w:t>
      </w:r>
    </w:p>
    <w:p>
      <w:pPr>
        <w:pStyle w:val="ListParagraph"/>
        <w:numPr>
          <w:ilvl w:val="0"/>
          <w:numId w:val="2"/>
        </w:numPr>
        <w:spacing w:after="80" w:line="280"/>
      </w:pPr>
      <w:r>
        <w:rPr>
          <w:rFonts w:ascii="Arial" w:cs="Arial" w:eastAsia="Arial" w:hAnsi="Arial"/>
          <w:color w:val="222222"/>
          <w:sz w:val="22"/>
          <w:szCs w:val="22"/>
        </w:rPr>
        <w:t xml:space="preserve">One canonical URL per provider. Decide early: subdirectory (solohub.com/sara) or subdomain (sara.solohub.com). Subdirectory concentrates domain authority, subdomain looks more 'pro' to providers. Recommendation: subdirectory at launch, vanity domain mapping as paid feature later.</w:t>
      </w:r>
    </w:p>
    <w:p>
      <w:pPr>
        <w:pStyle w:val="ListParagraph"/>
        <w:numPr>
          <w:ilvl w:val="0"/>
          <w:numId w:val="2"/>
        </w:numPr>
        <w:spacing w:after="80" w:line="280"/>
      </w:pPr>
      <w:r>
        <w:rPr>
          <w:rFonts w:ascii="Arial" w:cs="Arial" w:eastAsia="Arial" w:hAnsi="Arial"/>
          <w:color w:val="222222"/>
          <w:sz w:val="22"/>
          <w:szCs w:val="22"/>
        </w:rPr>
        <w:t xml:space="preserve">Allow custom domains (provider's own .com) via CNAME with automated SSL (Let's Encrypt or Caddy). Set rel=canonical to the custom domain when active so authority flows to the provider, not lost between mirrors.</w:t>
      </w:r>
    </w:p>
    <w:p>
      <w:pPr>
        <w:pStyle w:val="ListParagraph"/>
        <w:numPr>
          <w:ilvl w:val="0"/>
          <w:numId w:val="2"/>
        </w:numPr>
        <w:spacing w:after="80" w:line="280"/>
      </w:pPr>
      <w:r>
        <w:rPr>
          <w:rFonts w:ascii="Arial" w:cs="Arial" w:eastAsia="Arial" w:hAnsi="Arial"/>
          <w:color w:val="222222"/>
          <w:sz w:val="22"/>
          <w:szCs w:val="22"/>
        </w:rPr>
        <w:t xml:space="preserve">Auto-generated sitemap.xml updated on every provider page change. Submit via Google Search Console and Bing Webmaster Tools.</w:t>
      </w:r>
    </w:p>
    <w:p>
      <w:pPr>
        <w:pStyle w:val="ListParagraph"/>
        <w:numPr>
          <w:ilvl w:val="0"/>
          <w:numId w:val="2"/>
        </w:numPr>
        <w:spacing w:after="80" w:line="280"/>
      </w:pPr>
      <w:r>
        <w:rPr>
          <w:rFonts w:ascii="Arial" w:cs="Arial" w:eastAsia="Arial" w:hAnsi="Arial"/>
          <w:color w:val="222222"/>
          <w:sz w:val="22"/>
          <w:szCs w:val="22"/>
        </w:rPr>
        <w:t xml:space="preserve">robots.txt allows public booking pages, blocks /api/, /dashboard/, /admin/.</w:t>
      </w:r>
    </w:p>
    <w:p>
      <w:pPr>
        <w:pStyle w:val="Heading3"/>
        <w:spacing w:after="120" w:before="200"/>
      </w:pPr>
      <w:r>
        <w:rPr>
          <w:rFonts w:ascii="Arial" w:cs="Arial" w:eastAsia="Arial" w:hAnsi="Arial"/>
          <w:b/>
          <w:bCs/>
          <w:color w:val="C77F2C"/>
          <w:sz w:val="24"/>
          <w:szCs w:val="24"/>
        </w:rPr>
        <w:t xml:space="preserve">On-Page SEO (Per-Provider Pages)</w:t>
      </w:r>
    </w:p>
    <w:p>
      <w:pPr>
        <w:pStyle w:val="ListParagraph"/>
        <w:numPr>
          <w:ilvl w:val="0"/>
          <w:numId w:val="2"/>
        </w:numPr>
        <w:spacing w:after="80" w:line="280"/>
      </w:pPr>
      <w:r>
        <w:rPr>
          <w:rFonts w:ascii="Arial" w:cs="Arial" w:eastAsia="Arial" w:hAnsi="Arial"/>
          <w:color w:val="222222"/>
          <w:sz w:val="22"/>
          <w:szCs w:val="22"/>
        </w:rPr>
        <w:t xml:space="preserve">Unique &lt;title&gt; and &lt;meta description&gt; per provider, derived from service + location ('Sara Cuts — Hair Stylist in Amsterdam Oud-Zuid | Book Online'). Truncate at 60/155 chars; preview in the editor.</w:t>
      </w:r>
    </w:p>
    <w:p>
      <w:pPr>
        <w:pStyle w:val="ListParagraph"/>
        <w:numPr>
          <w:ilvl w:val="0"/>
          <w:numId w:val="2"/>
        </w:numPr>
        <w:spacing w:after="80" w:line="280"/>
      </w:pPr>
      <w:r>
        <w:rPr>
          <w:rFonts w:ascii="Arial" w:cs="Arial" w:eastAsia="Arial" w:hAnsi="Arial"/>
          <w:color w:val="222222"/>
          <w:sz w:val="22"/>
          <w:szCs w:val="22"/>
        </w:rPr>
        <w:t xml:space="preserve">Schema.org structured data: LocalBusiness, Service, Person, Offer, AggregateRating (when reviews exist). Test with Google's Rich Results Test before shipping.</w:t>
      </w:r>
    </w:p>
    <w:p>
      <w:pPr>
        <w:pStyle w:val="ListParagraph"/>
        <w:numPr>
          <w:ilvl w:val="0"/>
          <w:numId w:val="2"/>
        </w:numPr>
        <w:spacing w:after="80" w:line="280"/>
      </w:pPr>
      <w:r>
        <w:rPr>
          <w:rFonts w:ascii="Arial" w:cs="Arial" w:eastAsia="Arial" w:hAnsi="Arial"/>
          <w:color w:val="222222"/>
          <w:sz w:val="22"/>
          <w:szCs w:val="22"/>
        </w:rPr>
        <w:t xml:space="preserve">OpenGraph and Twitter Card tags so a shared link shows hero photo, name, and CTA — this drives 2-3x more inbound clicks from social.</w:t>
      </w:r>
    </w:p>
    <w:p>
      <w:pPr>
        <w:pStyle w:val="ListParagraph"/>
        <w:numPr>
          <w:ilvl w:val="0"/>
          <w:numId w:val="2"/>
        </w:numPr>
        <w:spacing w:after="80" w:line="280"/>
      </w:pPr>
      <w:r>
        <w:rPr>
          <w:rFonts w:ascii="Arial" w:cs="Arial" w:eastAsia="Arial" w:hAnsi="Arial"/>
          <w:color w:val="222222"/>
          <w:sz w:val="22"/>
          <w:szCs w:val="22"/>
        </w:rPr>
        <w:t xml:space="preserve">Image optimization: WebP/AVIF, responsive srcset, lazy loading below the fold, explicit width/height to prevent CLS.</w:t>
      </w:r>
    </w:p>
    <w:p>
      <w:pPr>
        <w:pStyle w:val="ListParagraph"/>
        <w:numPr>
          <w:ilvl w:val="0"/>
          <w:numId w:val="2"/>
        </w:numPr>
        <w:spacing w:after="80" w:line="280"/>
      </w:pPr>
      <w:r>
        <w:rPr>
          <w:rFonts w:ascii="Arial" w:cs="Arial" w:eastAsia="Arial" w:hAnsi="Arial"/>
          <w:color w:val="222222"/>
          <w:sz w:val="22"/>
          <w:szCs w:val="22"/>
        </w:rPr>
        <w:t xml:space="preserve">Core Web Vitals budgets enforced in CI: LCP &lt; 2.5s, CLS &lt; 0.1, INP &lt; 200ms. Fail the build if budget exceeds threshold.</w:t>
      </w:r>
    </w:p>
    <w:p>
      <w:pPr>
        <w:pStyle w:val="ListParagraph"/>
        <w:numPr>
          <w:ilvl w:val="0"/>
          <w:numId w:val="2"/>
        </w:numPr>
        <w:spacing w:after="80" w:line="280"/>
      </w:pPr>
      <w:r>
        <w:rPr>
          <w:rFonts w:ascii="Arial" w:cs="Arial" w:eastAsia="Arial" w:hAnsi="Arial"/>
          <w:color w:val="222222"/>
          <w:sz w:val="22"/>
          <w:szCs w:val="22"/>
        </w:rPr>
        <w:t xml:space="preserve">Editable H1 and meta fields per provider, with sensible defaults. Most solo users will never edit these — defaults must already be SEO-quality.</w:t>
      </w:r>
    </w:p>
    <w:p>
      <w:pPr>
        <w:pStyle w:val="Heading3"/>
        <w:spacing w:after="120" w:before="200"/>
      </w:pPr>
      <w:r>
        <w:rPr>
          <w:rFonts w:ascii="Arial" w:cs="Arial" w:eastAsia="Arial" w:hAnsi="Arial"/>
          <w:b/>
          <w:bCs/>
          <w:color w:val="C77F2C"/>
          <w:sz w:val="24"/>
          <w:szCs w:val="24"/>
        </w:rPr>
        <w:t xml:space="preserve">Local SEO Hooks</w:t>
      </w:r>
    </w:p>
    <w:p>
      <w:pPr>
        <w:pStyle w:val="ListParagraph"/>
        <w:numPr>
          <w:ilvl w:val="0"/>
          <w:numId w:val="2"/>
        </w:numPr>
        <w:spacing w:after="80" w:line="280"/>
      </w:pPr>
      <w:r>
        <w:rPr>
          <w:rFonts w:ascii="Arial" w:cs="Arial" w:eastAsia="Arial" w:hAnsi="Arial"/>
          <w:color w:val="222222"/>
          <w:sz w:val="22"/>
          <w:szCs w:val="22"/>
        </w:rPr>
        <w:t xml:space="preserve">Capture city + neighbourhood in the provider profile. Render in title, H1, and structured data. Local long-tail ('hair stylist amsterdam de pijp') converts at 8-12x branded keyword rates.</w:t>
      </w:r>
    </w:p>
    <w:p>
      <w:pPr>
        <w:pStyle w:val="ListParagraph"/>
        <w:numPr>
          <w:ilvl w:val="0"/>
          <w:numId w:val="2"/>
        </w:numPr>
        <w:spacing w:after="80" w:line="280"/>
      </w:pPr>
      <w:r>
        <w:rPr>
          <w:rFonts w:ascii="Arial" w:cs="Arial" w:eastAsia="Arial" w:hAnsi="Arial"/>
          <w:color w:val="222222"/>
          <w:sz w:val="22"/>
          <w:szCs w:val="22"/>
        </w:rPr>
        <w:t xml:space="preserve">Auto-generate /city/service hub pages once you have 10+ providers in a city. These outrank individual provider pages and feed traffic down.</w:t>
      </w:r>
    </w:p>
    <w:p>
      <w:pPr>
        <w:pStyle w:val="ListParagraph"/>
        <w:numPr>
          <w:ilvl w:val="0"/>
          <w:numId w:val="2"/>
        </w:numPr>
        <w:spacing w:after="80" w:line="280"/>
      </w:pPr>
      <w:r>
        <w:rPr>
          <w:rFonts w:ascii="Arial" w:cs="Arial" w:eastAsia="Arial" w:hAnsi="Arial"/>
          <w:color w:val="222222"/>
          <w:sz w:val="22"/>
          <w:szCs w:val="22"/>
        </w:rPr>
        <w:t xml:space="preserve">Encourage Google Business Profile claim — embed a one-click guide in the provider dashboard. SoloHub can't replace GBP, but GBP + SoloHub booking link beats GBP alone.</w:t>
      </w:r>
    </w:p>
    <w:p>
      <w:pPr>
        <w:pStyle w:val="Heading3"/>
        <w:spacing w:after="120" w:before="200"/>
      </w:pPr>
      <w:r>
        <w:rPr>
          <w:rFonts w:ascii="Arial" w:cs="Arial" w:eastAsia="Arial" w:hAnsi="Arial"/>
          <w:b/>
          <w:bCs/>
          <w:color w:val="C77F2C"/>
          <w:sz w:val="24"/>
          <w:szCs w:val="24"/>
        </w:rPr>
        <w:t xml:space="preserve">Acceptance Tests Before Launch (SEO)</w:t>
      </w:r>
    </w:p>
    <w:p>
      <w:pPr>
        <w:pStyle w:val="ListParagraph"/>
        <w:numPr>
          <w:ilvl w:val="0"/>
          <w:numId w:val="3"/>
        </w:numPr>
        <w:spacing w:after="80" w:line="280"/>
      </w:pPr>
      <w:r>
        <w:rPr>
          <w:rFonts w:ascii="Arial" w:cs="Arial" w:eastAsia="Arial" w:hAnsi="Arial"/>
          <w:color w:val="222222"/>
          <w:sz w:val="22"/>
          <w:szCs w:val="22"/>
        </w:rPr>
        <w:t xml:space="preserve">Crawl test: Screaming Frog or Sitebulb crawl of 50 sample provider pages. No client-side-only content, no orphan pages, no broken links, all canonicals self-referential.</w:t>
      </w:r>
    </w:p>
    <w:p>
      <w:pPr>
        <w:pStyle w:val="ListParagraph"/>
        <w:numPr>
          <w:ilvl w:val="0"/>
          <w:numId w:val="3"/>
        </w:numPr>
        <w:spacing w:after="80" w:line="280"/>
      </w:pPr>
      <w:r>
        <w:rPr>
          <w:rFonts w:ascii="Arial" w:cs="Arial" w:eastAsia="Arial" w:hAnsi="Arial"/>
          <w:color w:val="222222"/>
          <w:sz w:val="22"/>
          <w:szCs w:val="22"/>
        </w:rPr>
        <w:t xml:space="preserve">Lighthouse score ≥ 90 on Performance, Accessibility, Best Practices, SEO for the median provider page.</w:t>
      </w:r>
    </w:p>
    <w:p>
      <w:pPr>
        <w:pStyle w:val="ListParagraph"/>
        <w:numPr>
          <w:ilvl w:val="0"/>
          <w:numId w:val="3"/>
        </w:numPr>
        <w:spacing w:after="80" w:line="280"/>
      </w:pPr>
      <w:r>
        <w:rPr>
          <w:rFonts w:ascii="Arial" w:cs="Arial" w:eastAsia="Arial" w:hAnsi="Arial"/>
          <w:color w:val="222222"/>
          <w:sz w:val="22"/>
          <w:szCs w:val="22"/>
        </w:rPr>
        <w:t xml:space="preserve">Indexability: 'site:solohub.com' returns provider pages in Google within 7 days of submission for at least 5 seed providers.</w:t>
      </w:r>
    </w:p>
    <w:p>
      <w:pPr>
        <w:pStyle w:val="Heading2"/>
        <w:spacing w:after="160" w:before="280"/>
      </w:pPr>
      <w:r>
        <w:rPr>
          <w:rFonts w:ascii="Arial" w:cs="Arial" w:eastAsia="Arial" w:hAnsi="Arial"/>
          <w:b/>
          <w:bCs/>
          <w:color w:val="1E5F8C"/>
          <w:sz w:val="28"/>
          <w:szCs w:val="28"/>
        </w:rPr>
        <w:t xml:space="preserve">1.5 Critical Path Summary Matrix</w:t>
      </w:r>
    </w:p>
    <w:p>
      <w:pPr>
        <w:spacing w:after="120" w:before="0" w:line="300"/>
      </w:pPr>
      <w:r>
        <w:rPr>
          <w:rFonts w:ascii="Arial" w:cs="Arial" w:eastAsia="Arial" w:hAnsi="Arial"/>
          <w:color w:val="222222"/>
          <w:sz w:val="22"/>
          <w:szCs w:val="22"/>
        </w:rPr>
        <w:t xml:space="preserve">Below: minimum build before any real money or real client data flows. Reorder by team capacity, not by reading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1300"/>
        <w:gridCol w:w="1000"/>
      </w:tblGrid>
      <w:tr>
        <w:tc>
          <w:tcPr>
            <w:tcW w:type="dxa" w:w="22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Area</w:t>
            </w:r>
          </w:p>
        </w:tc>
        <w:tc>
          <w:tcPr>
            <w:tcW w:type="dxa" w:w="48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Required Capability</w:t>
            </w:r>
          </w:p>
        </w:tc>
        <w:tc>
          <w:tcPr>
            <w:tcW w:type="dxa" w:w="13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Priority</w:t>
            </w:r>
          </w:p>
        </w:tc>
        <w:tc>
          <w:tcPr>
            <w:tcW w:type="dxa" w:w="10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Owner</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Booking Integrity</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Database-level exclusion constraint, UTC storage, IANA TZ, DST tests, external-calendar webhook sync</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Booking Integrity</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Buffers, lead time, max-advance-booking, blackout dates</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Reminders</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Queue-based scheduling with idempotency, T-24h and T-1h, quiet hours</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Reminders</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SPF/DKIM/DMARC, Twilio compliant senders per country</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Ops</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Payments</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Stripe Connect Express, Payment Intents, signed webhooks, reconciliation cron</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Payments</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Refund flow, dispute handling, payout schedule visible</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Trust</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Platform T&amp;Cs (lawyer-reviewed), per-provider cancellation policy enforcement</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Legal</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Trust</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Privacy Policy, DPA template, Cookie CMP, sub-processor list</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Legal</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Trust</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GDPR rights flows: access, erase, portability, breach plan</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Eng+Legal</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SEO</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SSR provider pages, sitemap, schema.org, canonical, OG, Lighthouse ≥ 90</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Observability</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Error tracking (Sentry), uptime (Better Stack), structured logs, on-call</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B22222"/>
                <w:sz w:val="20"/>
                <w:szCs w:val="20"/>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Eng</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Support</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Help docs, in-app chat, status page (status.solohub.com)</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C77F2C"/>
                <w:sz w:val="20"/>
                <w:szCs w:val="20"/>
              </w:rPr>
              <w:t xml:space="preserve">P1</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Ops</w:t>
            </w:r>
          </w:p>
        </w:tc>
      </w:tr>
    </w:tbl>
    <w:p>
      <w:r>
        <w:br w:type="page"/>
      </w:r>
    </w:p>
    <w:p>
      <w:pPr>
        <w:pStyle w:val="Heading1"/>
        <w:spacing w:after="200" w:before="360"/>
      </w:pPr>
      <w:r>
        <w:rPr>
          <w:rFonts w:ascii="Arial" w:cs="Arial" w:eastAsia="Arial" w:hAnsi="Arial"/>
          <w:b/>
          <w:bCs/>
          <w:color w:val="0B2545"/>
          <w:sz w:val="36"/>
          <w:szCs w:val="36"/>
        </w:rPr>
        <w:t xml:space="preserve">Part 2 — Business Plan &amp; 12-Month Roadmap</w:t>
      </w:r>
    </w:p>
    <w:p>
      <w:pPr>
        <w:pStyle w:val="Heading2"/>
        <w:spacing w:after="160" w:before="280"/>
      </w:pPr>
      <w:r>
        <w:rPr>
          <w:rFonts w:ascii="Arial" w:cs="Arial" w:eastAsia="Arial" w:hAnsi="Arial"/>
          <w:b/>
          <w:bCs/>
          <w:color w:val="1E5F8C"/>
          <w:sz w:val="28"/>
          <w:szCs w:val="28"/>
        </w:rPr>
        <w:t xml:space="preserve">2.1 Monetization: Flat Fee vs. Commission vs. Hybrid</w:t>
      </w:r>
    </w:p>
    <w:p>
      <w:pPr>
        <w:spacing w:after="120" w:before="0" w:line="300"/>
      </w:pPr>
      <w:r>
        <w:rPr>
          <w:rFonts w:ascii="Arial" w:cs="Arial" w:eastAsia="Arial" w:hAnsi="Arial"/>
          <w:color w:val="222222"/>
          <w:sz w:val="22"/>
          <w:szCs w:val="22"/>
        </w:rPr>
        <w:t xml:space="preserve">This is the most consequential decision in the next 90 days. Switching models later is expensive in trust and in churn. Below is an honest pros/cons assessment, then a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
            </w:r>
          </w:p>
        </w:tc>
        <w:tc>
          <w:tcPr>
            <w:tcW w:type="dxa" w:w="348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Flat Monthly Fee</w:t>
            </w:r>
          </w:p>
        </w:tc>
        <w:tc>
          <w:tcPr>
            <w:tcW w:type="dxa" w:w="348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Commission per Booking</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Pros</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Predictable MRR; clean SaaS unit economics; investors price it like a SaaS company; provider keeps 100% of bookings, building trust.</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Aligned with platform value: SoloHub only earns when the provider earns; near-zero friction to sign up; scales with provider success; easy to undercut competitors with free trials.</w:t>
            </w:r>
          </w:p>
        </w:tc>
      </w:tr>
      <w:tr>
        <w:tc>
          <w:tcPr>
            <w:tcW w:type="dxa" w:w="24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Cons</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Solo providers churn fast in slow months ('I didn't book any clients in February, why am I paying €19?'); price ceiling is low; competing on flat-fee SaaS is a feature war.</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Providers feel taxed on every job — emotional friction even at 1-2%; harder to forecast revenue; if commission is on the gross booking it can feel large in absolute terms (€2 on a €100 service = real money to a solo).</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Best for</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Power users with steady volume; markets with strong willingness-to-pay (US, UK, NL, DACH).</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New users with low confidence in volume; markets where flat fees feel punitive; emerging-market expansion.</w:t>
            </w:r>
          </w:p>
        </w:tc>
      </w:tr>
      <w:tr>
        <w:tc>
          <w:tcPr>
            <w:tcW w:type="dxa" w:w="24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Risk</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Churn during slow seasons; gym/seasonal verticals especially.</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Cannibalization by external payment links (provider sends Stripe link off-platform to dodge commission). You must make on-platform payment unmissably better.</w:t>
            </w:r>
          </w:p>
        </w:tc>
      </w:tr>
    </w:tbl>
    <w:p>
      <w:pPr>
        <w:spacing w:after="120" w:before="0" w:line="300"/>
      </w:pPr>
      <w:r>
        <w:rPr>
          <w:rFonts w:ascii="Arial" w:cs="Arial" w:eastAsia="Arial" w:hAnsi="Arial"/>
          <w:color w:val="222222"/>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2"/>
              <w:left w:val="single" w:color="0B2545" w:sz="24"/>
              <w:bottom w:val="single" w:color="0B2545" w:sz="4"/>
              <w:right w:val="single" w:color="0B2545" w:sz="4"/>
            </w:tcBorders>
            <w:shd w:fill="F1F4F8" w:val="clear"/>
            <w:tcMar>
              <w:top w:type="dxa" w:w="160"/>
              <w:left w:type="dxa" w:w="200"/>
              <w:bottom w:type="dxa" w:w="160"/>
              <w:right w:type="dxa" w:w="160"/>
            </w:tcMar>
          </w:tcPr>
          <w:p>
            <w:pPr>
              <w:spacing w:after="80"/>
            </w:pPr>
            <w:r>
              <w:rPr>
                <w:rFonts w:ascii="Arial" w:cs="Arial" w:eastAsia="Arial" w:hAnsi="Arial"/>
                <w:b/>
                <w:bCs/>
                <w:color w:val="0B2545"/>
                <w:sz w:val="22"/>
                <w:szCs w:val="22"/>
              </w:rPr>
              <w:t xml:space="preserve">Recommendation: Hybrid Model</w:t>
            </w:r>
          </w:p>
          <w:p>
            <w:pPr>
              <w:spacing w:after="60" w:line="280"/>
            </w:pPr>
            <w:r>
              <w:rPr>
                <w:rFonts w:ascii="Arial" w:cs="Arial" w:eastAsia="Arial" w:hAnsi="Arial"/>
                <w:color w:val="222222"/>
                <w:sz w:val="21"/>
                <w:szCs w:val="21"/>
              </w:rPr>
              <w:t xml:space="preserve">1. Free tier ('Solo Free'): up to 20 bookings/month, SoloHub branding on the booking page, no SMS reminders, no payment processing.</w:t>
            </w:r>
          </w:p>
          <w:p>
            <w:pPr>
              <w:spacing w:after="60" w:line="280"/>
            </w:pPr>
            <w:r>
              <w:rPr>
                <w:rFonts w:ascii="Arial" w:cs="Arial" w:eastAsia="Arial" w:hAnsi="Arial"/>
                <w:color w:val="222222"/>
                <w:sz w:val="21"/>
                <w:szCs w:val="21"/>
              </w:rPr>
              <w:t xml:space="preserve">2. Paid tier ('Solo Pro') at €15-19/month or $19/month: unlimited bookings, removes branding, SMS reminders included, custom domain, Stripe Connect with 1% platform fee on payments processed via SoloHub (capped at €3 per transaction).</w:t>
            </w:r>
          </w:p>
          <w:p>
            <w:pPr>
              <w:spacing w:after="60" w:line="280"/>
            </w:pPr>
            <w:r>
              <w:rPr>
                <w:rFonts w:ascii="Arial" w:cs="Arial" w:eastAsia="Arial" w:hAnsi="Arial"/>
                <w:color w:val="222222"/>
                <w:sz w:val="21"/>
                <w:szCs w:val="21"/>
              </w:rPr>
              <w:t xml:space="preserve">3. The 1% capped commission keeps interests aligned without taxing big tickets (€500 wedding photographer pays €3, not €5). The flat fee covers infrastructure (SMS isn't free).</w:t>
            </w:r>
          </w:p>
        </w:tc>
      </w:tr>
    </w:tbl>
    <w:p>
      <w:pPr>
        <w:spacing w:after="120" w:before="0" w:line="300"/>
      </w:pPr>
      <w:r>
        <w:rPr>
          <w:rFonts w:ascii="Arial" w:cs="Arial" w:eastAsia="Arial" w:hAnsi="Arial"/>
          <w:color w:val="222222"/>
          <w:sz w:val="22"/>
          <w:szCs w:val="22"/>
        </w:rPr>
        <w:t xml:space="preserve">Why this works: the free tier kills the activation cost objection, the flat fee gives you a predictable MRR investors can underwrite, and the capped commission makes SoloHub the cheaper choice than any standalone Stripe + scheduling combo for the median solo provider. Caps prevent the 'I'm being taxed on my big bookings' rebellion that killed adoption for early-stage Square Appointments and others.</w:t>
      </w:r>
    </w:p>
    <w:p>
      <w:pPr>
        <w:pStyle w:val="Heading2"/>
        <w:spacing w:after="160" w:before="280"/>
      </w:pPr>
      <w:r>
        <w:rPr>
          <w:rFonts w:ascii="Arial" w:cs="Arial" w:eastAsia="Arial" w:hAnsi="Arial"/>
          <w:b/>
          <w:bCs/>
          <w:color w:val="1E5F8C"/>
          <w:sz w:val="28"/>
          <w:szCs w:val="28"/>
        </w:rPr>
        <w:t xml:space="preserve">2.2 The 'Solo' Focus: Optimizing for One-Person Operators</w:t>
      </w:r>
    </w:p>
    <w:p>
      <w:pPr>
        <w:spacing w:after="120" w:before="0" w:line="300"/>
      </w:pPr>
      <w:r>
        <w:rPr>
          <w:rFonts w:ascii="Arial" w:cs="Arial" w:eastAsia="Arial" w:hAnsi="Arial"/>
          <w:color w:val="222222"/>
          <w:sz w:val="22"/>
          <w:szCs w:val="22"/>
        </w:rPr>
        <w:t xml:space="preserve">'Solo' is not 'small business minus features'. It's a different operating context. Solo providers run their business between clients — in the car, on a phone, with hands wet. Build for that.</w:t>
      </w:r>
    </w:p>
    <w:p>
      <w:pPr>
        <w:pStyle w:val="Heading3"/>
        <w:spacing w:after="120" w:before="200"/>
      </w:pPr>
      <w:r>
        <w:rPr>
          <w:rFonts w:ascii="Arial" w:cs="Arial" w:eastAsia="Arial" w:hAnsi="Arial"/>
          <w:b/>
          <w:bCs/>
          <w:color w:val="C77F2C"/>
          <w:sz w:val="24"/>
          <w:szCs w:val="24"/>
        </w:rPr>
        <w:t xml:space="preserve">Mobile-First Management (Not Mobile-Friendly)</w:t>
      </w:r>
    </w:p>
    <w:p>
      <w:pPr>
        <w:pStyle w:val="ListParagraph"/>
        <w:numPr>
          <w:ilvl w:val="0"/>
          <w:numId w:val="2"/>
        </w:numPr>
        <w:spacing w:after="80" w:line="280"/>
      </w:pPr>
      <w:r>
        <w:rPr>
          <w:rFonts w:ascii="Arial" w:cs="Arial" w:eastAsia="Arial" w:hAnsi="Arial"/>
          <w:color w:val="222222"/>
          <w:sz w:val="22"/>
          <w:szCs w:val="22"/>
        </w:rPr>
        <w:t xml:space="preserve">The provider's primary surface is a Progressive Web App (PWA) installable from iOS Safari and Android Chrome. Native apps come later if push retention demands it.</w:t>
      </w:r>
    </w:p>
    <w:p>
      <w:pPr>
        <w:pStyle w:val="ListParagraph"/>
        <w:numPr>
          <w:ilvl w:val="0"/>
          <w:numId w:val="2"/>
        </w:numPr>
        <w:spacing w:after="80" w:line="280"/>
      </w:pPr>
      <w:r>
        <w:rPr>
          <w:rFonts w:ascii="Arial" w:cs="Arial" w:eastAsia="Arial" w:hAnsi="Arial"/>
          <w:color w:val="222222"/>
          <w:sz w:val="22"/>
          <w:szCs w:val="22"/>
        </w:rPr>
        <w:t xml:space="preserve">Three-tap rules: any common action (confirm, reschedule, mark complete, refund) must be reachable in three taps from the home screen.</w:t>
      </w:r>
    </w:p>
    <w:p>
      <w:pPr>
        <w:pStyle w:val="ListParagraph"/>
        <w:numPr>
          <w:ilvl w:val="0"/>
          <w:numId w:val="2"/>
        </w:numPr>
        <w:spacing w:after="80" w:line="280"/>
      </w:pPr>
      <w:r>
        <w:rPr>
          <w:rFonts w:ascii="Arial" w:cs="Arial" w:eastAsia="Arial" w:hAnsi="Arial"/>
          <w:color w:val="222222"/>
          <w:sz w:val="22"/>
          <w:szCs w:val="22"/>
        </w:rPr>
        <w:t xml:space="preserve">Offline-first for the daily agenda. The provider may be in a basement salon with bad signal. Cache today + tomorrow locally; sync on reconnect.</w:t>
      </w:r>
    </w:p>
    <w:p>
      <w:pPr>
        <w:pStyle w:val="ListParagraph"/>
        <w:numPr>
          <w:ilvl w:val="0"/>
          <w:numId w:val="2"/>
        </w:numPr>
        <w:spacing w:after="80" w:line="280"/>
      </w:pPr>
      <w:r>
        <w:rPr>
          <w:rFonts w:ascii="Arial" w:cs="Arial" w:eastAsia="Arial" w:hAnsi="Arial"/>
          <w:color w:val="222222"/>
          <w:sz w:val="22"/>
          <w:szCs w:val="22"/>
        </w:rPr>
        <w:t xml:space="preserve">Push notifications for new bookings and cancellations. Web Push on Android, APNs via PWA on iOS 16.4+, fall back to SMS for older iOS.</w:t>
      </w:r>
    </w:p>
    <w:p>
      <w:pPr>
        <w:pStyle w:val="ListParagraph"/>
        <w:numPr>
          <w:ilvl w:val="0"/>
          <w:numId w:val="2"/>
        </w:numPr>
        <w:spacing w:after="80" w:line="280"/>
      </w:pPr>
      <w:r>
        <w:rPr>
          <w:rFonts w:ascii="Arial" w:cs="Arial" w:eastAsia="Arial" w:hAnsi="Arial"/>
          <w:color w:val="222222"/>
          <w:sz w:val="22"/>
          <w:szCs w:val="22"/>
        </w:rPr>
        <w:t xml:space="preserve">Voice/dictation everywhere — solo operators talk to their phone with shampoo-covered hands. Use the native speech-to-text APIs in the notes field.</w:t>
      </w:r>
    </w:p>
    <w:p>
      <w:pPr>
        <w:pStyle w:val="Heading3"/>
        <w:spacing w:after="120" w:before="200"/>
      </w:pPr>
      <w:r>
        <w:rPr>
          <w:rFonts w:ascii="Arial" w:cs="Arial" w:eastAsia="Arial" w:hAnsi="Arial"/>
          <w:b/>
          <w:bCs/>
          <w:color w:val="C77F2C"/>
          <w:sz w:val="24"/>
          <w:szCs w:val="24"/>
        </w:rPr>
        <w:t xml:space="preserve">Operational Simplicity</w:t>
      </w:r>
    </w:p>
    <w:p>
      <w:pPr>
        <w:pStyle w:val="ListParagraph"/>
        <w:numPr>
          <w:ilvl w:val="0"/>
          <w:numId w:val="2"/>
        </w:numPr>
        <w:spacing w:after="80" w:line="280"/>
      </w:pPr>
      <w:r>
        <w:rPr>
          <w:rFonts w:ascii="Arial" w:cs="Arial" w:eastAsia="Arial" w:hAnsi="Arial"/>
          <w:color w:val="222222"/>
          <w:sz w:val="22"/>
          <w:szCs w:val="22"/>
        </w:rPr>
        <w:t xml:space="preserve">One-tap setup: name + service + price + photo → live booking page in under 90 seconds. Anything more and you lose half the funnel.</w:t>
      </w:r>
    </w:p>
    <w:p>
      <w:pPr>
        <w:pStyle w:val="ListParagraph"/>
        <w:numPr>
          <w:ilvl w:val="0"/>
          <w:numId w:val="2"/>
        </w:numPr>
        <w:spacing w:after="80" w:line="280"/>
      </w:pPr>
      <w:r>
        <w:rPr>
          <w:rFonts w:ascii="Arial" w:cs="Arial" w:eastAsia="Arial" w:hAnsi="Arial"/>
          <w:color w:val="222222"/>
          <w:sz w:val="22"/>
          <w:szCs w:val="22"/>
        </w:rPr>
        <w:t xml:space="preserve">'Smart defaults': default service durations, buffers, working hours derived from the niche they pick at signup. They can edit later.</w:t>
      </w:r>
    </w:p>
    <w:p>
      <w:pPr>
        <w:pStyle w:val="ListParagraph"/>
        <w:numPr>
          <w:ilvl w:val="0"/>
          <w:numId w:val="2"/>
        </w:numPr>
        <w:spacing w:after="80" w:line="280"/>
      </w:pPr>
      <w:r>
        <w:rPr>
          <w:rFonts w:ascii="Arial" w:cs="Arial" w:eastAsia="Arial" w:hAnsi="Arial"/>
          <w:color w:val="222222"/>
          <w:sz w:val="22"/>
          <w:szCs w:val="22"/>
        </w:rPr>
        <w:t xml:space="preserve">AI-assisted booking page copy: provider types '5 things I do', SoloHub generates the headline, services, and FAQ in their voice. Edit before publish.</w:t>
      </w:r>
    </w:p>
    <w:p>
      <w:pPr>
        <w:pStyle w:val="ListParagraph"/>
        <w:numPr>
          <w:ilvl w:val="0"/>
          <w:numId w:val="2"/>
        </w:numPr>
        <w:spacing w:after="80" w:line="280"/>
      </w:pPr>
      <w:r>
        <w:rPr>
          <w:rFonts w:ascii="Arial" w:cs="Arial" w:eastAsia="Arial" w:hAnsi="Arial"/>
          <w:color w:val="222222"/>
          <w:sz w:val="22"/>
          <w:szCs w:val="22"/>
        </w:rPr>
        <w:t xml:space="preserve">End-of-day digest at 18:00 local: today's revenue, tomorrow's bookings, anything needing attention. One screen, no analytics tab to open.</w:t>
      </w:r>
    </w:p>
    <w:p>
      <w:pPr>
        <w:pStyle w:val="Heading3"/>
        <w:spacing w:after="120" w:before="200"/>
      </w:pPr>
      <w:r>
        <w:rPr>
          <w:rFonts w:ascii="Arial" w:cs="Arial" w:eastAsia="Arial" w:hAnsi="Arial"/>
          <w:b/>
          <w:bCs/>
          <w:color w:val="C77F2C"/>
          <w:sz w:val="24"/>
          <w:szCs w:val="24"/>
        </w:rPr>
        <w:t xml:space="preserve">The Invisible CRM</w:t>
      </w:r>
    </w:p>
    <w:p>
      <w:pPr>
        <w:pStyle w:val="ListParagraph"/>
        <w:numPr>
          <w:ilvl w:val="0"/>
          <w:numId w:val="2"/>
        </w:numPr>
        <w:spacing w:after="80" w:line="280"/>
      </w:pPr>
      <w:r>
        <w:rPr>
          <w:rFonts w:ascii="Arial" w:cs="Arial" w:eastAsia="Arial" w:hAnsi="Arial"/>
          <w:color w:val="222222"/>
          <w:sz w:val="22"/>
          <w:szCs w:val="22"/>
        </w:rPr>
        <w:t xml:space="preserve">A solo provider does not manage a CRM. They remember Sarah's allergy and Tom's son's name. Surface that information automatically when the next booking lands — last visit date, last service, last note. Don't build a CRM tab; build a contextual sidebar that appears on the booking detail.</w:t>
      </w:r>
    </w:p>
    <w:p>
      <w:pPr>
        <w:pStyle w:val="ListParagraph"/>
        <w:numPr>
          <w:ilvl w:val="0"/>
          <w:numId w:val="2"/>
        </w:numPr>
        <w:spacing w:after="80" w:line="280"/>
      </w:pPr>
      <w:r>
        <w:rPr>
          <w:rFonts w:ascii="Arial" w:cs="Arial" w:eastAsia="Arial" w:hAnsi="Arial"/>
          <w:color w:val="222222"/>
          <w:sz w:val="22"/>
          <w:szCs w:val="22"/>
        </w:rPr>
        <w:t xml:space="preserve">Birthday and 'haven't seen in 60 days' nudges via SMS. One-tap send. This single feature moves repeat-booking rate by double-digit percentages in salon SaaS benchmarks.</w:t>
      </w:r>
    </w:p>
    <w:p>
      <w:pPr>
        <w:pStyle w:val="Heading2"/>
        <w:spacing w:after="160" w:before="280"/>
      </w:pPr>
      <w:r>
        <w:rPr>
          <w:rFonts w:ascii="Arial" w:cs="Arial" w:eastAsia="Arial" w:hAnsi="Arial"/>
          <w:b/>
          <w:bCs/>
          <w:color w:val="1E5F8C"/>
          <w:sz w:val="28"/>
          <w:szCs w:val="28"/>
        </w:rPr>
        <w:t xml:space="preserve">2.3 Quarterly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900"/>
        <w:gridCol w:w="2460"/>
      </w:tblGrid>
      <w:tr>
        <w:tc>
          <w:tcPr>
            <w:tcW w:type="dxa" w:w="11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jc w:val="center"/>
            </w:pPr>
            <w:r>
              <w:rPr>
                <w:rFonts w:ascii="Arial" w:cs="Arial" w:eastAsia="Arial" w:hAnsi="Arial"/>
                <w:b/>
                <w:bCs/>
                <w:color w:val="FFFFFF"/>
                <w:sz w:val="22"/>
                <w:szCs w:val="22"/>
              </w:rPr>
              <w:t xml:space="preserve">Quarter</w:t>
            </w:r>
          </w:p>
        </w:tc>
        <w:tc>
          <w:tcPr>
            <w:tcW w:type="dxa" w:w="29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Theme</w:t>
            </w:r>
          </w:p>
        </w:tc>
        <w:tc>
          <w:tcPr>
            <w:tcW w:type="dxa" w:w="29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Deliverables</w:t>
            </w:r>
          </w:p>
        </w:tc>
        <w:tc>
          <w:tcPr>
            <w:tcW w:type="dxa" w:w="24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Outcome / KPI</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0B2545"/>
                <w:sz w:val="20"/>
                <w:szCs w:val="20"/>
              </w:rPr>
              <w:t xml:space="preserve">Q1</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1E5F8C"/>
                <w:sz w:val="20"/>
                <w:szCs w:val="20"/>
              </w:rPr>
              <w:t xml:space="preserve">Theme: Bullet-Proof Core Booking</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Deliverables: Booking engine with DB-level no-double-book guarantee, IANA TZ, calendar sync (Google + Apple iCloud + Microsoft), provider landing pages with SEO foundations, client-facing booking flow on mobile + desktop, basic email reminders, T&amp;Cs/Privacy.</w:t>
            </w:r>
          </w:p>
        </w:tc>
        <w:tc>
          <w:tcPr>
            <w:tcW w:type="dxa" w:w="24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Outcome: 50 beta providers booking 500+ paid sessions with zero double-bookings and zero payment errors. NPS captured.</w:t>
            </w:r>
          </w:p>
        </w:tc>
      </w:tr>
      <w:tr>
        <w:tc>
          <w:tcPr>
            <w:tcW w:type="dxa" w:w="11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0B2545"/>
                <w:sz w:val="20"/>
                <w:szCs w:val="20"/>
              </w:rPr>
              <w:t xml:space="preserve">Q2</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1E5F8C"/>
                <w:sz w:val="20"/>
                <w:szCs w:val="20"/>
              </w:rPr>
              <w:t xml:space="preserve">Theme: Money &amp; Trust</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Deliverables: Stripe Connect Express, deposits, no-show fees, refunds, invoicing/receipts (VAT-aware), SMS reminders with quiet hours, custom domain, accessibility AA pass.</w:t>
            </w:r>
          </w:p>
        </w:tc>
        <w:tc>
          <w:tcPr>
            <w:tcW w:type="dxa" w:w="24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Outcome: ARR from Solo Pro reaches a launch-quality milestone (e.g., €15-25k MRR), payment volume crosses €250k, gross transaction take-rate validated.</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0B2545"/>
                <w:sz w:val="20"/>
                <w:szCs w:val="20"/>
              </w:rPr>
              <w:t xml:space="preserve">Q3</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1E5F8C"/>
                <w:sz w:val="20"/>
                <w:szCs w:val="20"/>
              </w:rPr>
              <w:t xml:space="preserve">Theme: Loyalty &amp; Lightweight CRM</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Deliverables: Contextual client sidebar (history, notes, allergens, tags), repeat-booking nudges, gift cards, packages/multi-session, basic loyalty (every 5th = 50% off, configurable), referral codes for end clients.</w:t>
            </w:r>
          </w:p>
        </w:tc>
        <w:tc>
          <w:tcPr>
            <w:tcW w:type="dxa" w:w="24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Outcome: Repeat-booking rate +20%; share of providers with 30+ day retention reaches 70%+; word-of-mouth-driven signups become a measurable channel.</w:t>
            </w:r>
          </w:p>
        </w:tc>
      </w:tr>
      <w:tr>
        <w:tc>
          <w:tcPr>
            <w:tcW w:type="dxa" w:w="11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0B2545"/>
                <w:sz w:val="20"/>
                <w:szCs w:val="20"/>
              </w:rPr>
              <w:t xml:space="preserve">Q4</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1E5F8C"/>
                <w:sz w:val="20"/>
                <w:szCs w:val="20"/>
              </w:rPr>
              <w:t xml:space="preserve">Theme: From Solo to Small Team</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Deliverables: Multi-staff (up to 5), staff-level calendars and commissions, role-based permissions, unified inbox, light reporting (revenue per staff, peak hours, no-show rate), API/Zapier for power users.</w:t>
            </w:r>
          </w:p>
        </w:tc>
        <w:tc>
          <w:tcPr>
            <w:tcW w:type="dxa" w:w="24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Outcome: Defensible expansion lane against Calendly (B2B) and Fresha (multi-staff salons); ARPU rises as solo accounts upgrade to 2-3 staff; foundation for ecosystem in Year 2.</w:t>
            </w:r>
          </w:p>
        </w:tc>
      </w:tr>
    </w:tbl>
    <w:p>
      <w:pPr>
        <w:spacing w:after="60" w:before="0" w:line="300"/>
      </w:pPr>
      <w:r>
        <w:rPr>
          <w:rFonts w:ascii="Arial" w:cs="Arial" w:eastAsia="Arial" w:hAnsi="Arial"/>
          <w:color w:val="222222"/>
          <w:sz w:val="22"/>
          <w:szCs w:val="22"/>
        </w:rPr>
        <w:t xml:space="preserve"> </w:t>
      </w:r>
    </w:p>
    <w:p>
      <w:pPr>
        <w:pStyle w:val="Heading3"/>
        <w:spacing w:after="120" w:before="200"/>
      </w:pPr>
      <w:r>
        <w:rPr>
          <w:rFonts w:ascii="Arial" w:cs="Arial" w:eastAsia="Arial" w:hAnsi="Arial"/>
          <w:b/>
          <w:bCs/>
          <w:color w:val="C77F2C"/>
          <w:sz w:val="24"/>
          <w:szCs w:val="24"/>
        </w:rPr>
        <w:t xml:space="preserve">North-Star Metric &amp; Guardrails</w:t>
      </w:r>
    </w:p>
    <w:p>
      <w:pPr>
        <w:pStyle w:val="ListParagraph"/>
        <w:numPr>
          <w:ilvl w:val="0"/>
          <w:numId w:val="2"/>
        </w:numPr>
        <w:spacing w:after="80" w:line="280"/>
      </w:pPr>
      <w:r>
        <w:rPr>
          <w:rFonts w:ascii="Arial" w:cs="Arial" w:eastAsia="Arial" w:hAnsi="Arial"/>
          <w:b/>
          <w:bCs/>
          <w:color w:val="222222"/>
          <w:sz w:val="22"/>
          <w:szCs w:val="22"/>
        </w:rPr>
        <w:t xml:space="preserve">North Star: </w:t>
      </w:r>
      <w:r>
        <w:rPr>
          <w:rFonts w:ascii="Arial" w:cs="Arial" w:eastAsia="Arial" w:hAnsi="Arial"/>
          <w:color w:val="222222"/>
          <w:sz w:val="22"/>
          <w:szCs w:val="22"/>
        </w:rPr>
        <w:t xml:space="preserve">Weekly Active Providers with ≥ 1 paid booking. This single number combines acquisition, activation, and revenue, and it's hard to game.</w:t>
      </w:r>
    </w:p>
    <w:p>
      <w:pPr>
        <w:pStyle w:val="ListParagraph"/>
        <w:numPr>
          <w:ilvl w:val="0"/>
          <w:numId w:val="2"/>
        </w:numPr>
        <w:spacing w:after="80" w:line="280"/>
      </w:pPr>
      <w:r>
        <w:rPr>
          <w:rFonts w:ascii="Arial" w:cs="Arial" w:eastAsia="Arial" w:hAnsi="Arial"/>
          <w:b/>
          <w:bCs/>
          <w:color w:val="222222"/>
          <w:sz w:val="22"/>
          <w:szCs w:val="22"/>
        </w:rPr>
        <w:t xml:space="preserve">Guardrails: </w:t>
      </w:r>
      <w:r>
        <w:rPr>
          <w:rFonts w:ascii="Arial" w:cs="Arial" w:eastAsia="Arial" w:hAnsi="Arial"/>
          <w:color w:val="222222"/>
          <w:sz w:val="22"/>
          <w:szCs w:val="22"/>
        </w:rPr>
        <w:t xml:space="preserve">P0 incident rate (target zero double-bookings or duplicate charges per 10k bookings); 7-day provider retention (target ≥ 60%); time-to-first-booking after signup (target &lt; 48h).</w:t>
      </w:r>
    </w:p>
    <w:p>
      <w:r>
        <w:br w:type="page"/>
      </w:r>
    </w:p>
    <w:p>
      <w:pPr>
        <w:pStyle w:val="Heading1"/>
        <w:spacing w:after="200" w:before="360"/>
      </w:pPr>
      <w:r>
        <w:rPr>
          <w:rFonts w:ascii="Arial" w:cs="Arial" w:eastAsia="Arial" w:hAnsi="Arial"/>
          <w:b/>
          <w:bCs/>
          <w:color w:val="0B2545"/>
          <w:sz w:val="36"/>
          <w:szCs w:val="36"/>
        </w:rPr>
        <w:t xml:space="preserve">Part 3 — Marketing Strategy: 3, 6, and 12 Months</w:t>
      </w:r>
    </w:p>
    <w:p>
      <w:pPr>
        <w:pStyle w:val="Heading2"/>
        <w:spacing w:after="160" w:before="280"/>
      </w:pPr>
      <w:r>
        <w:rPr>
          <w:rFonts w:ascii="Arial" w:cs="Arial" w:eastAsia="Arial" w:hAnsi="Arial"/>
          <w:b/>
          <w:bCs/>
          <w:color w:val="1E5F8C"/>
          <w:sz w:val="28"/>
          <w:szCs w:val="28"/>
        </w:rPr>
        <w:t xml:space="preserve">3.1 Months 0-3: Beta / Founder Phase — The First 10 Power Users</w:t>
      </w:r>
    </w:p>
    <w:p>
      <w:pPr>
        <w:spacing w:after="120" w:before="0" w:line="300"/>
      </w:pPr>
      <w:r>
        <w:rPr>
          <w:rFonts w:ascii="Arial" w:cs="Arial" w:eastAsia="Arial" w:hAnsi="Arial"/>
          <w:color w:val="222222"/>
          <w:sz w:val="22"/>
          <w:szCs w:val="22"/>
        </w:rPr>
        <w:t xml:space="preserve">Forget paid acquisition. Forget content marketing. The job in the first 90 days is to find ten providers who would tell their friend, unprompted, that SoloHub changed how they work. That's the only signal that matters before scale.</w:t>
      </w:r>
    </w:p>
    <w:p>
      <w:pPr>
        <w:pStyle w:val="Heading3"/>
        <w:spacing w:after="120" w:before="200"/>
      </w:pPr>
      <w:r>
        <w:rPr>
          <w:rFonts w:ascii="Arial" w:cs="Arial" w:eastAsia="Arial" w:hAnsi="Arial"/>
          <w:b/>
          <w:bCs/>
          <w:color w:val="C77F2C"/>
          <w:sz w:val="24"/>
          <w:szCs w:val="24"/>
        </w:rPr>
        <w:t xml:space="preserve">Where to Find Them</w:t>
      </w:r>
    </w:p>
    <w:p>
      <w:pPr>
        <w:pStyle w:val="ListParagraph"/>
        <w:numPr>
          <w:ilvl w:val="0"/>
          <w:numId w:val="2"/>
        </w:numPr>
        <w:spacing w:after="80" w:line="280"/>
      </w:pPr>
      <w:r>
        <w:rPr>
          <w:rFonts w:ascii="Arial" w:cs="Arial" w:eastAsia="Arial" w:hAnsi="Arial"/>
          <w:color w:val="222222"/>
          <w:sz w:val="22"/>
          <w:szCs w:val="22"/>
        </w:rPr>
        <w:t xml:space="preserve">Founders' personal networks first — your hairdresser, your kids' tutor, your yoga teacher. Direct, in-person ask. Conversion rate: ~50%.</w:t>
      </w:r>
    </w:p>
    <w:p>
      <w:pPr>
        <w:pStyle w:val="ListParagraph"/>
        <w:numPr>
          <w:ilvl w:val="0"/>
          <w:numId w:val="2"/>
        </w:numPr>
        <w:spacing w:after="80" w:line="280"/>
      </w:pPr>
      <w:r>
        <w:rPr>
          <w:rFonts w:ascii="Arial" w:cs="Arial" w:eastAsia="Arial" w:hAnsi="Arial"/>
          <w:color w:val="222222"/>
          <w:sz w:val="22"/>
          <w:szCs w:val="22"/>
        </w:rPr>
        <w:t xml:space="preserve">Subreddits and Facebook groups for solo operators (r/Beauty, r/PrivateTutor, r/Etsy for crafters who do markets, niche city groups). Don't post product pitches — answer questions about scheduling for two weeks first, then DM the most engaged users.</w:t>
      </w:r>
    </w:p>
    <w:p>
      <w:pPr>
        <w:pStyle w:val="ListParagraph"/>
        <w:numPr>
          <w:ilvl w:val="0"/>
          <w:numId w:val="2"/>
        </w:numPr>
        <w:spacing w:after="80" w:line="280"/>
      </w:pPr>
      <w:r>
        <w:rPr>
          <w:rFonts w:ascii="Arial" w:cs="Arial" w:eastAsia="Arial" w:hAnsi="Arial"/>
          <w:color w:val="222222"/>
          <w:sz w:val="22"/>
          <w:szCs w:val="22"/>
        </w:rPr>
        <w:t xml:space="preserve">Local trade associations: hairdresser guilds, tutoring co-ops, photography meetups. Offer to sponsor coffee in exchange for a 30-min beta interview.</w:t>
      </w:r>
    </w:p>
    <w:p>
      <w:pPr>
        <w:pStyle w:val="ListParagraph"/>
        <w:numPr>
          <w:ilvl w:val="0"/>
          <w:numId w:val="2"/>
        </w:numPr>
        <w:spacing w:after="80" w:line="280"/>
      </w:pPr>
      <w:r>
        <w:rPr>
          <w:rFonts w:ascii="Arial" w:cs="Arial" w:eastAsia="Arial" w:hAnsi="Arial"/>
          <w:color w:val="222222"/>
          <w:sz w:val="22"/>
          <w:szCs w:val="22"/>
        </w:rPr>
        <w:t xml:space="preserve">Cold-walk-in: literally walk into 20 independent salons and tutoring centres in two days. Hand a printed flyer with a calendly link to a 15-min onboarding call. Conversion is 5-10%, but the qualitative learning is worth more than the signups.</w:t>
      </w:r>
    </w:p>
    <w:p>
      <w:pPr>
        <w:pStyle w:val="Heading3"/>
        <w:spacing w:after="120" w:before="200"/>
      </w:pPr>
      <w:r>
        <w:rPr>
          <w:rFonts w:ascii="Arial" w:cs="Arial" w:eastAsia="Arial" w:hAnsi="Arial"/>
          <w:b/>
          <w:bCs/>
          <w:color w:val="C77F2C"/>
          <w:sz w:val="24"/>
          <w:szCs w:val="24"/>
        </w:rPr>
        <w:t xml:space="preserve">White-Glove Onboarding Playbook</w:t>
      </w:r>
    </w:p>
    <w:p>
      <w:pPr>
        <w:pStyle w:val="ListParagraph"/>
        <w:numPr>
          <w:ilvl w:val="0"/>
          <w:numId w:val="3"/>
        </w:numPr>
        <w:spacing w:after="80" w:line="280"/>
      </w:pPr>
      <w:r>
        <w:rPr>
          <w:rFonts w:ascii="Arial" w:cs="Arial" w:eastAsia="Arial" w:hAnsi="Arial"/>
          <w:color w:val="222222"/>
          <w:sz w:val="22"/>
          <w:szCs w:val="22"/>
        </w:rPr>
        <w:t xml:space="preserve">Hour 1: 30-minute Zoom. Founder watches them set up the account live. Captures every confusion.</w:t>
      </w:r>
    </w:p>
    <w:p>
      <w:pPr>
        <w:pStyle w:val="ListParagraph"/>
        <w:numPr>
          <w:ilvl w:val="0"/>
          <w:numId w:val="3"/>
        </w:numPr>
        <w:spacing w:after="80" w:line="280"/>
      </w:pPr>
      <w:r>
        <w:rPr>
          <w:rFonts w:ascii="Arial" w:cs="Arial" w:eastAsia="Arial" w:hAnsi="Arial"/>
          <w:color w:val="222222"/>
          <w:sz w:val="22"/>
          <w:szCs w:val="22"/>
        </w:rPr>
        <w:t xml:space="preserve">Day 1: import their existing client list (CSV or photographed paper book — yes, really). Set up their first three services with them on the call.</w:t>
      </w:r>
    </w:p>
    <w:p>
      <w:pPr>
        <w:pStyle w:val="ListParagraph"/>
        <w:numPr>
          <w:ilvl w:val="0"/>
          <w:numId w:val="3"/>
        </w:numPr>
        <w:spacing w:after="80" w:line="280"/>
      </w:pPr>
      <w:r>
        <w:rPr>
          <w:rFonts w:ascii="Arial" w:cs="Arial" w:eastAsia="Arial" w:hAnsi="Arial"/>
          <w:color w:val="222222"/>
          <w:sz w:val="22"/>
          <w:szCs w:val="22"/>
        </w:rPr>
        <w:t xml:space="preserve">Day 7: text them. 'How are bookings going? Anything broken?'</w:t>
      </w:r>
    </w:p>
    <w:p>
      <w:pPr>
        <w:pStyle w:val="ListParagraph"/>
        <w:numPr>
          <w:ilvl w:val="0"/>
          <w:numId w:val="3"/>
        </w:numPr>
        <w:spacing w:after="80" w:line="280"/>
      </w:pPr>
      <w:r>
        <w:rPr>
          <w:rFonts w:ascii="Arial" w:cs="Arial" w:eastAsia="Arial" w:hAnsi="Arial"/>
          <w:color w:val="222222"/>
          <w:sz w:val="22"/>
          <w:szCs w:val="22"/>
        </w:rPr>
        <w:t xml:space="preserve">Day 30: 1-hour interview. Pull a testimonial, a referral ask, and three product changes from the conversation. This is not optional — these ten interviews build the next 12 months of roadmap.</w:t>
      </w:r>
    </w:p>
    <w:p>
      <w:pPr>
        <w:pStyle w:val="Heading3"/>
        <w:spacing w:after="120" w:before="200"/>
      </w:pPr>
      <w:r>
        <w:rPr>
          <w:rFonts w:ascii="Arial" w:cs="Arial" w:eastAsia="Arial" w:hAnsi="Arial"/>
          <w:b/>
          <w:bCs/>
          <w:color w:val="C77F2C"/>
          <w:sz w:val="24"/>
          <w:szCs w:val="24"/>
        </w:rPr>
        <w:t xml:space="preserve">Testimonials &amp; Social Proof Capture</w:t>
      </w:r>
    </w:p>
    <w:p>
      <w:pPr>
        <w:pStyle w:val="ListParagraph"/>
        <w:numPr>
          <w:ilvl w:val="0"/>
          <w:numId w:val="2"/>
        </w:numPr>
        <w:spacing w:after="80" w:line="280"/>
      </w:pPr>
      <w:r>
        <w:rPr>
          <w:rFonts w:ascii="Arial" w:cs="Arial" w:eastAsia="Arial" w:hAnsi="Arial"/>
          <w:color w:val="222222"/>
          <w:sz w:val="22"/>
          <w:szCs w:val="22"/>
        </w:rPr>
        <w:t xml:space="preserve">Record a 90-second video of each power user explaining what changed. Vertical, phone-shot. These are gold for ads, landing pages, and social — far better than typed quotes.</w:t>
      </w:r>
    </w:p>
    <w:p>
      <w:pPr>
        <w:pStyle w:val="ListParagraph"/>
        <w:numPr>
          <w:ilvl w:val="0"/>
          <w:numId w:val="2"/>
        </w:numPr>
        <w:spacing w:after="80" w:line="280"/>
      </w:pPr>
      <w:r>
        <w:rPr>
          <w:rFonts w:ascii="Arial" w:cs="Arial" w:eastAsia="Arial" w:hAnsi="Arial"/>
          <w:color w:val="222222"/>
          <w:sz w:val="22"/>
          <w:szCs w:val="22"/>
        </w:rPr>
        <w:t xml:space="preserve">Get a written quote with full name, photo, business name, and city. Vague initials destroy credibility.</w:t>
      </w:r>
    </w:p>
    <w:p>
      <w:pPr>
        <w:pStyle w:val="ListParagraph"/>
        <w:numPr>
          <w:ilvl w:val="0"/>
          <w:numId w:val="2"/>
        </w:numPr>
        <w:spacing w:after="80" w:line="280"/>
      </w:pPr>
      <w:r>
        <w:rPr>
          <w:rFonts w:ascii="Arial" w:cs="Arial" w:eastAsia="Arial" w:hAnsi="Arial"/>
          <w:color w:val="222222"/>
          <w:sz w:val="22"/>
          <w:szCs w:val="22"/>
        </w:rPr>
        <w:t xml:space="preserve">Ask: 'Would you be willing to take a call from another hairdresser thinking about SoloHub?' This builds the early reference network.</w:t>
      </w:r>
    </w:p>
    <w:p>
      <w:pPr>
        <w:pStyle w:val="Heading3"/>
        <w:spacing w:after="120" w:before="200"/>
      </w:pPr>
      <w:r>
        <w:rPr>
          <w:rFonts w:ascii="Arial" w:cs="Arial" w:eastAsia="Arial" w:hAnsi="Arial"/>
          <w:b/>
          <w:bCs/>
          <w:color w:val="C77F2C"/>
          <w:sz w:val="24"/>
          <w:szCs w:val="24"/>
        </w:rPr>
        <w:t xml:space="preserve">90-Day Beta KPIs</w:t>
      </w:r>
    </w:p>
    <w:p>
      <w:pPr>
        <w:pStyle w:val="ListParagraph"/>
        <w:numPr>
          <w:ilvl w:val="0"/>
          <w:numId w:val="2"/>
        </w:numPr>
        <w:spacing w:after="80" w:line="280"/>
      </w:pPr>
      <w:r>
        <w:rPr>
          <w:rFonts w:ascii="Arial" w:cs="Arial" w:eastAsia="Arial" w:hAnsi="Arial"/>
          <w:color w:val="222222"/>
          <w:sz w:val="22"/>
          <w:szCs w:val="22"/>
        </w:rPr>
        <w:t xml:space="preserve">10 power users, each with 4+ weeks of consistent usage.</w:t>
      </w:r>
    </w:p>
    <w:p>
      <w:pPr>
        <w:pStyle w:val="ListParagraph"/>
        <w:numPr>
          <w:ilvl w:val="0"/>
          <w:numId w:val="2"/>
        </w:numPr>
        <w:spacing w:after="80" w:line="280"/>
      </w:pPr>
      <w:r>
        <w:rPr>
          <w:rFonts w:ascii="Arial" w:cs="Arial" w:eastAsia="Arial" w:hAnsi="Arial"/>
          <w:color w:val="222222"/>
          <w:sz w:val="22"/>
          <w:szCs w:val="22"/>
        </w:rPr>
        <w:t xml:space="preserve">≥ 5 video testimonials and 10 written quotes.</w:t>
      </w:r>
    </w:p>
    <w:p>
      <w:pPr>
        <w:pStyle w:val="ListParagraph"/>
        <w:numPr>
          <w:ilvl w:val="0"/>
          <w:numId w:val="2"/>
        </w:numPr>
        <w:spacing w:after="80" w:line="280"/>
      </w:pPr>
      <w:r>
        <w:rPr>
          <w:rFonts w:ascii="Arial" w:cs="Arial" w:eastAsia="Arial" w:hAnsi="Arial"/>
          <w:color w:val="222222"/>
          <w:sz w:val="22"/>
          <w:szCs w:val="22"/>
        </w:rPr>
        <w:t xml:space="preserve">Net Promoter Score ≥ 40 (anything below means the product is not yet ready to scale spend).</w:t>
      </w:r>
    </w:p>
    <w:p>
      <w:pPr>
        <w:pStyle w:val="ListParagraph"/>
        <w:numPr>
          <w:ilvl w:val="0"/>
          <w:numId w:val="2"/>
        </w:numPr>
        <w:spacing w:after="80" w:line="280"/>
      </w:pPr>
      <w:r>
        <w:rPr>
          <w:rFonts w:ascii="Arial" w:cs="Arial" w:eastAsia="Arial" w:hAnsi="Arial"/>
          <w:color w:val="222222"/>
          <w:sz w:val="22"/>
          <w:szCs w:val="22"/>
        </w:rPr>
        <w:t xml:space="preserve">≥ 3 product killers identified and fixed (the things that made early users almost quit).</w:t>
      </w:r>
    </w:p>
    <w:p>
      <w:pPr>
        <w:pStyle w:val="Heading2"/>
        <w:spacing w:after="160" w:before="280"/>
      </w:pPr>
      <w:r>
        <w:rPr>
          <w:rFonts w:ascii="Arial" w:cs="Arial" w:eastAsia="Arial" w:hAnsi="Arial"/>
          <w:b/>
          <w:bCs/>
          <w:color w:val="1E5F8C"/>
          <w:sz w:val="28"/>
          <w:szCs w:val="28"/>
        </w:rPr>
        <w:t xml:space="preserve">3.2 Months 3-6: Niche Penetration — Beauty &amp; Private Tutoring</w:t>
      </w:r>
    </w:p>
    <w:p>
      <w:pPr>
        <w:spacing w:after="120" w:before="0" w:line="300"/>
      </w:pPr>
      <w:r>
        <w:rPr>
          <w:rFonts w:ascii="Arial" w:cs="Arial" w:eastAsia="Arial" w:hAnsi="Arial"/>
          <w:color w:val="222222"/>
          <w:sz w:val="22"/>
          <w:szCs w:val="22"/>
        </w:rPr>
        <w:t xml:space="preserve">Two niches, picked deliberately for distinct dynamics: Beauty (visual, hyperlocal, high-frequency) and Private Tutoring (text-driven, semi-remote, family decision-making). Owning both proves the platform is not vertical-locked.</w:t>
      </w:r>
    </w:p>
    <w:p>
      <w:pPr>
        <w:pStyle w:val="Heading3"/>
        <w:spacing w:after="120" w:before="200"/>
      </w:pPr>
      <w:r>
        <w:rPr>
          <w:rFonts w:ascii="Arial" w:cs="Arial" w:eastAsia="Arial" w:hAnsi="Arial"/>
          <w:b/>
          <w:bCs/>
          <w:color w:val="C77F2C"/>
          <w:sz w:val="24"/>
          <w:szCs w:val="24"/>
        </w:rPr>
        <w:t xml:space="preserve">Why These Two</w:t>
      </w:r>
    </w:p>
    <w:p>
      <w:pPr>
        <w:pStyle w:val="ListParagraph"/>
        <w:numPr>
          <w:ilvl w:val="0"/>
          <w:numId w:val="2"/>
        </w:numPr>
        <w:spacing w:after="80" w:line="280"/>
      </w:pPr>
      <w:r>
        <w:rPr>
          <w:rFonts w:ascii="Arial" w:cs="Arial" w:eastAsia="Arial" w:hAnsi="Arial"/>
          <w:color w:val="222222"/>
          <w:sz w:val="22"/>
          <w:szCs w:val="22"/>
        </w:rPr>
        <w:t xml:space="preserve">Beauty: dense ICP (~150k solo hairdressers and barbers in the EU alone), high booking frequency (6-8x/year per client), proven willingness to pay for SaaS (Fresha, Treatwell, Booksy).</w:t>
      </w:r>
    </w:p>
    <w:p>
      <w:pPr>
        <w:pStyle w:val="ListParagraph"/>
        <w:numPr>
          <w:ilvl w:val="0"/>
          <w:numId w:val="2"/>
        </w:numPr>
        <w:spacing w:after="80" w:line="280"/>
      </w:pPr>
      <w:r>
        <w:rPr>
          <w:rFonts w:ascii="Arial" w:cs="Arial" w:eastAsia="Arial" w:hAnsi="Arial"/>
          <w:color w:val="222222"/>
          <w:sz w:val="22"/>
          <w:szCs w:val="22"/>
        </w:rPr>
        <w:t xml:space="preserve">Private Tutoring: ICP is fragmented across language, exam prep, music, and academic — but they share scheduling pain (parents booking on behalf of kids = double-stakeholder). Lower transaction frequency but higher lifetime value.</w:t>
      </w:r>
    </w:p>
    <w:p>
      <w:pPr>
        <w:pStyle w:val="ListParagraph"/>
        <w:numPr>
          <w:ilvl w:val="0"/>
          <w:numId w:val="2"/>
        </w:numPr>
        <w:spacing w:after="80" w:line="280"/>
      </w:pPr>
      <w:r>
        <w:rPr>
          <w:rFonts w:ascii="Arial" w:cs="Arial" w:eastAsia="Arial" w:hAnsi="Arial"/>
          <w:color w:val="222222"/>
          <w:sz w:val="22"/>
          <w:szCs w:val="22"/>
        </w:rPr>
        <w:t xml:space="preserve">These two niches stress-test the product across opposite axes (visual vs. textual, in-person vs. hybrid, B2C vs. parent-as-buyer). If SoloHub works for both, generalization is credible.</w:t>
      </w:r>
    </w:p>
    <w:p>
      <w:pPr>
        <w:pStyle w:val="Heading3"/>
        <w:spacing w:after="120" w:before="200"/>
      </w:pPr>
      <w:r>
        <w:rPr>
          <w:rFonts w:ascii="Arial" w:cs="Arial" w:eastAsia="Arial" w:hAnsi="Arial"/>
          <w:b/>
          <w:bCs/>
          <w:color w:val="C77F2C"/>
          <w:sz w:val="24"/>
          <w:szCs w:val="24"/>
        </w:rPr>
        <w:t xml:space="preserve">Cold Outreach Playbook (Beauty)</w:t>
      </w:r>
    </w:p>
    <w:p>
      <w:pPr>
        <w:pStyle w:val="ListParagraph"/>
        <w:numPr>
          <w:ilvl w:val="0"/>
          <w:numId w:val="2"/>
        </w:numPr>
        <w:spacing w:after="80" w:line="280"/>
      </w:pPr>
      <w:r>
        <w:rPr>
          <w:rFonts w:ascii="Arial" w:cs="Arial" w:eastAsia="Arial" w:hAnsi="Arial"/>
          <w:color w:val="222222"/>
          <w:sz w:val="22"/>
          <w:szCs w:val="22"/>
        </w:rPr>
        <w:t xml:space="preserve">Source: Instagram (geo + hashtag scrape), Google Maps independent salons, local hairdresser Facebook groups, Treatwell defectors.</w:t>
      </w:r>
    </w:p>
    <w:p>
      <w:pPr>
        <w:pStyle w:val="ListParagraph"/>
        <w:numPr>
          <w:ilvl w:val="0"/>
          <w:numId w:val="2"/>
        </w:numPr>
        <w:spacing w:after="80" w:line="280"/>
      </w:pPr>
      <w:r>
        <w:rPr>
          <w:rFonts w:ascii="Arial" w:cs="Arial" w:eastAsia="Arial" w:hAnsi="Arial"/>
          <w:color w:val="222222"/>
          <w:sz w:val="22"/>
          <w:szCs w:val="22"/>
        </w:rPr>
        <w:t xml:space="preserve">Channel: Instagram DM &gt; email &gt; phone. Cold email gets 1-3% reply in this niche; Instagram DM with a 30-second voice note gets 8-12%.</w:t>
      </w:r>
    </w:p>
    <w:p>
      <w:pPr>
        <w:pStyle w:val="ListParagraph"/>
        <w:numPr>
          <w:ilvl w:val="0"/>
          <w:numId w:val="2"/>
        </w:numPr>
        <w:spacing w:after="80" w:line="280"/>
      </w:pPr>
      <w:r>
        <w:rPr>
          <w:rFonts w:ascii="Arial" w:cs="Arial" w:eastAsia="Arial" w:hAnsi="Arial"/>
          <w:color w:val="222222"/>
          <w:sz w:val="22"/>
          <w:szCs w:val="22"/>
        </w:rPr>
        <w:t xml:space="preserve">Hook: 'I built a tool that cuts your no-shows by half and lets clients book on Instagram. 10-min demo this week?' Lead with their pain (no-shows), not your features.</w:t>
      </w:r>
    </w:p>
    <w:p>
      <w:pPr>
        <w:pStyle w:val="ListParagraph"/>
        <w:numPr>
          <w:ilvl w:val="0"/>
          <w:numId w:val="2"/>
        </w:numPr>
        <w:spacing w:after="80" w:line="280"/>
      </w:pPr>
      <w:r>
        <w:rPr>
          <w:rFonts w:ascii="Arial" w:cs="Arial" w:eastAsia="Arial" w:hAnsi="Arial"/>
          <w:color w:val="222222"/>
          <w:sz w:val="22"/>
          <w:szCs w:val="22"/>
        </w:rPr>
        <w:t xml:space="preserve">Offer: 6 months free Solo Pro for the first 100 in each city. Don't be greedy on the first 100 — the network density they create is worth thousands in CAC.</w:t>
      </w:r>
    </w:p>
    <w:p>
      <w:pPr>
        <w:pStyle w:val="ListParagraph"/>
        <w:numPr>
          <w:ilvl w:val="0"/>
          <w:numId w:val="2"/>
        </w:numPr>
        <w:spacing w:after="80" w:line="280"/>
      </w:pPr>
      <w:r>
        <w:rPr>
          <w:rFonts w:ascii="Arial" w:cs="Arial" w:eastAsia="Arial" w:hAnsi="Arial"/>
          <w:color w:val="222222"/>
          <w:sz w:val="22"/>
          <w:szCs w:val="22"/>
        </w:rPr>
        <w:t xml:space="preserve">Tactical asset: short-form Reels showing 'before/after' booking experience. Aspirational, 15s, in-niche language ('client booked at 11pm, no DM back-and-forth').</w:t>
      </w:r>
    </w:p>
    <w:p>
      <w:pPr>
        <w:pStyle w:val="Heading3"/>
        <w:spacing w:after="120" w:before="200"/>
      </w:pPr>
      <w:r>
        <w:rPr>
          <w:rFonts w:ascii="Arial" w:cs="Arial" w:eastAsia="Arial" w:hAnsi="Arial"/>
          <w:b/>
          <w:bCs/>
          <w:color w:val="C77F2C"/>
          <w:sz w:val="24"/>
          <w:szCs w:val="24"/>
        </w:rPr>
        <w:t xml:space="preserve">Cold Outreach Playbook (Tutoring)</w:t>
      </w:r>
    </w:p>
    <w:p>
      <w:pPr>
        <w:pStyle w:val="ListParagraph"/>
        <w:numPr>
          <w:ilvl w:val="0"/>
          <w:numId w:val="2"/>
        </w:numPr>
        <w:spacing w:after="80" w:line="280"/>
      </w:pPr>
      <w:r>
        <w:rPr>
          <w:rFonts w:ascii="Arial" w:cs="Arial" w:eastAsia="Arial" w:hAnsi="Arial"/>
          <w:color w:val="222222"/>
          <w:sz w:val="22"/>
          <w:szCs w:val="22"/>
        </w:rPr>
        <w:t xml:space="preserve">Source: Superprof, Preply, Apprentus, Tutorful — these have public tutor listings. LinkedIn for academic tutors. Local school parent groups for the parent side.</w:t>
      </w:r>
    </w:p>
    <w:p>
      <w:pPr>
        <w:pStyle w:val="ListParagraph"/>
        <w:numPr>
          <w:ilvl w:val="0"/>
          <w:numId w:val="2"/>
        </w:numPr>
        <w:spacing w:after="80" w:line="280"/>
      </w:pPr>
      <w:r>
        <w:rPr>
          <w:rFonts w:ascii="Arial" w:cs="Arial" w:eastAsia="Arial" w:hAnsi="Arial"/>
          <w:color w:val="222222"/>
          <w:sz w:val="22"/>
          <w:szCs w:val="22"/>
        </w:rPr>
        <w:t xml:space="preserve">Channel: email &gt; LinkedIn DM &gt; the platform's own messaging. Tutors are more email-native than salons.</w:t>
      </w:r>
    </w:p>
    <w:p>
      <w:pPr>
        <w:pStyle w:val="ListParagraph"/>
        <w:numPr>
          <w:ilvl w:val="0"/>
          <w:numId w:val="2"/>
        </w:numPr>
        <w:spacing w:after="80" w:line="280"/>
      </w:pPr>
      <w:r>
        <w:rPr>
          <w:rFonts w:ascii="Arial" w:cs="Arial" w:eastAsia="Arial" w:hAnsi="Arial"/>
          <w:color w:val="222222"/>
          <w:sz w:val="22"/>
          <w:szCs w:val="22"/>
        </w:rPr>
        <w:t xml:space="preserve">Hook: 'You're paying Preply 33% commission. SoloHub gives you a personal booking page for €19/month, no commission on tutoring revenue. Want a demo?' Lead with the platform-tax pain.</w:t>
      </w:r>
    </w:p>
    <w:p>
      <w:pPr>
        <w:pStyle w:val="ListParagraph"/>
        <w:numPr>
          <w:ilvl w:val="0"/>
          <w:numId w:val="2"/>
        </w:numPr>
        <w:spacing w:after="80" w:line="280"/>
      </w:pPr>
      <w:r>
        <w:rPr>
          <w:rFonts w:ascii="Arial" w:cs="Arial" w:eastAsia="Arial" w:hAnsi="Arial"/>
          <w:color w:val="222222"/>
          <w:sz w:val="22"/>
          <w:szCs w:val="22"/>
        </w:rPr>
        <w:t xml:space="preserve">Asset: a comparison calculator on the landing page — 'How much would you save vs. Preply?' Personalized, viral-shareable in tutor groups.</w:t>
      </w:r>
    </w:p>
    <w:p>
      <w:pPr>
        <w:pStyle w:val="ListParagraph"/>
        <w:numPr>
          <w:ilvl w:val="0"/>
          <w:numId w:val="2"/>
        </w:numPr>
        <w:spacing w:after="80" w:line="280"/>
      </w:pPr>
      <w:r>
        <w:rPr>
          <w:rFonts w:ascii="Arial" w:cs="Arial" w:eastAsia="Arial" w:hAnsi="Arial"/>
          <w:color w:val="222222"/>
          <w:sz w:val="22"/>
          <w:szCs w:val="22"/>
        </w:rPr>
        <w:t xml:space="preserve">Parent-side message comes later: 'Your tutor uses SoloHub. Book all term in 30 seconds.' This is the demand-pull layer that locks tutors in.</w:t>
      </w:r>
    </w:p>
    <w:p>
      <w:pPr>
        <w:pStyle w:val="Heading3"/>
        <w:spacing w:after="120" w:before="200"/>
      </w:pPr>
      <w:r>
        <w:rPr>
          <w:rFonts w:ascii="Arial" w:cs="Arial" w:eastAsia="Arial" w:hAnsi="Arial"/>
          <w:b/>
          <w:bCs/>
          <w:color w:val="C77F2C"/>
          <w:sz w:val="24"/>
          <w:szCs w:val="24"/>
        </w:rPr>
        <w:t xml:space="preserve">Paid Social Strategy</w:t>
      </w:r>
    </w:p>
    <w:p>
      <w:pPr>
        <w:pStyle w:val="ListParagraph"/>
        <w:numPr>
          <w:ilvl w:val="0"/>
          <w:numId w:val="2"/>
        </w:numPr>
        <w:spacing w:after="80" w:line="280"/>
      </w:pPr>
      <w:r>
        <w:rPr>
          <w:rFonts w:ascii="Arial" w:cs="Arial" w:eastAsia="Arial" w:hAnsi="Arial"/>
          <w:color w:val="222222"/>
          <w:sz w:val="22"/>
          <w:szCs w:val="22"/>
        </w:rPr>
        <w:t xml:space="preserve">Meta (Instagram + Facebook): the workhorse for Beauty. Look-alike audiences off the first 200 paying customers. Creative: video testimonials (UGC-style) &gt; polished brand ads. Budget: €3-5k/month/country at month 4-6.</w:t>
      </w:r>
    </w:p>
    <w:p>
      <w:pPr>
        <w:pStyle w:val="ListParagraph"/>
        <w:numPr>
          <w:ilvl w:val="0"/>
          <w:numId w:val="2"/>
        </w:numPr>
        <w:spacing w:after="80" w:line="280"/>
      </w:pPr>
      <w:r>
        <w:rPr>
          <w:rFonts w:ascii="Arial" w:cs="Arial" w:eastAsia="Arial" w:hAnsi="Arial"/>
          <w:color w:val="222222"/>
          <w:sz w:val="22"/>
          <w:szCs w:val="22"/>
        </w:rPr>
        <w:t xml:space="preserve">TikTok: experimental, especially for younger Beauty cohort. Founder content &gt; paid ads at this stage. €500-1000/month test budget.</w:t>
      </w:r>
    </w:p>
    <w:p>
      <w:pPr>
        <w:pStyle w:val="ListParagraph"/>
        <w:numPr>
          <w:ilvl w:val="0"/>
          <w:numId w:val="2"/>
        </w:numPr>
        <w:spacing w:after="80" w:line="280"/>
      </w:pPr>
      <w:r>
        <w:rPr>
          <w:rFonts w:ascii="Arial" w:cs="Arial" w:eastAsia="Arial" w:hAnsi="Arial"/>
          <w:color w:val="222222"/>
          <w:sz w:val="22"/>
          <w:szCs w:val="22"/>
        </w:rPr>
        <w:t xml:space="preserve">Google Search: branded + competitor terms ('Calendly alternative', 'Fresha alternative'). High intent, low volume but excellent CAC. €1-2k/month.</w:t>
      </w:r>
    </w:p>
    <w:p>
      <w:pPr>
        <w:pStyle w:val="ListParagraph"/>
        <w:numPr>
          <w:ilvl w:val="0"/>
          <w:numId w:val="2"/>
        </w:numPr>
        <w:spacing w:after="80" w:line="280"/>
      </w:pPr>
      <w:r>
        <w:rPr>
          <w:rFonts w:ascii="Arial" w:cs="Arial" w:eastAsia="Arial" w:hAnsi="Arial"/>
          <w:color w:val="222222"/>
          <w:sz w:val="22"/>
          <w:szCs w:val="22"/>
        </w:rPr>
        <w:t xml:space="preserve">LinkedIn: minimal at this stage. Save for when you have a multi-staff or B2B angle (Year 2).</w:t>
      </w:r>
    </w:p>
    <w:p>
      <w:pPr>
        <w:pStyle w:val="Heading3"/>
        <w:spacing w:after="120" w:before="200"/>
      </w:pPr>
      <w:r>
        <w:rPr>
          <w:rFonts w:ascii="Arial" w:cs="Arial" w:eastAsia="Arial" w:hAnsi="Arial"/>
          <w:b/>
          <w:bCs/>
          <w:color w:val="C77F2C"/>
          <w:sz w:val="24"/>
          <w:szCs w:val="24"/>
        </w:rPr>
        <w:t xml:space="preserve">Channel Economics — Target by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00"/>
        <w:gridCol w:w="1800"/>
        <w:gridCol w:w="1710"/>
      </w:tblGrid>
      <w:tr>
        <w:tc>
          <w:tcPr>
            <w:tcW w:type="dxa" w:w="22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Channel</w:t>
            </w:r>
          </w:p>
        </w:tc>
        <w:tc>
          <w:tcPr>
            <w:tcW w:type="dxa" w:w="185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Spend / mo</w:t>
            </w:r>
          </w:p>
        </w:tc>
        <w:tc>
          <w:tcPr>
            <w:tcW w:type="dxa" w:w="18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CAC</w:t>
            </w:r>
          </w:p>
        </w:tc>
        <w:tc>
          <w:tcPr>
            <w:tcW w:type="dxa" w:w="18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Payback</w:t>
            </w:r>
          </w:p>
        </w:tc>
        <w:tc>
          <w:tcPr>
            <w:tcW w:type="dxa" w:w="171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Use</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Founder/manual outreach</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€0 (time)</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€0</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Immediate</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Months 0-4 only</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Instagram DM (Beauty)</w:t>
            </w:r>
          </w:p>
        </w:tc>
        <w:tc>
          <w:tcPr>
            <w:tcW w:type="dxa" w:w="185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€500 (tooling)</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€20-40</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&lt;3 mo</w:t>
            </w:r>
          </w:p>
        </w:tc>
        <w:tc>
          <w:tcPr>
            <w:tcW w:type="dxa" w:w="171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Primary 4-9</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Cold email (Tutoring)</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€300 (tooling)</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€30-60</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&lt;4 mo</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Primary 4-9</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Meta paid ads</w:t>
            </w:r>
          </w:p>
        </w:tc>
        <w:tc>
          <w:tcPr>
            <w:tcW w:type="dxa" w:w="185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€3-5k</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€60-100</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6-9 mo</w:t>
            </w:r>
          </w:p>
        </w:tc>
        <w:tc>
          <w:tcPr>
            <w:tcW w:type="dxa" w:w="171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Scale 5-12</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Google Search (brand+comp)</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€1-2k</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€40-80</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4-6 mo</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Always-on 4+</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TikTok (organic + paid)</w:t>
            </w:r>
          </w:p>
        </w:tc>
        <w:tc>
          <w:tcPr>
            <w:tcW w:type="dxa" w:w="185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€1k</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Highly variable</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TBD</w:t>
            </w:r>
          </w:p>
        </w:tc>
        <w:tc>
          <w:tcPr>
            <w:tcW w:type="dxa" w:w="171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Test 5-9</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Referral (existing users)</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€0 + reward</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€10-20</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&lt;2 mo</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color w:val="222222"/>
                <w:sz w:val="20"/>
                <w:szCs w:val="20"/>
              </w:rPr>
              <w:t xml:space="preserve">From month 6+</w:t>
            </w:r>
          </w:p>
        </w:tc>
      </w:tr>
    </w:tbl>
    <w:p>
      <w:pPr>
        <w:pStyle w:val="Heading2"/>
        <w:spacing w:after="160" w:before="280"/>
      </w:pPr>
      <w:r>
        <w:rPr>
          <w:rFonts w:ascii="Arial" w:cs="Arial" w:eastAsia="Arial" w:hAnsi="Arial"/>
          <w:b/>
          <w:bCs/>
          <w:color w:val="1E5F8C"/>
          <w:sz w:val="28"/>
          <w:szCs w:val="28"/>
        </w:rPr>
        <w:t xml:space="preserve">3.3 Months 6-12: From Tool to Ecosystem</w:t>
      </w:r>
    </w:p>
    <w:p>
      <w:pPr>
        <w:spacing w:after="120" w:before="0" w:line="300"/>
      </w:pPr>
      <w:r>
        <w:rPr>
          <w:rFonts w:ascii="Arial" w:cs="Arial" w:eastAsia="Arial" w:hAnsi="Arial"/>
          <w:color w:val="222222"/>
          <w:sz w:val="22"/>
          <w:szCs w:val="22"/>
        </w:rPr>
        <w:t xml:space="preserve">In Year 1, SoloHub is a product. In Year 2, it must become a platform — content asset, distribution mechanic, and supply-side gravity. Three plays: Content/SEO, Referral, and 'Powered by SoloHub'.</w:t>
      </w:r>
    </w:p>
    <w:p>
      <w:pPr>
        <w:pStyle w:val="Heading3"/>
        <w:spacing w:after="120" w:before="200"/>
      </w:pPr>
      <w:r>
        <w:rPr>
          <w:rFonts w:ascii="Arial" w:cs="Arial" w:eastAsia="Arial" w:hAnsi="Arial"/>
          <w:b/>
          <w:bCs/>
          <w:color w:val="C77F2C"/>
          <w:sz w:val="24"/>
          <w:szCs w:val="24"/>
        </w:rPr>
        <w:t xml:space="preserve">Content Marketing &amp; SEO Strategy</w:t>
      </w:r>
    </w:p>
    <w:p>
      <w:pPr>
        <w:pStyle w:val="ListParagraph"/>
        <w:numPr>
          <w:ilvl w:val="0"/>
          <w:numId w:val="2"/>
        </w:numPr>
        <w:spacing w:after="80" w:line="280"/>
      </w:pPr>
      <w:r>
        <w:rPr>
          <w:rFonts w:ascii="Arial" w:cs="Arial" w:eastAsia="Arial" w:hAnsi="Arial"/>
          <w:color w:val="222222"/>
          <w:sz w:val="22"/>
          <w:szCs w:val="22"/>
        </w:rPr>
        <w:t xml:space="preserve">Topical authority play: pick 3 pillar topics — (1) running a solo service business, (2) handling clients (cancellations, no-shows, awkward conversations), (3) niche-specific operations ('How to price your hair services', 'How to set up a tutoring business in the UK'). Build 30-50 deep articles per pillar over 12 months.</w:t>
      </w:r>
    </w:p>
    <w:p>
      <w:pPr>
        <w:pStyle w:val="ListParagraph"/>
        <w:numPr>
          <w:ilvl w:val="0"/>
          <w:numId w:val="2"/>
        </w:numPr>
        <w:spacing w:after="80" w:line="280"/>
      </w:pPr>
      <w:r>
        <w:rPr>
          <w:rFonts w:ascii="Arial" w:cs="Arial" w:eastAsia="Arial" w:hAnsi="Arial"/>
          <w:color w:val="222222"/>
          <w:sz w:val="22"/>
          <w:szCs w:val="22"/>
        </w:rPr>
        <w:t xml:space="preserve">Programmatic SEO at scale: 'Best haircut places in [city]', 'Top 10 [niche] in [city]'. Auto-generated from provider data with editorial QA. Targets 50-100k monthly organic visits by month 18.</w:t>
      </w:r>
    </w:p>
    <w:p>
      <w:pPr>
        <w:pStyle w:val="ListParagraph"/>
        <w:numPr>
          <w:ilvl w:val="0"/>
          <w:numId w:val="2"/>
        </w:numPr>
        <w:spacing w:after="80" w:line="280"/>
      </w:pPr>
      <w:r>
        <w:rPr>
          <w:rFonts w:ascii="Arial" w:cs="Arial" w:eastAsia="Arial" w:hAnsi="Arial"/>
          <w:color w:val="222222"/>
          <w:sz w:val="22"/>
          <w:szCs w:val="22"/>
        </w:rPr>
        <w:t xml:space="preserve">Calculator and tool pages: 'Hourly rate calculator for hairdressers', 'No-show cost calculator', 'Tax estimator for self-employed tutors'. Linkable, sharable, intent-rich. Each one is a backlink magnet.</w:t>
      </w:r>
    </w:p>
    <w:p>
      <w:pPr>
        <w:pStyle w:val="ListParagraph"/>
        <w:numPr>
          <w:ilvl w:val="0"/>
          <w:numId w:val="2"/>
        </w:numPr>
        <w:spacing w:after="80" w:line="280"/>
      </w:pPr>
      <w:r>
        <w:rPr>
          <w:rFonts w:ascii="Arial" w:cs="Arial" w:eastAsia="Arial" w:hAnsi="Arial"/>
          <w:color w:val="222222"/>
          <w:sz w:val="22"/>
          <w:szCs w:val="22"/>
        </w:rPr>
        <w:t xml:space="preserve">Free tools/templates as lead magnets: cancellation policy generator, client intake form, invoice template. Behind a soft signup wall.</w:t>
      </w:r>
    </w:p>
    <w:p>
      <w:pPr>
        <w:pStyle w:val="ListParagraph"/>
        <w:numPr>
          <w:ilvl w:val="0"/>
          <w:numId w:val="2"/>
        </w:numPr>
        <w:spacing w:after="80" w:line="280"/>
      </w:pPr>
      <w:r>
        <w:rPr>
          <w:rFonts w:ascii="Arial" w:cs="Arial" w:eastAsia="Arial" w:hAnsi="Arial"/>
          <w:color w:val="222222"/>
          <w:sz w:val="22"/>
          <w:szCs w:val="22"/>
        </w:rPr>
        <w:t xml:space="preserve">YouTube long-form: 'A day in the life of a SoloHub user'. Mix product, business advice, and provider success stories. Targets the slow-burn channel that compounds in Year 2-3.</w:t>
      </w:r>
    </w:p>
    <w:p>
      <w:pPr>
        <w:pStyle w:val="Heading3"/>
        <w:spacing w:after="120" w:before="200"/>
      </w:pPr>
      <w:r>
        <w:rPr>
          <w:rFonts w:ascii="Arial" w:cs="Arial" w:eastAsia="Arial" w:hAnsi="Arial"/>
          <w:b/>
          <w:bCs/>
          <w:color w:val="C77F2C"/>
          <w:sz w:val="24"/>
          <w:szCs w:val="24"/>
        </w:rPr>
        <w:t xml:space="preserve">Referral Loop</w:t>
      </w:r>
    </w:p>
    <w:p>
      <w:pPr>
        <w:pStyle w:val="ListParagraph"/>
        <w:numPr>
          <w:ilvl w:val="0"/>
          <w:numId w:val="2"/>
        </w:numPr>
        <w:spacing w:after="80" w:line="280"/>
      </w:pPr>
      <w:r>
        <w:rPr>
          <w:rFonts w:ascii="Arial" w:cs="Arial" w:eastAsia="Arial" w:hAnsi="Arial"/>
          <w:color w:val="222222"/>
          <w:sz w:val="22"/>
          <w:szCs w:val="22"/>
        </w:rPr>
        <w:t xml:space="preserve">Provider-to-provider: refer another solo provider, both get one month free. Use a unique signup link per referrer with multi-touch attribution. Gate the reward behind first paid month for the referee to prevent abuse.</w:t>
      </w:r>
    </w:p>
    <w:p>
      <w:pPr>
        <w:pStyle w:val="ListParagraph"/>
        <w:numPr>
          <w:ilvl w:val="0"/>
          <w:numId w:val="2"/>
        </w:numPr>
        <w:spacing w:after="80" w:line="280"/>
      </w:pPr>
      <w:r>
        <w:rPr>
          <w:rFonts w:ascii="Arial" w:cs="Arial" w:eastAsia="Arial" w:hAnsi="Arial"/>
          <w:color w:val="222222"/>
          <w:sz w:val="22"/>
          <w:szCs w:val="22"/>
        </w:rPr>
        <w:t xml:space="preserve">Referral board / leaderboard: top 10 referrers per quarter get a 'SoloHub Champion' badge and an invite to the annual SoloHub user summit (in Year 2). Make it status-driven, not just transactional.</w:t>
      </w:r>
    </w:p>
    <w:p>
      <w:pPr>
        <w:pStyle w:val="ListParagraph"/>
        <w:numPr>
          <w:ilvl w:val="0"/>
          <w:numId w:val="2"/>
        </w:numPr>
        <w:spacing w:after="80" w:line="280"/>
      </w:pPr>
      <w:r>
        <w:rPr>
          <w:rFonts w:ascii="Arial" w:cs="Arial" w:eastAsia="Arial" w:hAnsi="Arial"/>
          <w:color w:val="222222"/>
          <w:sz w:val="22"/>
          <w:szCs w:val="22"/>
        </w:rPr>
        <w:t xml:space="preserve">Embed referral prompts in the moment of value — after a successful payment, after a 5-star review, after the end-of-month digest shows revenue growth. Never as a pop-up.</w:t>
      </w:r>
    </w:p>
    <w:p>
      <w:pPr>
        <w:pStyle w:val="Heading3"/>
        <w:spacing w:after="120" w:before="200"/>
      </w:pPr>
      <w:r>
        <w:rPr>
          <w:rFonts w:ascii="Arial" w:cs="Arial" w:eastAsia="Arial" w:hAnsi="Arial"/>
          <w:b/>
          <w:bCs/>
          <w:color w:val="C77F2C"/>
          <w:sz w:val="24"/>
          <w:szCs w:val="24"/>
        </w:rPr>
        <w:t xml:space="preserve">"Powered by SoloHub" — The Distribution Flywheel</w:t>
      </w:r>
    </w:p>
    <w:p>
      <w:pPr>
        <w:pStyle w:val="ListParagraph"/>
        <w:numPr>
          <w:ilvl w:val="0"/>
          <w:numId w:val="2"/>
        </w:numPr>
        <w:spacing w:after="80" w:line="280"/>
      </w:pPr>
      <w:r>
        <w:rPr>
          <w:rFonts w:ascii="Arial" w:cs="Arial" w:eastAsia="Arial" w:hAnsi="Arial"/>
          <w:color w:val="222222"/>
          <w:sz w:val="22"/>
          <w:szCs w:val="22"/>
        </w:rPr>
        <w:t xml:space="preserve">Every free-tier booking page carries a small 'Powered by SoloHub — get yours' badge in the footer. End clients see this every time they book. Conversion to inbound signup is in the 0.3-1% range — small per booking, massive in aggregate.</w:t>
      </w:r>
    </w:p>
    <w:p>
      <w:pPr>
        <w:pStyle w:val="ListParagraph"/>
        <w:numPr>
          <w:ilvl w:val="0"/>
          <w:numId w:val="2"/>
        </w:numPr>
        <w:spacing w:after="80" w:line="280"/>
      </w:pPr>
      <w:r>
        <w:rPr>
          <w:rFonts w:ascii="Arial" w:cs="Arial" w:eastAsia="Arial" w:hAnsi="Arial"/>
          <w:color w:val="222222"/>
          <w:sz w:val="22"/>
          <w:szCs w:val="22"/>
        </w:rPr>
        <w:t xml:space="preserve">Paid tiers can remove or replace the badge. This creates an upgrade incentive that doubles as distribution at the free tier.</w:t>
      </w:r>
    </w:p>
    <w:p>
      <w:pPr>
        <w:pStyle w:val="ListParagraph"/>
        <w:numPr>
          <w:ilvl w:val="0"/>
          <w:numId w:val="2"/>
        </w:numPr>
        <w:spacing w:after="80" w:line="280"/>
      </w:pPr>
      <w:r>
        <w:rPr>
          <w:rFonts w:ascii="Arial" w:cs="Arial" w:eastAsia="Arial" w:hAnsi="Arial"/>
          <w:color w:val="222222"/>
          <w:sz w:val="22"/>
          <w:szCs w:val="22"/>
        </w:rPr>
        <w:t xml:space="preserve">A&amp;B test the badge copy and placement. 'Powered by SoloHub' vs. 'Book your own page' vs. 'Solo? Get SoloHub free' — expect 2-3x variance across phrasings.</w:t>
      </w:r>
    </w:p>
    <w:p>
      <w:pPr>
        <w:pStyle w:val="ListParagraph"/>
        <w:numPr>
          <w:ilvl w:val="0"/>
          <w:numId w:val="2"/>
        </w:numPr>
        <w:spacing w:after="80" w:line="280"/>
      </w:pPr>
      <w:r>
        <w:rPr>
          <w:rFonts w:ascii="Arial" w:cs="Arial" w:eastAsia="Arial" w:hAnsi="Arial"/>
          <w:color w:val="222222"/>
          <w:sz w:val="22"/>
          <w:szCs w:val="22"/>
        </w:rPr>
        <w:t xml:space="preserve">Track inbound badge attribution: every click from a badge passes a UTM. Surface 'pages sourced from your bookings' in provider dashboard — turns providers into ambassadors.</w:t>
      </w:r>
    </w:p>
    <w:p>
      <w:pPr>
        <w:pStyle w:val="Heading3"/>
        <w:spacing w:after="120" w:before="200"/>
      </w:pPr>
      <w:r>
        <w:rPr>
          <w:rFonts w:ascii="Arial" w:cs="Arial" w:eastAsia="Arial" w:hAnsi="Arial"/>
          <w:b/>
          <w:bCs/>
          <w:color w:val="C77F2C"/>
          <w:sz w:val="24"/>
          <w:szCs w:val="24"/>
        </w:rPr>
        <w:t xml:space="preserve">Community &amp; PR Layer</w:t>
      </w:r>
    </w:p>
    <w:p>
      <w:pPr>
        <w:pStyle w:val="ListParagraph"/>
        <w:numPr>
          <w:ilvl w:val="0"/>
          <w:numId w:val="2"/>
        </w:numPr>
        <w:spacing w:after="80" w:line="280"/>
      </w:pPr>
      <w:r>
        <w:rPr>
          <w:rFonts w:ascii="Arial" w:cs="Arial" w:eastAsia="Arial" w:hAnsi="Arial"/>
          <w:color w:val="222222"/>
          <w:sz w:val="22"/>
          <w:szCs w:val="22"/>
        </w:rPr>
        <w:t xml:space="preserve">Quarterly 'State of the Solo Economy' report. Anonymized data from your provider base — average hourly rate by niche/city, no-show rates, peak booking hours. This is fundable PR — Wired, TechCrunch, Sifted, and trade publications will cover it. Each report = 200-500 backlinks.</w:t>
      </w:r>
    </w:p>
    <w:p>
      <w:pPr>
        <w:pStyle w:val="ListParagraph"/>
        <w:numPr>
          <w:ilvl w:val="0"/>
          <w:numId w:val="2"/>
        </w:numPr>
        <w:spacing w:after="80" w:line="280"/>
      </w:pPr>
      <w:r>
        <w:rPr>
          <w:rFonts w:ascii="Arial" w:cs="Arial" w:eastAsia="Arial" w:hAnsi="Arial"/>
          <w:color w:val="222222"/>
          <w:sz w:val="22"/>
          <w:szCs w:val="22"/>
        </w:rPr>
        <w:t xml:space="preserve">Solo Slack/Discord community for users. Soft-moderated, niche-segmented. Top channel-builders become user advocates and case studies.</w:t>
      </w:r>
    </w:p>
    <w:p>
      <w:pPr>
        <w:pStyle w:val="ListParagraph"/>
        <w:numPr>
          <w:ilvl w:val="0"/>
          <w:numId w:val="2"/>
        </w:numPr>
        <w:spacing w:after="80" w:line="280"/>
      </w:pPr>
      <w:r>
        <w:rPr>
          <w:rFonts w:ascii="Arial" w:cs="Arial" w:eastAsia="Arial" w:hAnsi="Arial"/>
          <w:color w:val="222222"/>
          <w:sz w:val="22"/>
          <w:szCs w:val="22"/>
        </w:rPr>
        <w:t xml:space="preserve">Annual 'SoloHub Awards' in Year 2. Best comeback story, best new business, best loyalty program. Cheap to run, content-rich, status-rewarding.</w:t>
      </w:r>
    </w:p>
    <w:p>
      <w:pPr>
        <w:pStyle w:val="Heading3"/>
        <w:spacing w:after="120" w:before="200"/>
      </w:pPr>
      <w:r>
        <w:rPr>
          <w:rFonts w:ascii="Arial" w:cs="Arial" w:eastAsia="Arial" w:hAnsi="Arial"/>
          <w:b/>
          <w:bCs/>
          <w:color w:val="C77F2C"/>
          <w:sz w:val="24"/>
          <w:szCs w:val="24"/>
        </w:rPr>
        <w:t xml:space="preserve">Marketing Spend &amp; Headcount,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Phase</w:t>
            </w:r>
          </w:p>
        </w:tc>
        <w:tc>
          <w:tcPr>
            <w:tcW w:type="dxa" w:w="17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Months</w:t>
            </w:r>
          </w:p>
        </w:tc>
        <w:tc>
          <w:tcPr>
            <w:tcW w:type="dxa" w:w="17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Marketing spend</w:t>
            </w:r>
          </w:p>
        </w:tc>
        <w:tc>
          <w:tcPr>
            <w:tcW w:type="dxa" w:w="17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Headcount</w:t>
            </w:r>
          </w:p>
        </w:tc>
        <w:tc>
          <w:tcPr>
            <w:tcW w:type="dxa" w:w="20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Primary objective</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Beta</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0-3</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&lt;€2k total</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Founder + 1</w:t>
            </w:r>
          </w:p>
        </w:tc>
        <w:tc>
          <w:tcPr>
            <w:tcW w:type="dxa" w:w="2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Find 10 power users; capture testimonials</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Niche</w:t>
            </w:r>
          </w:p>
        </w:tc>
        <w:tc>
          <w:tcPr>
            <w:tcW w:type="dxa" w:w="17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3-6</w:t>
            </w:r>
          </w:p>
        </w:tc>
        <w:tc>
          <w:tcPr>
            <w:tcW w:type="dxa" w:w="17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€5-10k/mo</w:t>
            </w:r>
          </w:p>
        </w:tc>
        <w:tc>
          <w:tcPr>
            <w:tcW w:type="dxa" w:w="17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+1 growth marketer</w:t>
            </w:r>
          </w:p>
        </w:tc>
        <w:tc>
          <w:tcPr>
            <w:tcW w:type="dxa" w:w="20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Reach 250 paying providers in 2 niches × 2 cities</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Scale</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6-12</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€20-40k/mo</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+1 content/SEO, +1 paid ads</w:t>
            </w:r>
          </w:p>
        </w:tc>
        <w:tc>
          <w:tcPr>
            <w:tcW w:type="dxa" w:w="2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Reach 1,500 paying providers; first organic SEO win</w:t>
            </w:r>
          </w:p>
        </w:tc>
      </w:tr>
    </w:tbl>
    <w:p>
      <w:r>
        <w:br w:type="page"/>
      </w:r>
    </w:p>
    <w:p>
      <w:pPr>
        <w:pStyle w:val="Heading1"/>
        <w:spacing w:after="200" w:before="360"/>
      </w:pPr>
      <w:r>
        <w:rPr>
          <w:rFonts w:ascii="Arial" w:cs="Arial" w:eastAsia="Arial" w:hAnsi="Arial"/>
          <w:b/>
          <w:bCs/>
          <w:color w:val="0B2545"/>
          <w:sz w:val="36"/>
          <w:szCs w:val="36"/>
        </w:rPr>
        <w:t xml:space="preserve">Part 4 — Risks, Open Questions, and Next 30 Days</w:t>
      </w:r>
    </w:p>
    <w:p>
      <w:pPr>
        <w:pStyle w:val="Heading2"/>
        <w:spacing w:after="160" w:before="280"/>
      </w:pPr>
      <w:r>
        <w:rPr>
          <w:rFonts w:ascii="Arial" w:cs="Arial" w:eastAsia="Arial" w:hAnsi="Arial"/>
          <w:b/>
          <w:bCs/>
          <w:color w:val="1E5F8C"/>
          <w:sz w:val="28"/>
          <w:szCs w:val="28"/>
        </w:rPr>
        <w:t xml:space="preserve">4.1 Top 8 Risks Ranked by Severity ×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3760"/>
      </w:tblGrid>
      <w:tr>
        <w:tc>
          <w:tcPr>
            <w:tcW w:type="dxa" w:w="6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w:t>
            </w:r>
          </w:p>
        </w:tc>
        <w:tc>
          <w:tcPr>
            <w:tcW w:type="dxa" w:w="30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Risk</w:t>
            </w:r>
          </w:p>
        </w:tc>
        <w:tc>
          <w:tcPr>
            <w:tcW w:type="dxa" w:w="20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Severity × Likelihood</w:t>
            </w:r>
          </w:p>
        </w:tc>
        <w:tc>
          <w:tcPr>
            <w:tcW w:type="dxa" w:w="37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spacing w:after="0" w:line="260"/>
            </w:pPr>
            <w:r>
              <w:rPr>
                <w:rFonts w:ascii="Arial" w:cs="Arial" w:eastAsia="Arial" w:hAnsi="Arial"/>
                <w:b/>
                <w:bCs/>
                <w:color w:val="FFFFFF"/>
                <w:sz w:val="22"/>
                <w:szCs w:val="22"/>
              </w:rPr>
              <w:t xml:space="preserve">Mitigation</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1</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Double-booking or duplicate-charge incident in first 60 days</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Catastrophic × Medium</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DB-level constraints, idempotent payment intents, reconciliation cron, war-game in staging before launch</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2</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Stripe Connect payout delay or KYC rejection for early users</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High × Medium</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Onboard 5 dummy/test accounts in 3 jurisdictions before launch; have PayPal as fallback for rejected providers</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3</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GDPR complaint or data-rights request mishandled</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High × Low-Medium</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Legal review pre-launch; build right-to-erase as code, not a manual ops process</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4</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Slow product-market-fit signal — power users don't refer</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High × Medium</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Beta NPS gate (≥40); founder-led interviews every cohort; kill features that don't move retention</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5</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Commission cannibalization — providers send Stripe links off-platform</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High × Medium-High</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Make on-platform payment unmissably better: instant payouts, automatic invoices, deposit/no-show fee tools, refund-in-one-click</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6</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Niche pick is wrong — Beauty too crowded, Tutoring too fragmented</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Medium × Medium</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Run a 2-week 'killer test' in each niche at month 3 — if signup-to-first-booking conversion &lt; 30%, pivot niche</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7</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SMS deliverability degrades after first 1k messages (carrier filtering)</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Medium × Medium-High</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Dedicated long codes per country, monitor delivery rates, have email-only fallback</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jc w:val="center"/>
            </w:pPr>
            <w:r>
              <w:rPr>
                <w:rFonts w:ascii="Arial" w:cs="Arial" w:eastAsia="Arial" w:hAnsi="Arial"/>
                <w:b/>
                <w:bCs/>
                <w:color w:val="222222"/>
                <w:sz w:val="20"/>
                <w:szCs w:val="20"/>
              </w:rPr>
              <w:t xml:space="preserve">8</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b/>
                <w:bCs/>
                <w:color w:val="222222"/>
                <w:sz w:val="20"/>
                <w:szCs w:val="20"/>
              </w:rPr>
              <w:t xml:space="preserve">Fresha or Calendly launches a 'Solo Free' competing tier</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High × Low-Medium</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spacing w:after="0" w:line="260"/>
            </w:pPr>
            <w:r>
              <w:rPr>
                <w:rFonts w:ascii="Arial" w:cs="Arial" w:eastAsia="Arial" w:hAnsi="Arial"/>
                <w:color w:val="222222"/>
                <w:sz w:val="20"/>
                <w:szCs w:val="20"/>
              </w:rPr>
              <w:t xml:space="preserve">Move fast on niche depth and brand. Generic incumbents historically struggle to ship niche-specific UX. Ecosystem (Powered-by, content) is the moat.</w:t>
            </w:r>
          </w:p>
        </w:tc>
      </w:tr>
    </w:tbl>
    <w:p>
      <w:pPr>
        <w:pStyle w:val="Heading2"/>
        <w:spacing w:after="160" w:before="280"/>
      </w:pPr>
      <w:r>
        <w:rPr>
          <w:rFonts w:ascii="Arial" w:cs="Arial" w:eastAsia="Arial" w:hAnsi="Arial"/>
          <w:b/>
          <w:bCs/>
          <w:color w:val="1E5F8C"/>
          <w:sz w:val="28"/>
          <w:szCs w:val="28"/>
        </w:rPr>
        <w:t xml:space="preserve">4.2 Decisions Needed from the Founding Team This Week</w:t>
      </w:r>
    </w:p>
    <w:p>
      <w:pPr>
        <w:pStyle w:val="ListParagraph"/>
        <w:numPr>
          <w:ilvl w:val="0"/>
          <w:numId w:val="3"/>
        </w:numPr>
        <w:spacing w:after="80" w:line="280"/>
      </w:pPr>
      <w:r>
        <w:rPr>
          <w:rFonts w:ascii="Arial" w:cs="Arial" w:eastAsia="Arial" w:hAnsi="Arial"/>
          <w:color w:val="222222"/>
          <w:sz w:val="22"/>
          <w:szCs w:val="22"/>
        </w:rPr>
        <w:t xml:space="preserve">Confirm monetization model: Hybrid (Free + Solo Pro €19/mo + 1% capped) vs. an alternative.</w:t>
      </w:r>
    </w:p>
    <w:p>
      <w:pPr>
        <w:pStyle w:val="ListParagraph"/>
        <w:numPr>
          <w:ilvl w:val="0"/>
          <w:numId w:val="3"/>
        </w:numPr>
        <w:spacing w:after="80" w:line="280"/>
      </w:pPr>
      <w:r>
        <w:rPr>
          <w:rFonts w:ascii="Arial" w:cs="Arial" w:eastAsia="Arial" w:hAnsi="Arial"/>
          <w:color w:val="222222"/>
          <w:sz w:val="22"/>
          <w:szCs w:val="22"/>
        </w:rPr>
        <w:t xml:space="preserve">Confirm launch geography: single country (recommendation: NL) or two-country pilot (NL + UK).</w:t>
      </w:r>
    </w:p>
    <w:p>
      <w:pPr>
        <w:pStyle w:val="ListParagraph"/>
        <w:numPr>
          <w:ilvl w:val="0"/>
          <w:numId w:val="3"/>
        </w:numPr>
        <w:spacing w:after="80" w:line="280"/>
      </w:pPr>
      <w:r>
        <w:rPr>
          <w:rFonts w:ascii="Arial" w:cs="Arial" w:eastAsia="Arial" w:hAnsi="Arial"/>
          <w:color w:val="222222"/>
          <w:sz w:val="22"/>
          <w:szCs w:val="22"/>
        </w:rPr>
        <w:t xml:space="preserve">Confirm niche order: Beauty first (faster signal) or both Beauty + Tutoring in parallel (diluted but learning).</w:t>
      </w:r>
    </w:p>
    <w:p>
      <w:pPr>
        <w:pStyle w:val="ListParagraph"/>
        <w:numPr>
          <w:ilvl w:val="0"/>
          <w:numId w:val="3"/>
        </w:numPr>
        <w:spacing w:after="80" w:line="280"/>
      </w:pPr>
      <w:r>
        <w:rPr>
          <w:rFonts w:ascii="Arial" w:cs="Arial" w:eastAsia="Arial" w:hAnsi="Arial"/>
          <w:color w:val="222222"/>
          <w:sz w:val="22"/>
          <w:szCs w:val="22"/>
        </w:rPr>
        <w:t xml:space="preserve">Approve P0 critical-path scope and timeline. Anything compromised here puts launch at existential risk.</w:t>
      </w:r>
    </w:p>
    <w:p>
      <w:pPr>
        <w:pStyle w:val="ListParagraph"/>
        <w:numPr>
          <w:ilvl w:val="0"/>
          <w:numId w:val="3"/>
        </w:numPr>
        <w:spacing w:after="80" w:line="280"/>
      </w:pPr>
      <w:r>
        <w:rPr>
          <w:rFonts w:ascii="Arial" w:cs="Arial" w:eastAsia="Arial" w:hAnsi="Arial"/>
          <w:color w:val="222222"/>
          <w:sz w:val="22"/>
          <w:szCs w:val="22"/>
        </w:rPr>
        <w:t xml:space="preserve">Approve marketing budget envelope for months 4-6 (€5-10k/mo) and headcount (+1 growth marketer).</w:t>
      </w:r>
    </w:p>
    <w:p>
      <w:pPr>
        <w:pStyle w:val="Heading2"/>
        <w:spacing w:after="160" w:before="280"/>
      </w:pPr>
      <w:r>
        <w:rPr>
          <w:rFonts w:ascii="Arial" w:cs="Arial" w:eastAsia="Arial" w:hAnsi="Arial"/>
          <w:b/>
          <w:bCs/>
          <w:color w:val="1E5F8C"/>
          <w:sz w:val="28"/>
          <w:szCs w:val="28"/>
        </w:rPr>
        <w:t xml:space="preserve">4.3 First 30-Day Action List</w:t>
      </w:r>
    </w:p>
    <w:p>
      <w:pPr>
        <w:pStyle w:val="ListParagraph"/>
        <w:numPr>
          <w:ilvl w:val="0"/>
          <w:numId w:val="3"/>
        </w:numPr>
        <w:spacing w:after="80" w:line="280"/>
      </w:pPr>
      <w:r>
        <w:rPr>
          <w:rFonts w:ascii="Arial" w:cs="Arial" w:eastAsia="Arial" w:hAnsi="Arial"/>
          <w:color w:val="222222"/>
          <w:sz w:val="22"/>
          <w:szCs w:val="22"/>
        </w:rPr>
        <w:t xml:space="preserve">Week 1: Lock monetization, niche, geography. Engage launch-country lawyer for T&amp;Cs review.</w:t>
      </w:r>
    </w:p>
    <w:p>
      <w:pPr>
        <w:pStyle w:val="ListParagraph"/>
        <w:numPr>
          <w:ilvl w:val="0"/>
          <w:numId w:val="3"/>
        </w:numPr>
        <w:spacing w:after="80" w:line="280"/>
      </w:pPr>
      <w:r>
        <w:rPr>
          <w:rFonts w:ascii="Arial" w:cs="Arial" w:eastAsia="Arial" w:hAnsi="Arial"/>
          <w:color w:val="222222"/>
          <w:sz w:val="22"/>
          <w:szCs w:val="22"/>
        </w:rPr>
        <w:t xml:space="preserve">Week 1-2: Run double-booking war-game in staging (the 5 acceptance tests in §1.1).</w:t>
      </w:r>
    </w:p>
    <w:p>
      <w:pPr>
        <w:pStyle w:val="ListParagraph"/>
        <w:numPr>
          <w:ilvl w:val="0"/>
          <w:numId w:val="3"/>
        </w:numPr>
        <w:spacing w:after="80" w:line="280"/>
      </w:pPr>
      <w:r>
        <w:rPr>
          <w:rFonts w:ascii="Arial" w:cs="Arial" w:eastAsia="Arial" w:hAnsi="Arial"/>
          <w:color w:val="222222"/>
          <w:sz w:val="22"/>
          <w:szCs w:val="22"/>
        </w:rPr>
        <w:t xml:space="preserve">Week 2-3: Onboard Stripe Connect + 3 test providers with real (small) bookings.</w:t>
      </w:r>
    </w:p>
    <w:p>
      <w:pPr>
        <w:pStyle w:val="ListParagraph"/>
        <w:numPr>
          <w:ilvl w:val="0"/>
          <w:numId w:val="3"/>
        </w:numPr>
        <w:spacing w:after="80" w:line="280"/>
      </w:pPr>
      <w:r>
        <w:rPr>
          <w:rFonts w:ascii="Arial" w:cs="Arial" w:eastAsia="Arial" w:hAnsi="Arial"/>
          <w:color w:val="222222"/>
          <w:sz w:val="22"/>
          <w:szCs w:val="22"/>
        </w:rPr>
        <w:t xml:space="preserve">Week 3: Ship SSR provider page template with schema.org and Lighthouse ≥ 90.</w:t>
      </w:r>
    </w:p>
    <w:p>
      <w:pPr>
        <w:pStyle w:val="ListParagraph"/>
        <w:numPr>
          <w:ilvl w:val="0"/>
          <w:numId w:val="3"/>
        </w:numPr>
        <w:spacing w:after="80" w:line="280"/>
      </w:pPr>
      <w:r>
        <w:rPr>
          <w:rFonts w:ascii="Arial" w:cs="Arial" w:eastAsia="Arial" w:hAnsi="Arial"/>
          <w:color w:val="222222"/>
          <w:sz w:val="22"/>
          <w:szCs w:val="22"/>
        </w:rPr>
        <w:t xml:space="preserve">Week 3-4: Founder books 20 in-person beta interviews in target cities.</w:t>
      </w:r>
    </w:p>
    <w:p>
      <w:pPr>
        <w:pStyle w:val="ListParagraph"/>
        <w:numPr>
          <w:ilvl w:val="0"/>
          <w:numId w:val="3"/>
        </w:numPr>
        <w:spacing w:after="80" w:line="280"/>
      </w:pPr>
      <w:r>
        <w:rPr>
          <w:rFonts w:ascii="Arial" w:cs="Arial" w:eastAsia="Arial" w:hAnsi="Arial"/>
          <w:color w:val="222222"/>
          <w:sz w:val="22"/>
          <w:szCs w:val="22"/>
        </w:rPr>
        <w:t xml:space="preserve">Week 4: Write the public T&amp;Cs, Privacy Policy, DPA, sub-processor list. Publish.</w:t>
      </w:r>
    </w:p>
    <w:p>
      <w:pPr>
        <w:pStyle w:val="ListParagraph"/>
        <w:numPr>
          <w:ilvl w:val="0"/>
          <w:numId w:val="3"/>
        </w:numPr>
        <w:spacing w:after="80" w:line="280"/>
      </w:pPr>
      <w:r>
        <w:rPr>
          <w:rFonts w:ascii="Arial" w:cs="Arial" w:eastAsia="Arial" w:hAnsi="Arial"/>
          <w:color w:val="222222"/>
          <w:sz w:val="22"/>
          <w:szCs w:val="22"/>
        </w:rPr>
        <w:t xml:space="preserve">End of week 4: Launch closed beta to first 10 providers. Begin daily standups on incident dashboard.</w:t>
      </w:r>
    </w:p>
    <w:p>
      <w:pPr>
        <w:pBdr>
          <w:bottom w:val="single" w:color="1E5F8C" w:sz="6" w:space="1"/>
        </w:pBdr>
        <w:spacing w:after="100" w:before="100"/>
      </w:pPr>
      <w:r>
        <w:t xml:space="preserve"/>
      </w:r>
    </w:p>
    <w:p>
      <w:pPr>
        <w:spacing w:after="100" w:before="0" w:line="300"/>
      </w:pPr>
      <w:r>
        <w:rPr>
          <w:rFonts w:ascii="Arial" w:cs="Arial" w:eastAsia="Arial" w:hAnsi="Arial"/>
          <w:i/>
          <w:iCs/>
          <w:color w:val="555555"/>
          <w:sz w:val="22"/>
          <w:szCs w:val="22"/>
        </w:rPr>
        <w:t xml:space="preserve">This document is a living plan. Revisit at the end of every quarter against actuals. The biggest risk in the next year is not getting any of these decisions wrong — it's getting all of them stuck in indefinite debate. Pick a path, ship it, measure it, change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SoloHub Confidential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SoloHub — Strategic Plan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5F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77F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SoloHub — Production-Readiness Audit, 12-Month Business Plan &amp; Marketing Roadmap</dc:title>
  <dc:creator>SoloHub Strategic Advisory</dc:creator>
  <cp:lastModifiedBy>Un-named</cp:lastModifiedBy>
  <cp:revision>1</cp:revision>
  <dcterms:created xsi:type="dcterms:W3CDTF">2026-04-28T19:26:28.802Z</dcterms:created>
  <dcterms:modified xsi:type="dcterms:W3CDTF">2026-04-28T19:26:28.803Z</dcterms:modified>
</cp:coreProperties>
</file>

<file path=docProps/custom.xml><?xml version="1.0" encoding="utf-8"?>
<Properties xmlns="http://schemas.openxmlformats.org/officeDocument/2006/custom-properties" xmlns:vt="http://schemas.openxmlformats.org/officeDocument/2006/docPropsVTypes"/>
</file>