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numPr>
          <w:ilvl w:val="4"/>
          <w:numId w:val="1"/>
        </w:numPr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ind w:left="0" w:right="0" w:hanging="1008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האוניברסיטה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העברית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בירושלים</w:t>
      </w:r>
    </w:p>
    <w:p w:rsidR="00000000" w:rsidDel="00000000" w:rsidP="00000000" w:rsidRDefault="00000000" w:rsidRPr="00000000" w14:paraId="00000002">
      <w:pPr>
        <w:pStyle w:val="Heading5"/>
        <w:numPr>
          <w:ilvl w:val="4"/>
          <w:numId w:val="1"/>
        </w:numPr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ind w:left="0" w:right="0" w:hanging="1008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הפקולטה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למתמטיקה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ולמדעי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הטבע</w:t>
      </w:r>
    </w:p>
    <w:p w:rsidR="00000000" w:rsidDel="00000000" w:rsidP="00000000" w:rsidRDefault="00000000" w:rsidRPr="00000000" w14:paraId="00000003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1"/>
        </w:rPr>
        <w:t xml:space="preserve">מכון</w:t>
      </w: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1"/>
        </w:rPr>
        <w:t xml:space="preserve">אינשטיין</w:t>
      </w: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1"/>
        </w:rPr>
        <w:t xml:space="preserve">למתמטיקה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עבודת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גמר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לתואר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מוסמך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בנושא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חישובים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בתורת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קרקטרים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מוכללת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בגובה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Towards Computation of HKR Generalized Characters at Height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מוגש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ידי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שי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בן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משה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העבודה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הוכנה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בהדרכת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פרופ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תומר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1"/>
        </w:rPr>
        <w:t xml:space="preserve">שלנק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0</w:t>
      </w:r>
      <w:r w:rsidDel="00000000" w:rsidR="00000000" w:rsidRPr="00000000">
        <w:rPr>
          <w:rFonts w:ascii="Tahoma" w:cs="Tahoma" w:eastAsia="Tahoma" w:hAnsi="Tahoma"/>
          <w:rtl w:val="0"/>
        </w:rPr>
        <w:t xml:space="preserve">4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/0</w:t>
      </w:r>
      <w:r w:rsidDel="00000000" w:rsidR="00000000" w:rsidRPr="00000000">
        <w:rPr>
          <w:rFonts w:ascii="Tahoma" w:cs="Tahoma" w:eastAsia="Tahoma" w:hAnsi="Tahoma"/>
          <w:rtl w:val="0"/>
        </w:rPr>
        <w:t xml:space="preserve">9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/2018</w:t>
      </w:r>
    </w:p>
    <w:p w:rsidR="00000000" w:rsidDel="00000000" w:rsidP="00000000" w:rsidRDefault="00000000" w:rsidRPr="00000000" w14:paraId="0000001F">
      <w:pPr>
        <w:keepLines w:val="0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0" w:before="0" w:lineRule="auto"/>
        <w:ind w:left="0" w:right="0"/>
        <w:jc w:val="left"/>
        <w:rPr>
          <w:vertAlign w:val="baseli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'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אלול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vertAlign w:val="baseline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vertAlign w:val="baseline"/>
          <w:rtl w:val="1"/>
        </w:rPr>
        <w:t xml:space="preserve">תשע</w:t>
      </w:r>
      <w:r w:rsidDel="00000000" w:rsidR="00000000" w:rsidRPr="00000000">
        <w:rPr>
          <w:rFonts w:ascii="Tahoma" w:cs="Tahoma" w:eastAsia="Tahoma" w:hAnsi="Tahoma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ט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keepLines w:val="1"/>
        <w:tabs>
          <w:tab w:val="left" w:pos="567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right" w:pos="10773"/>
        </w:tabs>
        <w:bidi w:val="1"/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0"/>
      <w:bidi w:val="1"/>
      <w:spacing w:after="0" w:before="0" w:lineRule="auto"/>
      <w:ind w:left="0" w:right="0" w:firstLine="0"/>
      <w:jc w:val="right"/>
    </w:pPr>
    <w:rPr>
      <w:rFonts w:ascii="Tahoma" w:cs="Tahoma" w:eastAsia="Tahoma" w:hAnsi="Tahoma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