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widowControl w:val="false"/>
        <w:numPr>
          <w:ilvl w:val="0"/>
          <w:numId w:val="0"/>
        </w:numPr>
        <w:spacing w:lineRule="exact" w:line="648" w:before="0" w:after="0"/>
        <w:ind w:hanging="0" w:left="0" w:right="60"/>
        <w:jc w:val="right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14:ligatures w14:val="standardContextual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14:ligatures w14:val="standardContextual"/>
        </w:rPr>
        <w:t>Утвърдил:…….……….</w:t>
      </w:r>
    </w:p>
    <w:p>
      <w:pPr>
        <w:pStyle w:val="Normal"/>
        <w:keepNext w:val="true"/>
        <w:keepLines/>
        <w:widowControl w:val="false"/>
        <w:numPr>
          <w:ilvl w:val="0"/>
          <w:numId w:val="0"/>
        </w:numPr>
        <w:spacing w:lineRule="auto" w:line="240" w:before="0" w:after="0"/>
        <w:ind w:hanging="0" w:left="0" w:right="60"/>
        <w:jc w:val="right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14:ligatures w14:val="standardContextual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14:ligatures w14:val="standardContextual"/>
        </w:rPr>
        <w:t>Фанка Къшева</w:t>
      </w:r>
    </w:p>
    <w:p>
      <w:pPr>
        <w:pStyle w:val="Normal"/>
        <w:keepNext w:val="true"/>
        <w:keepLines/>
        <w:widowControl w:val="false"/>
        <w:numPr>
          <w:ilvl w:val="0"/>
          <w:numId w:val="0"/>
        </w:numPr>
        <w:spacing w:lineRule="auto" w:line="240" w:before="0" w:after="2880"/>
        <w:ind w:hanging="0" w:left="0" w:right="60"/>
        <w:jc w:val="right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14:ligatures w14:val="standardContextual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14:ligatures w14:val="standardContextual"/>
        </w:rPr>
        <w:t>/директор/</w:t>
      </w:r>
    </w:p>
    <w:p>
      <w:pPr>
        <w:pStyle w:val="Normal"/>
        <w:spacing w:lineRule="auto" w:line="252"/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</w:pPr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</w:r>
    </w:p>
    <w:p>
      <w:pPr>
        <w:pStyle w:val="Normal"/>
        <w:spacing w:lineRule="auto" w:line="252"/>
        <w:jc w:val="center"/>
        <w:rPr>
          <w:sz w:val="36"/>
          <w:szCs w:val="36"/>
        </w:rPr>
      </w:pPr>
      <w:r>
        <w:rPr>
          <w:rFonts w:cs="Times New Roman" w:ascii="Times New Roman" w:hAnsi="Times New Roman"/>
          <w:kern w:val="2"/>
          <w:sz w:val="36"/>
          <w:szCs w:val="36"/>
          <w14:ligatures w14:val="standardContextual"/>
        </w:rPr>
        <w:t>УЧЕБНА ПРОГРАМА</w:t>
      </w:r>
    </w:p>
    <w:p>
      <w:pPr>
        <w:pStyle w:val="Normal"/>
        <w:spacing w:lineRule="auto" w:line="252"/>
        <w:jc w:val="center"/>
        <w:rPr>
          <w:sz w:val="36"/>
          <w:szCs w:val="36"/>
        </w:rPr>
      </w:pPr>
      <w:r>
        <w:rPr>
          <w:rFonts w:cs="Times New Roman" w:ascii="Times New Roman" w:hAnsi="Times New Roman"/>
          <w:kern w:val="2"/>
          <w:sz w:val="36"/>
          <w:szCs w:val="36"/>
          <w14:ligatures w14:val="standardContextual"/>
        </w:rPr>
        <w:t>по</w:t>
      </w:r>
    </w:p>
    <w:p>
      <w:pPr>
        <w:pStyle w:val="Normal"/>
        <w:spacing w:lineRule="auto" w:line="252"/>
        <w:jc w:val="center"/>
        <w:rPr>
          <w:sz w:val="36"/>
          <w:szCs w:val="36"/>
        </w:rPr>
      </w:pPr>
      <w:r>
        <w:rPr>
          <w:rFonts w:cs="Times New Roman" w:ascii="Times New Roman" w:hAnsi="Times New Roman"/>
          <w:color w:val="000000"/>
          <w:kern w:val="2"/>
          <w:sz w:val="36"/>
          <w:szCs w:val="36"/>
          <w14:ligatures w14:val="standardContextual"/>
        </w:rPr>
        <w:t>„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kern w:val="2"/>
          <w:sz w:val="36"/>
          <w:szCs w:val="36"/>
          <w14:ligatures w14:val="standardContextual"/>
        </w:rPr>
        <w:t>Икономическа информатика - СПП</w:t>
      </w:r>
      <w:r>
        <w:rPr>
          <w:rFonts w:cs="Times New Roman" w:ascii="Times New Roman" w:hAnsi="Times New Roman"/>
          <w:color w:val="000000"/>
          <w:kern w:val="2"/>
          <w:sz w:val="36"/>
          <w:szCs w:val="36"/>
          <w14:ligatures w14:val="standardContextual"/>
        </w:rPr>
        <w:t xml:space="preserve">“ </w:t>
      </w:r>
      <w:r>
        <w:rPr>
          <w:rFonts w:cs="Times New Roman" w:ascii="Times New Roman" w:hAnsi="Times New Roman"/>
          <w:color w:val="000000"/>
          <w:kern w:val="2"/>
          <w:sz w:val="36"/>
          <w:szCs w:val="36"/>
          <w:lang w:val="en-US"/>
          <w14:ligatures w14:val="standardContextual"/>
        </w:rPr>
        <w:t>XI</w:t>
      </w:r>
      <w:r>
        <w:rPr>
          <w:rFonts w:cs="Times New Roman" w:ascii="Times New Roman" w:hAnsi="Times New Roman"/>
          <w:color w:val="000000"/>
          <w:kern w:val="2"/>
          <w:sz w:val="36"/>
          <w:szCs w:val="36"/>
          <w14:ligatures w14:val="standardContextual"/>
        </w:rPr>
        <w:t xml:space="preserve"> клас</w:t>
      </w:r>
      <w:r>
        <w:rPr>
          <w:rFonts w:cs="Times New Roman" w:ascii="Times New Roman" w:hAnsi="Times New Roman"/>
          <w:color w:val="000000"/>
          <w:kern w:val="2"/>
          <w:sz w:val="36"/>
          <w:szCs w:val="36"/>
        </w:rPr>
        <w:br/>
        <w:t>За приравнителени изпити</w:t>
      </w:r>
    </w:p>
    <w:p>
      <w:pPr>
        <w:pStyle w:val="Normal"/>
        <w:spacing w:lineRule="auto" w:line="252" w:before="0" w:after="6782"/>
        <w:jc w:val="center"/>
        <w:rPr>
          <w:sz w:val="36"/>
          <w:szCs w:val="36"/>
        </w:rPr>
      </w:pPr>
      <w:r>
        <w:rPr>
          <w:rFonts w:cs="Times New Roman" w:ascii="Times New Roman" w:hAnsi="Times New Roman"/>
          <w:kern w:val="2"/>
          <w:sz w:val="36"/>
          <w:szCs w:val="36"/>
          <w14:ligatures w14:val="standardContextual"/>
        </w:rPr>
        <w:t>2025/2026 година</w:t>
      </w:r>
    </w:p>
    <w:tbl>
      <w:tblPr>
        <w:tblStyle w:val="TableGrid"/>
        <w:tblW w:w="9123" w:type="dxa"/>
        <w:jc w:val="left"/>
        <w:tblInd w:w="191" w:type="dxa"/>
        <w:tblLayout w:type="fixed"/>
        <w:tblCellMar>
          <w:top w:w="57" w:type="dxa"/>
          <w:left w:w="108" w:type="dxa"/>
          <w:bottom w:w="57" w:type="dxa"/>
          <w:right w:w="108" w:type="dxa"/>
        </w:tblCellMar>
        <w:tblLook w:val="04a0" w:noHBand="0" w:noVBand="1" w:firstColumn="1" w:lastRow="0" w:lastColumn="0" w:firstRow="1"/>
      </w:tblPr>
      <w:tblGrid>
        <w:gridCol w:w="1454"/>
        <w:gridCol w:w="7669"/>
      </w:tblGrid>
      <w:tr>
        <w:trPr>
          <w:trHeight w:val="680" w:hRule="atLeast"/>
        </w:trPr>
        <w:tc>
          <w:tcPr>
            <w:tcW w:w="14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2"/>
                <w:szCs w:val="22"/>
                <w:lang w:val="bg-BG" w:eastAsia="en-US" w:bidi="ar-SA"/>
              </w:rPr>
              <w:t>№</w:t>
            </w:r>
          </w:p>
        </w:tc>
        <w:tc>
          <w:tcPr>
            <w:tcW w:w="76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2"/>
                <w:szCs w:val="22"/>
                <w:lang w:val="bg-BG" w:eastAsia="en-US" w:bidi="ar-SA"/>
              </w:rPr>
              <w:t>НАИМЕНОВАНИЕ НА РАЗДЕЛИТЕ И ТЕМИТЕ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bg-BG" w:eastAsia="en-US" w:bidi="ar-SA"/>
              </w:rPr>
              <w:t>РАЗДЕЛ I. Електронни таблици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Вградени функции.  Използване на математически и  логически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SS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 xml:space="preserve"> функции. Функции за работа с  текст. Функции за работа с времена и дати.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Условно форматиране на клетки.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 xml:space="preserve">Проверка на коректността. </w:t>
            </w:r>
            <w:r>
              <w:rPr>
                <w:rFonts w:eastAsia="Calibri" w:cs="Times New Roman" w:ascii="Times New Roman" w:hAnsi="Times New Roman"/>
                <w:i/>
                <w:iCs/>
                <w:color w:val="000000"/>
                <w:kern w:val="0"/>
                <w:sz w:val="24"/>
                <w:szCs w:val="24"/>
                <w:lang w:val="bg-BG" w:eastAsia="en-US" w:bidi="ar-SA"/>
              </w:rPr>
              <w:t>Използване на вградените средства за проверка на коректността на въведените данни.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 xml:space="preserve">Инструменти за проверка на формулите и функциите. </w:t>
            </w:r>
            <w:r>
              <w:rPr>
                <w:rFonts w:eastAsia="Calibri" w:cs="Times New Roman" w:ascii="Times New Roman" w:hAnsi="Times New Roman"/>
                <w:i/>
                <w:iCs/>
                <w:color w:val="000000"/>
                <w:kern w:val="0"/>
                <w:sz w:val="24"/>
                <w:szCs w:val="24"/>
                <w:lang w:val="bg-BG" w:eastAsia="en-US" w:bidi="ar-SA"/>
              </w:rPr>
              <w:t>Използване на вградените средства за проверка на формулите.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 xml:space="preserve">Организация и управление на списъци. </w:t>
            </w:r>
            <w:r>
              <w:rPr>
                <w:rFonts w:eastAsia="Calibri" w:cs="Times New Roman" w:ascii="Times New Roman" w:hAnsi="Times New Roman"/>
                <w:i/>
                <w:iCs/>
                <w:color w:val="000000"/>
                <w:kern w:val="0"/>
                <w:sz w:val="24"/>
                <w:szCs w:val="24"/>
                <w:lang w:val="bg-BG" w:eastAsia="en-US" w:bidi="ar-SA"/>
              </w:rPr>
              <w:t>Използване на списъци за организиране на данните. Създаване на междинни и крайни суми.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 xml:space="preserve">Обобщени таблици (Pivot tables). </w:t>
            </w:r>
            <w:r>
              <w:rPr>
                <w:rFonts w:eastAsia="Calibri" w:cs="Times New Roman" w:ascii="Times New Roman" w:hAnsi="Times New Roman"/>
                <w:i/>
                <w:iCs/>
                <w:color w:val="000000"/>
                <w:kern w:val="0"/>
                <w:sz w:val="24"/>
                <w:szCs w:val="24"/>
                <w:lang w:val="bg-BG" w:eastAsia="en-US" w:bidi="ar-SA"/>
              </w:rPr>
              <w:t>Създаване, конфигуриране и филтриране на обобщена таблица. Създаване на обобщена диаграма.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Разработване на проект.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ListParagraph"/>
              <w:widowControl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bg-BG" w:eastAsia="en-US" w:bidi="ar-SA"/>
              </w:rPr>
              <w:t>РАЗДЕЛ IІ. MS Access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Жизнен цикъл на разработване на една информационна система.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Обекти на базата от данни.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Типове данни.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Таблици.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Селектиращи заявки. Извличане на справки.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Активни заявки. Създаване на таблица. Изтриване, актуализиране и добавяне на записи.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Вградени функции: IIF и др.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i/>
                <w:i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Създаване на заявки с групиране и агрегатни функции: AVG, COUNT, SUM и други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Дизайн на форми и отчети.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Импортиране и експортиране на данни.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Създаване на селектиращи заявки в SQL редактор.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Разработване на проект.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ListParagraph"/>
              <w:widowControl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bg-BG" w:eastAsia="en-US" w:bidi="ar-SA"/>
              </w:rPr>
              <w:t>РАЗДЕЛ III. Компютърна графика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Теоретични основи на компютърната графика</w:t>
            </w:r>
            <w:r>
              <w:rPr>
                <w:rFonts w:eastAsia="Calibri" w:cs="Times New Roman" w:ascii="Times New Roman" w:hAnsi="Times New Roman"/>
                <w:i/>
                <w:iCs/>
                <w:color w:val="000000"/>
                <w:kern w:val="0"/>
                <w:sz w:val="24"/>
                <w:szCs w:val="24"/>
                <w:lang w:val="bg-BG" w:eastAsia="en-US" w:bidi="ar-SA"/>
              </w:rPr>
              <w:t>.</w:t>
            </w: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i/>
                <w:iCs/>
                <w:color w:val="000000"/>
                <w:kern w:val="0"/>
                <w:sz w:val="24"/>
                <w:szCs w:val="24"/>
                <w:lang w:val="bg-BG" w:eastAsia="en-US" w:bidi="ar-SA"/>
              </w:rPr>
              <w:t>Видове графични изображения. Основни понятия. Цветови модели. Графични файлови формати. Предимства и недостатъци на различните формати.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bg-BG" w:eastAsia="en-US" w:bidi="ar-SA"/>
              </w:rPr>
              <w:t>Работа с векторна графика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Работен екран. Общи настройки.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Основи на рисуването.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Инструменти. Действия с текст.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Създаване и обработка на изображения.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Векторизиране на растерни изображения.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Създаване на рекламни материали.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bg-BG" w:eastAsia="en-US" w:bidi="ar-SA"/>
              </w:rPr>
              <w:t>Работа с растерна графика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Работен екран. Общи настройки.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Цветове. Инструменти за работа с цветове. Определяне на цветове за рисуване и фон.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Инструменти за селектиране.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Инструменти за рисуване.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Инструменти за редакция.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Работа с текст.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Филтри.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ind w:hanging="2"/>
              <w:jc w:val="left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Слоеве.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Канали и маски.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Техники за цветова корекция.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Подготовка на изображения за публикуване в уеб.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de-DE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Обработка на растерни изображения по зададена тема.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  <w:lang w:val="bg-BG" w:eastAsia="en-US" w:bidi="ar-SA"/>
              </w:rPr>
              <w:t>Фрактална графика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auto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color w:val="000000"/>
                <w:kern w:val="0"/>
                <w:sz w:val="24"/>
                <w:szCs w:val="24"/>
                <w:lang w:val="bg-BG" w:eastAsia="en-US" w:bidi="ar-SA"/>
              </w:rPr>
              <w:t>Понятия за фрактална графика.</w:t>
            </w:r>
          </w:p>
        </w:tc>
      </w:tr>
      <w:tr>
        <w:trPr>
          <w:trHeight w:val="283" w:hRule="atLeast"/>
        </w:trPr>
        <w:tc>
          <w:tcPr>
            <w:tcW w:w="1454" w:type="dxa"/>
            <w:tcBorders>
              <w:left w:val="single" w:sz="8" w:space="0" w:color="000000"/>
              <w:bottom w:val="single" w:sz="8" w:space="0" w:color="000000"/>
            </w:tcBorders>
            <w:shd w:color="auto" w:fill="D9D9D9" w:themeFill="background1" w:themeFillShade="d9" w:val="clear"/>
          </w:tcPr>
          <w:p>
            <w:pPr>
              <w:pStyle w:val="ListParagraph"/>
              <w:widowControl/>
              <w:spacing w:lineRule="auto" w:line="240" w:before="0" w:after="0"/>
              <w:contextualSpacing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766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right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252" w:before="0" w:after="160"/>
        <w:jc w:val="center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7" w:right="1417" w:gutter="0" w:header="709" w:top="1417" w:footer="0" w:bottom="1417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DejaVu Serif">
    <w:altName w:val="Times New Roman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DejaVu Serif;Times New Roman;serif" w:hAnsi="DejaVu Serif;Times New Roman;serif"/>
        <w:b w:val="false"/>
        <w:i w:val="false"/>
        <w:i w:val="false"/>
        <w:caps w:val="false"/>
        <w:smallCaps w:val="false"/>
        <w:color w:val="000000"/>
        <w:spacing w:val="0"/>
      </w:rPr>
    </w:pPr>
    <w:r>
      <w:rPr>
        <w:rFonts w:ascii="DejaVu Serif;Times New Roman;serif" w:hAnsi="DejaVu Serif;Times New Roman;serif"/>
        <w:b w:val="false"/>
        <w:i w:val="false"/>
        <w:caps w:val="false"/>
        <w:smallCaps w:val="false"/>
        <w:color w:val="000000"/>
        <w:spacing w:val="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numPr>
        <w:ilvl w:val="0"/>
        <w:numId w:val="0"/>
      </w:numPr>
      <w:spacing w:lineRule="auto" w:line="240" w:before="0" w:after="0"/>
      <w:ind w:hanging="0" w:left="0" w:right="-83"/>
      <w:jc w:val="left"/>
      <w:outlineLvl w:val="0"/>
      <w:rPr/>
    </w:pPr>
    <w:r>
      <w:drawing>
        <wp:anchor behindDoc="1" distT="0" distB="0" distL="114300" distR="114300" simplePos="0" locked="0" layoutInCell="0" allowOverlap="1" relativeHeight="2">
          <wp:simplePos x="0" y="0"/>
          <wp:positionH relativeFrom="page">
            <wp:posOffset>156845</wp:posOffset>
          </wp:positionH>
          <wp:positionV relativeFrom="page">
            <wp:posOffset>112395</wp:posOffset>
          </wp:positionV>
          <wp:extent cx="581025" cy="847725"/>
          <wp:effectExtent l="0" t="0" r="0" b="0"/>
          <wp:wrapSquare wrapText="right"/>
          <wp:docPr id="1" name="Картина 1" descr="http://tbn2.google.com/images?q=tbn:bgsK9iWqQSYBcM:http://www.slovo.bg/old/vaptsarov/pixnv.g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Картина 1" descr="http://tbn2.google.com/images?q=tbn:bgsK9iWqQSYBcM:http://www.slovo.bg/old/vaptsarov/pixnv.gif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1025" cy="847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Times New Roman" w:ascii="Times New Roman" w:hAnsi="Times New Roman"/>
        <w:b/>
        <w:bCs/>
        <w:color w:val="000000"/>
        <w:kern w:val="2"/>
        <w:sz w:val="28"/>
        <w:szCs w:val="28"/>
        <w:lang w:val="ru-RU"/>
        <w14:ligatures w14:val="standardContextual"/>
      </w:rPr>
      <w:t>МИНИСТЕРСТВО НА ОБРАЗОВАНИЕТО И НАУКАТА</w:t>
    </w:r>
  </w:p>
  <w:p>
    <w:pPr>
      <w:pStyle w:val="Normal"/>
      <w:tabs>
        <w:tab w:val="clear" w:pos="708"/>
        <w:tab w:val="left" w:pos="3180" w:leader="none"/>
      </w:tabs>
      <w:spacing w:lineRule="auto" w:line="240" w:before="0" w:after="0"/>
      <w:jc w:val="left"/>
      <w:rPr/>
    </w:pPr>
    <w:r>
      <w:rPr>
        <w:rFonts w:cs="Times New Roman" w:ascii="Times New Roman" w:hAnsi="Times New Roman"/>
        <w:b/>
        <w:color w:val="000000"/>
        <w:kern w:val="2"/>
        <w:sz w:val="28"/>
        <w:szCs w:val="28"/>
        <w:u w:val="single"/>
        <w:lang w:bidi="en-US"/>
        <w14:ligatures w14:val="standardContextual"/>
      </w:rPr>
      <w:t xml:space="preserve">ПРОФЕСИОНАЛНА </w:t>
    </w:r>
    <w:r>
      <w:rPr>
        <w:rFonts w:cs="Times New Roman" w:ascii="Times New Roman" w:hAnsi="Times New Roman"/>
        <w:b/>
        <w:color w:val="000000"/>
        <w:kern w:val="2"/>
        <w:sz w:val="28"/>
        <w:szCs w:val="28"/>
        <w:u w:val="single"/>
        <w:lang w:val="en-US" w:bidi="en-US"/>
        <w14:ligatures w14:val="standardContextual"/>
      </w:rPr>
      <w:t>ГИМНАЗИЯ „НИКОЛА ЙОНКОВ ВАПЦАРОВ”</w:t>
    </w:r>
  </w:p>
  <w:p>
    <w:pPr>
      <w:pStyle w:val="Normal"/>
      <w:tabs>
        <w:tab w:val="clear" w:pos="708"/>
        <w:tab w:val="center" w:pos="4536" w:leader="none"/>
        <w:tab w:val="right" w:pos="9072" w:leader="none"/>
      </w:tabs>
      <w:spacing w:lineRule="auto" w:line="240" w:before="0" w:after="0"/>
      <w:rPr/>
    </w:pPr>
    <w:r>
      <w:rPr>
        <w:rFonts w:cs="Times New Roman" w:ascii="Times New Roman" w:hAnsi="Times New Roman"/>
        <w:b/>
        <w:color w:val="000000"/>
        <w:kern w:val="2"/>
        <w:sz w:val="18"/>
        <w:szCs w:val="18"/>
        <w:lang w:val="en-US" w:eastAsia="bg-BG"/>
        <w14:ligatures w14:val="standardContextual"/>
      </w:rPr>
      <w:t>г</w:t>
    </w:r>
    <w:r>
      <w:rPr>
        <w:rFonts w:cs="Times New Roman" w:ascii="Times New Roman" w:hAnsi="Times New Roman"/>
        <w:color w:val="000000"/>
        <w:kern w:val="2"/>
        <w:sz w:val="18"/>
        <w:szCs w:val="18"/>
        <w:lang w:val="en-US" w:eastAsia="bg-BG"/>
        <w14:ligatures w14:val="standardContextual"/>
      </w:rPr>
      <w:t xml:space="preserve">р. Белица 2780, Обл. Благоевград , ул. “Димо Хаджидимов”17 ,Тел: </w:t>
    </w:r>
    <w:r>
      <w:rPr>
        <w:rFonts w:cs="Times New Roman" w:ascii="Times New Roman" w:hAnsi="Times New Roman"/>
        <w:color w:val="000000"/>
        <w:kern w:val="2"/>
        <w:sz w:val="18"/>
        <w:szCs w:val="18"/>
        <w:lang w:eastAsia="bg-BG"/>
        <w14:ligatures w14:val="standardContextual"/>
      </w:rPr>
      <w:t>0983605220</w:t>
    </w:r>
    <w:r>
      <w:rPr>
        <w:rFonts w:cs="Times New Roman" w:ascii="Times New Roman" w:hAnsi="Times New Roman"/>
        <w:color w:val="000000"/>
        <w:kern w:val="2"/>
        <w:sz w:val="18"/>
        <w:szCs w:val="18"/>
        <w:lang w:val="en-US" w:eastAsia="bg-BG"/>
        <w14:ligatures w14:val="standardContextual"/>
      </w:rPr>
      <w:t xml:space="preserve"> e-mail info-105002@edu.mon.bg</w:t>
    </w:r>
  </w:p>
  <w:p>
    <w:pPr>
      <w:pStyle w:val="Normal"/>
      <w:tabs>
        <w:tab w:val="clear" w:pos="708"/>
        <w:tab w:val="center" w:pos="4536" w:leader="none"/>
        <w:tab w:val="right" w:pos="9072" w:leader="none"/>
      </w:tabs>
      <w:spacing w:lineRule="auto" w:line="240" w:before="0" w:after="0"/>
      <w:rPr>
        <w:kern w:val="2"/>
        <w14:ligatures w14:val="standardContextual"/>
      </w:rPr>
    </w:pPr>
    <w:r>
      <w:rPr>
        <w:kern w:val="2"/>
        <w14:ligatures w14:val="standardContextual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bg-BG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bg-BG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f243f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bg-BG" w:eastAsia="en-US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DejaVu Sans" w:cs="Noto Sans Arabic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Горен колонтитул Знак"/>
    <w:basedOn w:val="DefaultParagraphFont"/>
    <w:link w:val="Header"/>
    <w:uiPriority w:val="99"/>
    <w:qFormat/>
    <w:rsid w:val="00cf243f"/>
    <w:rPr/>
  </w:style>
  <w:style w:type="character" w:styleId="Style14" w:customStyle="1">
    <w:name w:val="Долен колонтитул Знак"/>
    <w:basedOn w:val="DefaultParagraphFont"/>
    <w:link w:val="Footer"/>
    <w:uiPriority w:val="99"/>
    <w:qFormat/>
    <w:rsid w:val="00cf243f"/>
    <w:rPr/>
  </w:style>
  <w:style w:type="character" w:styleId="Strong">
    <w:name w:val="Strong"/>
    <w:basedOn w:val="DefaultParagraphFont"/>
    <w:uiPriority w:val="22"/>
    <w:qFormat/>
    <w:rsid w:val="0008659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086596"/>
    <w:rPr>
      <w:rFonts w:ascii="Courier New" w:hAnsi="Courier New" w:eastAsia="Times New Roman" w:cs="Courier New"/>
      <w:sz w:val="20"/>
      <w:szCs w:val="20"/>
    </w:rPr>
  </w:style>
  <w:style w:type="character" w:styleId="HTML" w:customStyle="1">
    <w:name w:val="HTML стандартен Знак"/>
    <w:basedOn w:val="DefaultParagraphFont"/>
    <w:link w:val="HTMLPreformatted"/>
    <w:uiPriority w:val="99"/>
    <w:semiHidden/>
    <w:qFormat/>
    <w:rsid w:val="00086596"/>
    <w:rPr>
      <w:rFonts w:ascii="Courier New" w:hAnsi="Courier New" w:eastAsia="Times New Roman" w:cs="Courier New"/>
      <w:sz w:val="20"/>
      <w:szCs w:val="20"/>
      <w:lang w:eastAsia="bg-BG"/>
    </w:rPr>
  </w:style>
  <w:style w:type="character" w:styleId="hljs-keyword" w:customStyle="1">
    <w:name w:val="hljs-keyword"/>
    <w:basedOn w:val="DefaultParagraphFont"/>
    <w:qFormat/>
    <w:rsid w:val="00086596"/>
    <w:rPr/>
  </w:style>
  <w:style w:type="character" w:styleId="hljs-title" w:customStyle="1">
    <w:name w:val="hljs-title"/>
    <w:basedOn w:val="DefaultParagraphFont"/>
    <w:qFormat/>
    <w:rsid w:val="00086596"/>
    <w:rPr/>
  </w:style>
  <w:style w:type="character" w:styleId="hljs-builtin" w:customStyle="1">
    <w:name w:val="hljs-built_in"/>
    <w:basedOn w:val="DefaultParagraphFont"/>
    <w:qFormat/>
    <w:rsid w:val="00086596"/>
    <w:rPr/>
  </w:style>
  <w:style w:type="character" w:styleId="hljs-number" w:customStyle="1">
    <w:name w:val="hljs-number"/>
    <w:basedOn w:val="DefaultParagraphFont"/>
    <w:qFormat/>
    <w:rsid w:val="00086596"/>
    <w:rPr/>
  </w:style>
  <w:style w:type="character" w:styleId="hljs-string" w:customStyle="1">
    <w:name w:val="hljs-string"/>
    <w:basedOn w:val="DefaultParagraphFont"/>
    <w:qFormat/>
    <w:rsid w:val="00086596"/>
    <w:rPr/>
  </w:style>
  <w:style w:type="character" w:styleId="hljs-literal" w:customStyle="1">
    <w:name w:val="hljs-literal"/>
    <w:basedOn w:val="DefaultParagraphFont"/>
    <w:qFormat/>
    <w:rsid w:val="000872af"/>
    <w:rPr/>
  </w:style>
  <w:style w:type="character" w:styleId="hljs-params" w:customStyle="1">
    <w:name w:val="hljs-params"/>
    <w:basedOn w:val="DefaultParagraphFont"/>
    <w:qFormat/>
    <w:rsid w:val="000872af"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unhideWhenUsed/>
    <w:rsid w:val="00cf243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4"/>
    <w:uiPriority w:val="99"/>
    <w:unhideWhenUsed/>
    <w:rsid w:val="00cf243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rsid w:val="00086596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bg-BG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086596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bg-BG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39"/>
    <w:rsid w:val="00884de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Тема на Office">
  <a:themeElements>
    <a:clrScheme name="О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Application>LibreOffice/24.2.7.2$Linux_X86_64 LibreOffice_project/420$Build-2</Application>
  <AppVersion>15.0000</AppVersion>
  <Pages>3</Pages>
  <Words>368</Words>
  <Characters>2184</Characters>
  <CharactersWithSpaces>2460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2025-10-27T10:33:00Z</dcterms:created>
  <dc:creator>NVBG</dc:creator>
  <dc:description/>
  <dc:language>en-US</dc:language>
  <cp:lastModifiedBy/>
  <cp:lastPrinted>2026-02-16T11:20:14Z</cp:lastPrinted>
  <dcterms:modified xsi:type="dcterms:W3CDTF">2026-02-16T13:20:48Z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