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C5049" w14:textId="0A261579" w:rsidR="00074751" w:rsidRDefault="008A0BE8">
      <w:pPr>
        <w:rPr>
          <w:sz w:val="32"/>
          <w:szCs w:val="32"/>
        </w:rPr>
      </w:pPr>
      <w:r w:rsidRPr="008A0BE8">
        <w:rPr>
          <w:sz w:val="32"/>
          <w:szCs w:val="32"/>
        </w:rPr>
        <w:t>Fundamental Credit and Research Team</w:t>
      </w:r>
    </w:p>
    <w:p w14:paraId="517BBB58" w14:textId="6200CC30" w:rsidR="008A0BE8" w:rsidRPr="008A0BE8" w:rsidRDefault="008A0BE8">
      <w:pPr>
        <w:rPr>
          <w:sz w:val="28"/>
          <w:szCs w:val="28"/>
        </w:rPr>
      </w:pPr>
      <w:r w:rsidRPr="008A0BE8">
        <w:rPr>
          <w:sz w:val="28"/>
          <w:szCs w:val="28"/>
        </w:rPr>
        <w:t xml:space="preserve">Goal: </w:t>
      </w:r>
      <w:r w:rsidRPr="008A0BE8">
        <w:t>Screen SEC EDGAR to select our anchor consumer ABS prospectus (Form 424B2), tear down Affirm’s 10K and make the baseline synthetic DTI framework</w:t>
      </w:r>
    </w:p>
    <w:p w14:paraId="252A194C" w14:textId="08208568" w:rsidR="008A0BE8" w:rsidRDefault="008A0BE8">
      <w:pPr>
        <w:rPr>
          <w:sz w:val="28"/>
          <w:szCs w:val="28"/>
        </w:rPr>
      </w:pPr>
      <w:r w:rsidRPr="008A0BE8">
        <w:rPr>
          <w:sz w:val="28"/>
          <w:szCs w:val="28"/>
        </w:rPr>
        <w:t>Deliverables:</w:t>
      </w:r>
    </w:p>
    <w:p w14:paraId="463314E5" w14:textId="11BC7880" w:rsidR="008A0BE8" w:rsidRDefault="008A0BE8" w:rsidP="008A0BE8">
      <w:pPr>
        <w:pStyle w:val="ListParagraph"/>
        <w:numPr>
          <w:ilvl w:val="0"/>
          <w:numId w:val="1"/>
        </w:numPr>
      </w:pPr>
      <w:r>
        <w:t>data/processed/anchor_deal_structure.csv: Structured capital structure of the selected consumer ABS deal (tranche, ratings, original balances, coupons, and subordination percents)</w:t>
      </w:r>
    </w:p>
    <w:p w14:paraId="26F9EEFC" w14:textId="145FE106" w:rsidR="008A0BE8" w:rsidRDefault="008A0BE8" w:rsidP="008A0BE8">
      <w:pPr>
        <w:pStyle w:val="ListParagraph"/>
        <w:numPr>
          <w:ilvl w:val="0"/>
          <w:numId w:val="1"/>
        </w:numPr>
      </w:pPr>
      <w:r>
        <w:t>data/processed/bnpl_lender_kpis.csv: Historical quarterly/annual time series of Affirm’s average order value, gross merchandise volume, 30+ and 60+ day delinquencies and provision for credit losses</w:t>
      </w:r>
    </w:p>
    <w:p w14:paraId="1A59A668" w14:textId="741FBF6C" w:rsidR="008A0BE8" w:rsidRDefault="008A0BE8" w:rsidP="008A0BE8">
      <w:pPr>
        <w:pStyle w:val="ListParagraph"/>
        <w:numPr>
          <w:ilvl w:val="0"/>
          <w:numId w:val="1"/>
        </w:numPr>
      </w:pPr>
      <w:proofErr w:type="spellStart"/>
      <w:r>
        <w:t>src</w:t>
      </w:r>
      <w:proofErr w:type="spellEnd"/>
      <w:r>
        <w:t xml:space="preserve">/model/synthetic_dti.py: Python module computing DTI expansion and running OLS regression using </w:t>
      </w:r>
      <w:proofErr w:type="spellStart"/>
      <w:r>
        <w:t>statsmodel</w:t>
      </w:r>
      <w:proofErr w:type="spellEnd"/>
      <w:r>
        <w:t xml:space="preserve"> against macro stress features</w:t>
      </w:r>
    </w:p>
    <w:p w14:paraId="66B5EF09" w14:textId="6B27C1C7" w:rsidR="008A0BE8" w:rsidRDefault="008A0BE8" w:rsidP="008A0BE8">
      <w:pPr>
        <w:pStyle w:val="ListParagraph"/>
        <w:numPr>
          <w:ilvl w:val="0"/>
          <w:numId w:val="1"/>
        </w:numPr>
      </w:pPr>
      <w:r>
        <w:t>notebooks/02_synthetic_dti_calibration.ipynb: Jupyter notebook visualizing how unrecorded loan stacking inflates borrower debt across income brackets</w:t>
      </w:r>
    </w:p>
    <w:p w14:paraId="07A8EA24" w14:textId="749287B4" w:rsidR="00467625" w:rsidRDefault="00467625" w:rsidP="00467625">
      <w:r>
        <w:t>SEC EDGAR Extraction:</w:t>
      </w:r>
    </w:p>
    <w:p w14:paraId="529E6C43" w14:textId="1A8C324E" w:rsidR="00467625" w:rsidRDefault="00467625" w:rsidP="00467625">
      <w:r>
        <w:t xml:space="preserve">Search SEC EDGAR for marketplace unsecured consumer trusts such as Upstart Securitization Trust or </w:t>
      </w:r>
      <w:proofErr w:type="spellStart"/>
      <w:r>
        <w:t>LendingClub</w:t>
      </w:r>
      <w:proofErr w:type="spellEnd"/>
      <w:r>
        <w:t xml:space="preserve"> Market Trust</w:t>
      </w:r>
    </w:p>
    <w:p w14:paraId="3918F1D7" w14:textId="00C75DCE" w:rsidR="00467625" w:rsidRDefault="00467625" w:rsidP="00467625">
      <w:r>
        <w:t>Filter for 424B2 or SF 3 filings</w:t>
      </w:r>
    </w:p>
    <w:p w14:paraId="51B4CCB6" w14:textId="77777777" w:rsidR="00467625" w:rsidRDefault="00467625" w:rsidP="00467625">
      <w:r>
        <w:t xml:space="preserve">Target sections: </w:t>
      </w:r>
    </w:p>
    <w:p w14:paraId="4E5BD70D" w14:textId="7A94C638" w:rsidR="00467625" w:rsidRDefault="00467625" w:rsidP="00467625">
      <w:pPr>
        <w:pStyle w:val="ListParagraph"/>
        <w:numPr>
          <w:ilvl w:val="0"/>
          <w:numId w:val="2"/>
        </w:numPr>
      </w:pPr>
      <w:r>
        <w:t>“</w:t>
      </w:r>
      <w:r w:rsidRPr="00467625">
        <w:t>Summary of Terms – The Notes / Offered Certificates</w:t>
      </w:r>
      <w:r>
        <w:t>”: Transcribe the tranche breakdown into anchor_deal_structure.csv. Capture Note Class, Credit Rating (Kroll/Moody’s/S&amp;P), Initial Principal Amount, Note Interest Rate, Initial Credit Enhancement/ Subordination</w:t>
      </w:r>
    </w:p>
    <w:p w14:paraId="6D8E98AC" w14:textId="4493B09C" w:rsidR="00467625" w:rsidRDefault="00467625" w:rsidP="00467625">
      <w:pPr>
        <w:pStyle w:val="ListParagraph"/>
        <w:numPr>
          <w:ilvl w:val="0"/>
          <w:numId w:val="2"/>
        </w:numPr>
      </w:pPr>
      <w:r>
        <w:t>“The Collateral Pool”: Extract pool weighted averages: Original Collateral Balance, Gross Weighted Average Coupon (Gross WAC), Weighted average remaining maturity</w:t>
      </w:r>
      <w:r w:rsidR="00F4377F">
        <w:t xml:space="preserve"> (WAM), weighted average fico score, weighted average reported DTI</w:t>
      </w:r>
    </w:p>
    <w:p w14:paraId="0951CF30" w14:textId="3B418935" w:rsidR="00F4377F" w:rsidRDefault="00F4377F" w:rsidP="00467625">
      <w:pPr>
        <w:pStyle w:val="ListParagraph"/>
        <w:numPr>
          <w:ilvl w:val="0"/>
          <w:numId w:val="2"/>
        </w:numPr>
      </w:pPr>
      <w:r>
        <w:t>“</w:t>
      </w:r>
      <w:r w:rsidRPr="00F4377F">
        <w:t>Credit Enhancement &amp; Overcollateralization"</w:t>
      </w:r>
      <w:r>
        <w:t>: Record the contractual overcollateralization (OC) target percentage and reserve account initial deposit requirement</w:t>
      </w:r>
    </w:p>
    <w:p w14:paraId="266E04FF" w14:textId="242BF10C" w:rsidR="00F4377F" w:rsidRDefault="00F4377F" w:rsidP="00F4377F">
      <w:pPr>
        <w:rPr>
          <w:sz w:val="28"/>
          <w:szCs w:val="28"/>
        </w:rPr>
      </w:pPr>
      <w:r w:rsidRPr="00F4377F">
        <w:rPr>
          <w:sz w:val="28"/>
          <w:szCs w:val="28"/>
        </w:rPr>
        <w:t>Form 10K</w:t>
      </w:r>
      <w:r>
        <w:rPr>
          <w:sz w:val="28"/>
          <w:szCs w:val="28"/>
        </w:rPr>
        <w:t>:</w:t>
      </w:r>
    </w:p>
    <w:p w14:paraId="645E2A3B" w14:textId="2B2DCD58" w:rsidR="00F4377F" w:rsidRDefault="00F4377F" w:rsidP="00F4377F">
      <w:r>
        <w:t>Target Sections:</w:t>
      </w:r>
    </w:p>
    <w:p w14:paraId="7AA5239D" w14:textId="1C375F2D" w:rsidR="00F4377F" w:rsidRDefault="00F4377F" w:rsidP="00F4377F">
      <w:pPr>
        <w:pStyle w:val="ListParagraph"/>
        <w:numPr>
          <w:ilvl w:val="0"/>
          <w:numId w:val="3"/>
        </w:numPr>
      </w:pPr>
      <w:r>
        <w:lastRenderedPageBreak/>
        <w:t>Item 7 – Management’s Discussion and Analysis (MD&amp;A): Locate “Key Operating Metrics” summary. Pull quarterly GMV, active consumers, transactions per active consumer, and AOV</w:t>
      </w:r>
    </w:p>
    <w:p w14:paraId="3F48812F" w14:textId="45CA285A" w:rsidR="00F4377F" w:rsidRDefault="00F4377F" w:rsidP="00F4377F">
      <w:pPr>
        <w:pStyle w:val="ListParagraph"/>
        <w:numPr>
          <w:ilvl w:val="0"/>
          <w:numId w:val="3"/>
        </w:numPr>
      </w:pPr>
      <w:r>
        <w:t>Item 8 – Financial Statements and Footnotes: Locate the footnote “Allowance for Credit Losses” or “Credit Quality of Loans Held for Investment.” Extract the historical loan aging table: 30-59 days past due, 60-89 days past due, and 90+ days past due as percents of total amortized cost. Record the contractual charge off policy. Extract the annual provision for credit losses from the consolidated statement of operations.</w:t>
      </w:r>
    </w:p>
    <w:p w14:paraId="4213A448" w14:textId="7BA917E4" w:rsidR="00F4377F" w:rsidRDefault="00F4377F" w:rsidP="00F4377F">
      <w:pPr>
        <w:rPr>
          <w:sz w:val="28"/>
          <w:szCs w:val="28"/>
        </w:rPr>
      </w:pPr>
      <w:r w:rsidRPr="00F4377F">
        <w:rPr>
          <w:sz w:val="28"/>
          <w:szCs w:val="28"/>
        </w:rPr>
        <w:t>Mathematic Framework</w:t>
      </w:r>
    </w:p>
    <w:p w14:paraId="13F73F92" w14:textId="73023FD9" w:rsidR="00F4377F" w:rsidRDefault="00F4377F" w:rsidP="00F4377F">
      <w:pPr>
        <w:rPr>
          <w:vertAlign w:val="subscript"/>
        </w:rPr>
      </w:pPr>
      <w:proofErr w:type="spellStart"/>
      <w:r>
        <w:t>DTI</w:t>
      </w:r>
      <w:r w:rsidRPr="00F4377F">
        <w:rPr>
          <w:vertAlign w:val="subscript"/>
        </w:rPr>
        <w:t>true</w:t>
      </w:r>
      <w:proofErr w:type="spellEnd"/>
      <w:r>
        <w:t xml:space="preserve"> = </w:t>
      </w:r>
      <w:proofErr w:type="spellStart"/>
      <w:r>
        <w:t>DTI</w:t>
      </w:r>
      <w:r w:rsidRPr="00F4377F">
        <w:rPr>
          <w:vertAlign w:val="subscript"/>
        </w:rPr>
        <w:t>reported</w:t>
      </w:r>
      <w:proofErr w:type="spellEnd"/>
      <w:r>
        <w:t xml:space="preserve"> + </w:t>
      </w:r>
      <w:r>
        <w:sym w:font="Symbol" w:char="F044"/>
      </w:r>
      <w:r>
        <w:t>DTI</w:t>
      </w:r>
      <w:r w:rsidRPr="00F4377F">
        <w:rPr>
          <w:vertAlign w:val="subscript"/>
        </w:rPr>
        <w:t>BNPL</w:t>
      </w:r>
    </w:p>
    <w:p w14:paraId="32B5D1C7" w14:textId="49E2617A" w:rsidR="00F4377F" w:rsidRDefault="00F4377F" w:rsidP="00F4377F">
      <w:r>
        <w:sym w:font="Symbol" w:char="F044"/>
      </w:r>
      <w:r>
        <w:t>DTI</w:t>
      </w:r>
      <w:r w:rsidRPr="00F4377F">
        <w:rPr>
          <w:vertAlign w:val="subscript"/>
        </w:rPr>
        <w:t>BNPL</w:t>
      </w:r>
      <w:r>
        <w:t xml:space="preserve"> = Monthly Outflow/Gross Monthly Income = ((AOV/4)*2*</w:t>
      </w:r>
      <w:proofErr w:type="spellStart"/>
      <w:r>
        <w:t>N</w:t>
      </w:r>
      <w:r w:rsidRPr="00F4377F">
        <w:rPr>
          <w:vertAlign w:val="subscript"/>
        </w:rPr>
        <w:t>active</w:t>
      </w:r>
      <w:proofErr w:type="spellEnd"/>
      <w:r>
        <w:t>)/Gross Monthly Income</w:t>
      </w:r>
    </w:p>
    <w:p w14:paraId="168D47CC" w14:textId="06B875F9" w:rsidR="00F4377F" w:rsidRDefault="00C3277E" w:rsidP="00F4377F">
      <w:r>
        <w:t xml:space="preserve">To adjust baseline prospectus default rates for the cash flow waterfall, you </w:t>
      </w:r>
      <w:proofErr w:type="gramStart"/>
      <w:r>
        <w:t>have to</w:t>
      </w:r>
      <w:proofErr w:type="gramEnd"/>
      <w:r>
        <w:t xml:space="preserve"> implement an OLD regression:</w:t>
      </w:r>
    </w:p>
    <w:p w14:paraId="402D9795" w14:textId="371FA3AE" w:rsidR="00F4377F" w:rsidRPr="00F4377F" w:rsidRDefault="00C3277E" w:rsidP="00F4377F">
      <m:oMathPara>
        <m:oMath>
          <m:r>
            <w:rPr>
              <w:rFonts w:ascii="Cambria Math" w:hAnsi="Cambria Math"/>
            </w:rPr>
            <m:t xml:space="preserve">M= </m:t>
          </m:r>
          <m:r>
            <m:rPr>
              <m:sty m:val="p"/>
            </m:rPr>
            <w:rPr>
              <w:rFonts w:ascii="Cambria Math" w:hAnsi="Cambria Math"/>
            </w:rPr>
            <w:sym w:font="Symbol" w:char="F062"/>
          </m:r>
          <m:r>
            <m:rPr>
              <m:sty m:val="p"/>
            </m:rPr>
            <w:rPr>
              <w:rFonts w:asci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sym w:font="Symbol" w:char="F062"/>
          </m:r>
          <m:r>
            <m:rPr>
              <m:sty m:val="p"/>
            </m:rPr>
            <w:rPr>
              <w:rFonts w:ascii="Cambria Math"/>
            </w:rPr>
            <m:t>1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w:rPr>
                  <w:rFonts w:ascii="Cambria Math"/>
                </w:rPr>
                <m:t>DTItrue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DTI reported</m:t>
              </m:r>
            </m:num>
            <m:den>
              <m:r>
                <w:rPr>
                  <w:rFonts w:ascii="Cambria Math"/>
                </w:rPr>
                <m:t>DTIreported</m:t>
              </m:r>
            </m:den>
          </m:f>
          <m:r>
            <w:rPr>
              <w:rFonts w:asci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sym w:font="Symbol" w:char="F062"/>
          </m:r>
          <m:r>
            <m:rPr>
              <m:sty m:val="p"/>
            </m:rPr>
            <w:rPr>
              <w:rFonts w:ascii="Cambria Math"/>
            </w:rPr>
            <m:t>2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w:rPr>
                  <w:rFonts w:ascii="Cambria Math"/>
                  <w:i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/>
                </w:rPr>
                <m:t>Savings Rate</m:t>
              </m:r>
            </m:e>
          </m:d>
          <m:r>
            <w:rPr>
              <w:rFonts w:asci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sym w:font="Symbol" w:char="F062"/>
          </m:r>
          <m:r>
            <m:rPr>
              <m:sty m:val="p"/>
            </m:rPr>
            <w:rPr>
              <w:rFonts w:ascii="Cambria Math"/>
            </w:rPr>
            <m:t>3</m:t>
          </m:r>
          <m:d>
            <m:dPr>
              <m:ctrlPr>
                <w:rPr>
                  <w:rFonts w:ascii="Cambria Math"/>
                </w:rPr>
              </m:ctrlPr>
            </m:dPr>
            <m:e>
              <m:r>
                <w:rPr>
                  <w:rFonts w:ascii="Cambria Math"/>
                  <w:i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/>
                </w:rPr>
                <m:t>Complaint Velocity</m:t>
              </m:r>
            </m:e>
          </m:d>
          <m:r>
            <w:rPr>
              <w:rFonts w:ascii="Cambria Math"/>
            </w:rPr>
            <m:t>+</m:t>
          </m:r>
          <m:r>
            <w:rPr>
              <w:rFonts w:ascii="Cambria Math"/>
              <w:i/>
            </w:rPr>
            <w:sym w:font="Symbol" w:char="F065"/>
          </m:r>
        </m:oMath>
      </m:oMathPara>
    </w:p>
    <w:p w14:paraId="7DBD9931" w14:textId="7355BA95" w:rsidR="00467625" w:rsidRDefault="00C3277E" w:rsidP="00467625">
      <w:r>
        <w:t xml:space="preserve">There is a file attached with this. Save the script as </w:t>
      </w:r>
      <w:proofErr w:type="spellStart"/>
      <w:r>
        <w:t>src</w:t>
      </w:r>
      <w:proofErr w:type="spellEnd"/>
      <w:r>
        <w:t>/models/synthetic_dti.py. It runs independently using a mock fixture so we can validate the modeling without waiting for the other team</w:t>
      </w:r>
    </w:p>
    <w:p w14:paraId="5B2B29BC" w14:textId="77777777" w:rsidR="00C3277E" w:rsidRPr="008A0BE8" w:rsidRDefault="00C3277E" w:rsidP="00467625"/>
    <w:p w14:paraId="481A4E8F" w14:textId="77777777" w:rsidR="008A0BE8" w:rsidRDefault="008A0BE8"/>
    <w:p w14:paraId="2CBE4C9B" w14:textId="77777777" w:rsidR="008A0BE8" w:rsidRPr="008A0BE8" w:rsidRDefault="008A0BE8"/>
    <w:p w14:paraId="4A87044A" w14:textId="77777777" w:rsidR="008A0BE8" w:rsidRDefault="008A0BE8"/>
    <w:sectPr w:rsidR="008A0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63644"/>
    <w:multiLevelType w:val="hybridMultilevel"/>
    <w:tmpl w:val="66AE8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606B5"/>
    <w:multiLevelType w:val="hybridMultilevel"/>
    <w:tmpl w:val="D402F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65065"/>
    <w:multiLevelType w:val="hybridMultilevel"/>
    <w:tmpl w:val="6CEAA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34417">
    <w:abstractNumId w:val="2"/>
  </w:num>
  <w:num w:numId="2" w16cid:durableId="923881923">
    <w:abstractNumId w:val="1"/>
  </w:num>
  <w:num w:numId="3" w16cid:durableId="539754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E8"/>
    <w:rsid w:val="00047911"/>
    <w:rsid w:val="00074751"/>
    <w:rsid w:val="001C32DC"/>
    <w:rsid w:val="002B449C"/>
    <w:rsid w:val="003F37A4"/>
    <w:rsid w:val="004452ED"/>
    <w:rsid w:val="00467625"/>
    <w:rsid w:val="00522625"/>
    <w:rsid w:val="006A3038"/>
    <w:rsid w:val="008A0BE8"/>
    <w:rsid w:val="00C3277E"/>
    <w:rsid w:val="00DC20AB"/>
    <w:rsid w:val="00F4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82710"/>
  <w15:chartTrackingRefBased/>
  <w15:docId w15:val="{D9DA4E8E-B58A-5C47-B4BE-3CA7F35D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E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37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Paarth Agrawal</dc:creator>
  <cp:keywords/>
  <dc:description/>
  <cp:lastModifiedBy>Paarth Agrawal</cp:lastModifiedBy>
  <cp:revision>1</cp:revision>
  <dcterms:created xsi:type="dcterms:W3CDTF">2026-09-19T19:31:00Z</dcterms:created>
  <dcterms:modified xsi:type="dcterms:W3CDTF">2026-09-19T20:15:00Z</dcterms:modified>
</cp:coreProperties>
</file>