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sz w:val="26"/>
        </w:rPr>
        <w:t>CONSULTING SERVICES AGREEMENT</w:t>
      </w:r>
    </w:p>
    <w:p>
      <w:pPr>
        <w:spacing w:before="0" w:after="60" w:line="240" w:lineRule="auto"/>
        <w:jc w:val="center"/>
      </w:pPr>
      <w:r>
        <w:rPr>
          <w:rFonts w:ascii="Calibri" w:hAnsi="Calibri"/>
          <w:sz w:val="16"/>
        </w:rPr>
        <w:t>This Consulting Services Agreement (the "Agreement") is entered into as of May 29, 2026 by and between the parties below.</w:t>
      </w:r>
    </w:p>
    <w:p>
      <w:pPr>
        <w:spacing w:before="0" w:after="20" w:line="240" w:lineRule="auto"/>
        <w:jc w:val="both"/>
      </w:pPr>
      <w:r>
        <w:rPr>
          <w:rFonts w:ascii="Calibri" w:hAnsi="Calibri"/>
          <w:b/>
          <w:sz w:val="16"/>
        </w:rPr>
        <w:t xml:space="preserve">Client:  </w:t>
      </w:r>
      <w:r>
        <w:rPr>
          <w:rFonts w:ascii="Calibri" w:hAnsi="Calibri"/>
          <w:sz w:val="16"/>
        </w:rPr>
        <w:t>DIAMI USA CORPORATION, a corporation organized under the laws of the State of California, with its principal office at 3435 Wilshire Blvd #2090, Los Angeles, CA 90010 ("Client"); and</w:t>
      </w:r>
    </w:p>
    <w:p>
      <w:pPr>
        <w:spacing w:before="0" w:after="20" w:line="240" w:lineRule="auto"/>
        <w:jc w:val="both"/>
      </w:pPr>
      <w:r>
        <w:rPr>
          <w:rFonts w:ascii="Calibri" w:hAnsi="Calibri"/>
          <w:b/>
          <w:sz w:val="16"/>
        </w:rPr>
        <w:t xml:space="preserve">Consultant:  </w:t>
      </w:r>
      <w:r>
        <w:rPr>
          <w:rFonts w:ascii="Calibri" w:hAnsi="Calibri"/>
          <w:sz w:val="16"/>
        </w:rPr>
        <w:t>Jenna Armitage, doing business as ILYN Studio, an individual located at 2316 Hillcrest St, Suite 10, Orlando, FL 32803 ("Consultant").</w:t>
      </w:r>
    </w:p>
    <w:p>
      <w:pPr>
        <w:spacing w:before="0" w:after="40" w:line="240" w:lineRule="auto"/>
      </w:pPr>
      <w:r>
        <w:rPr>
          <w:rFonts w:ascii="Calibri" w:hAnsi="Calibri"/>
          <w:sz w:val="16"/>
        </w:rPr>
        <w:t>Client and Consultant are each a "Party" and together the "Parties."</w:t>
      </w:r>
    </w:p>
    <w:p>
      <w:pPr>
        <w:sectPr>
          <w:pgSz w:w="12240" w:h="15840"/>
          <w:pgMar w:top="720" w:right="864" w:bottom="720" w:left="864" w:header="720" w:footer="720" w:gutter="0"/>
          <w:cols w:space="720"/>
          <w:docGrid w:linePitch="360"/>
        </w:sectPr>
      </w:pPr>
    </w:p>
    <w:p>
      <w:pPr>
        <w:spacing w:before="60" w:after="20" w:line="240" w:lineRule="auto"/>
      </w:pPr>
      <w:r>
        <w:rPr>
          <w:rFonts w:ascii="Calibri" w:hAnsi="Calibri"/>
          <w:b/>
          <w:sz w:val="17"/>
        </w:rPr>
        <w:t>1. Engagement and Scope of Services</w:t>
      </w:r>
    </w:p>
    <w:p>
      <w:pPr>
        <w:spacing w:before="0" w:after="40" w:line="240" w:lineRule="auto"/>
        <w:jc w:val="both"/>
      </w:pPr>
      <w:r>
        <w:rPr>
          <w:rFonts w:ascii="Calibri" w:hAnsi="Calibri"/>
          <w:b w:val="0"/>
          <w:sz w:val="16"/>
        </w:rPr>
        <w:t>Client engages Consultant as an independent consultant to provide professional consulting and advisory services in connection with Premiere Orlando 2026 (the "Event"), including but not limited to: on-site nail-art consulting, technical advisory, product and technique feedback, and related advisory support (the "Services"). Consultant shall perform the Services in a professional and workmanlike manner.</w:t>
      </w:r>
    </w:p>
    <w:p>
      <w:pPr>
        <w:spacing w:before="60" w:after="20" w:line="240" w:lineRule="auto"/>
      </w:pPr>
      <w:r>
        <w:rPr>
          <w:rFonts w:ascii="Calibri" w:hAnsi="Calibri"/>
          <w:b/>
          <w:sz w:val="17"/>
        </w:rPr>
        <w:t>2. Term and Location</w:t>
      </w:r>
    </w:p>
    <w:p>
      <w:pPr>
        <w:spacing w:before="0" w:after="40" w:line="240" w:lineRule="auto"/>
        <w:jc w:val="both"/>
      </w:pPr>
      <w:r>
        <w:rPr>
          <w:rFonts w:ascii="Calibri" w:hAnsi="Calibri"/>
          <w:b w:val="0"/>
          <w:sz w:val="16"/>
        </w:rPr>
        <w:t>Consultant shall provide the Services over two (2) days, on May 31, 2026 and June 1, 2026, at the Premiere Orlando 2026 venue in Orlando, Florida, and at such other times as mutually agreed.</w:t>
      </w:r>
    </w:p>
    <w:p>
      <w:pPr>
        <w:spacing w:before="60" w:after="20" w:line="240" w:lineRule="auto"/>
      </w:pPr>
      <w:r>
        <w:rPr>
          <w:rFonts w:ascii="Calibri" w:hAnsi="Calibri"/>
          <w:b/>
          <w:sz w:val="17"/>
        </w:rPr>
        <w:t>3. Compensation</w:t>
      </w:r>
    </w:p>
    <w:p>
      <w:pPr>
        <w:spacing w:before="0" w:after="40" w:line="240" w:lineRule="auto"/>
        <w:jc w:val="both"/>
      </w:pPr>
      <w:r>
        <w:rPr>
          <w:rFonts w:ascii="Calibri" w:hAnsi="Calibri"/>
          <w:b w:val="0"/>
          <w:sz w:val="16"/>
        </w:rPr>
        <w:t>As full consideration for the Services, Client shall pay Consultant a consulting fee of USD 2,000 (Two Thousand U.S. Dollars), payable within fifteen (15) days after completion of the Services and receipt of an invoice.</w:t>
      </w:r>
    </w:p>
    <w:p>
      <w:pPr>
        <w:spacing w:before="60" w:after="20" w:line="240" w:lineRule="auto"/>
      </w:pPr>
      <w:r>
        <w:rPr>
          <w:rFonts w:ascii="Calibri" w:hAnsi="Calibri"/>
          <w:b/>
          <w:sz w:val="17"/>
        </w:rPr>
        <w:t>4. Independent Contractor</w:t>
      </w:r>
    </w:p>
    <w:p>
      <w:pPr>
        <w:spacing w:before="0" w:after="40" w:line="240" w:lineRule="auto"/>
        <w:jc w:val="both"/>
      </w:pPr>
      <w:r>
        <w:rPr>
          <w:rFonts w:ascii="Calibri" w:hAnsi="Calibri"/>
          <w:b w:val="0"/>
          <w:sz w:val="16"/>
        </w:rPr>
        <w:t>Consultant is an independent contractor, not an employee, partner, or agent of Client. Consultant is solely responsible for all taxes (including self-employment taxes), insurance, and statutory obligations arising from the compensation paid hereunder. This Agreement does not create any employment relationship. Consultant shall provide a completed IRS Form W-9, and Client may report the compensation to tax authorities (e.g., IRS Form 1099-NEC) as required by law.</w:t>
      </w:r>
    </w:p>
    <w:p>
      <w:pPr>
        <w:spacing w:before="60" w:after="20" w:line="240" w:lineRule="auto"/>
      </w:pPr>
      <w:r>
        <w:rPr>
          <w:rFonts w:ascii="Calibri" w:hAnsi="Calibri"/>
          <w:b/>
          <w:sz w:val="17"/>
        </w:rPr>
        <w:t>5. Confidentiality</w:t>
      </w:r>
    </w:p>
    <w:p>
      <w:pPr>
        <w:spacing w:before="0" w:after="40" w:line="240" w:lineRule="auto"/>
        <w:jc w:val="both"/>
      </w:pPr>
      <w:r>
        <w:rPr>
          <w:rFonts w:ascii="Calibri" w:hAnsi="Calibri"/>
          <w:b w:val="0"/>
          <w:sz w:val="16"/>
        </w:rPr>
        <w:t>Consultant shall keep confidential all non-public information of Client obtained in connection with the Services, and shall not disclose or use it for any purpose other than performing the Services. This obligation survives termination of this Agreement.</w:t>
      </w:r>
    </w:p>
    <w:p>
      <w:pPr>
        <w:spacing w:before="60" w:after="20" w:line="240" w:lineRule="auto"/>
      </w:pPr>
      <w:r>
        <w:rPr>
          <w:rFonts w:ascii="Calibri" w:hAnsi="Calibri"/>
          <w:b/>
          <w:sz w:val="17"/>
        </w:rPr>
        <w:t>6. Intellectual Property</w:t>
      </w:r>
    </w:p>
    <w:p>
      <w:pPr>
        <w:spacing w:before="0" w:after="40" w:line="240" w:lineRule="auto"/>
        <w:jc w:val="both"/>
      </w:pPr>
      <w:r>
        <w:rPr>
          <w:rFonts w:ascii="Calibri" w:hAnsi="Calibri"/>
          <w:b w:val="0"/>
          <w:sz w:val="16"/>
        </w:rPr>
        <w:t>Any work product, designs, materials, or recommendations created by Consultant specifically for Client in the course of the Services shall be the sole property of Client as "work made for hire," and Consultant hereby assigns all rights therein to Client. Consultant retains rights to her pre-existing know-how and general skills.</w:t>
      </w:r>
    </w:p>
    <w:p>
      <w:pPr>
        <w:spacing w:before="60" w:after="20" w:line="240" w:lineRule="auto"/>
      </w:pPr>
      <w:r>
        <w:rPr>
          <w:rFonts w:ascii="Calibri" w:hAnsi="Calibri"/>
          <w:b/>
          <w:sz w:val="17"/>
        </w:rPr>
        <w:t>7. Independent Activities / Non-Exclusivity</w:t>
      </w:r>
    </w:p>
    <w:p>
      <w:pPr>
        <w:spacing w:before="0" w:after="40" w:line="240" w:lineRule="auto"/>
        <w:jc w:val="both"/>
      </w:pPr>
      <w:r>
        <w:rPr>
          <w:rFonts w:ascii="Calibri" w:hAnsi="Calibri"/>
          <w:b w:val="0"/>
          <w:sz w:val="16"/>
        </w:rPr>
        <w:t>This Agreement is non-exclusive. Each Party may engage in other business activities, provided the confidentiality obligations are observed.</w:t>
      </w:r>
    </w:p>
    <w:p>
      <w:pPr>
        <w:spacing w:before="60" w:after="20" w:line="240" w:lineRule="auto"/>
      </w:pPr>
      <w:r>
        <w:rPr>
          <w:rFonts w:ascii="Calibri" w:hAnsi="Calibri"/>
          <w:b/>
          <w:sz w:val="17"/>
        </w:rPr>
        <w:t>8. Termination</w:t>
      </w:r>
    </w:p>
    <w:p>
      <w:pPr>
        <w:spacing w:before="0" w:after="40" w:line="240" w:lineRule="auto"/>
        <w:jc w:val="both"/>
      </w:pPr>
      <w:r>
        <w:rPr>
          <w:rFonts w:ascii="Calibri" w:hAnsi="Calibri"/>
          <w:b w:val="0"/>
          <w:sz w:val="16"/>
        </w:rPr>
        <w:t>Either Party may terminate this Agreement upon written notice if the other Party materially breaches this Agreement and fails to cure within five (5) days. Client shall pay for Services properly performed up to the termination date.</w:t>
      </w:r>
    </w:p>
    <w:p>
      <w:pPr>
        <w:spacing w:before="60" w:after="20" w:line="240" w:lineRule="auto"/>
      </w:pPr>
      <w:r>
        <w:rPr>
          <w:rFonts w:ascii="Calibri" w:hAnsi="Calibri"/>
          <w:b/>
          <w:sz w:val="17"/>
        </w:rPr>
        <w:t>9. Governing Law and Dispute Resolution</w:t>
      </w:r>
    </w:p>
    <w:p>
      <w:pPr>
        <w:spacing w:before="0" w:after="40" w:line="240" w:lineRule="auto"/>
        <w:jc w:val="both"/>
      </w:pPr>
      <w:r>
        <w:rPr>
          <w:rFonts w:ascii="Calibri" w:hAnsi="Calibri"/>
          <w:b w:val="0"/>
          <w:sz w:val="16"/>
        </w:rPr>
        <w:t>This Agreement shall be governed by and construed in accordance with the laws of the State of California, without regard to its conflict-of-laws principles. The Parties consent to the exclusive jurisdiction of the state and federal courts located in Los Angeles County, California.</w:t>
      </w:r>
    </w:p>
    <w:p>
      <w:pPr>
        <w:spacing w:before="60" w:after="20" w:line="240" w:lineRule="auto"/>
      </w:pPr>
      <w:r>
        <w:rPr>
          <w:rFonts w:ascii="Calibri" w:hAnsi="Calibri"/>
          <w:b/>
          <w:sz w:val="17"/>
        </w:rPr>
        <w:t>10. Entire Agreement</w:t>
      </w:r>
    </w:p>
    <w:p>
      <w:pPr>
        <w:spacing w:before="0" w:after="40" w:line="240" w:lineRule="auto"/>
        <w:jc w:val="both"/>
      </w:pPr>
      <w:r>
        <w:rPr>
          <w:rFonts w:ascii="Calibri" w:hAnsi="Calibri"/>
          <w:b w:val="0"/>
          <w:sz w:val="16"/>
        </w:rPr>
        <w:t>This Agreement constitutes the entire agreement between the Parties and supersedes all prior understandings. Any amendment must be in writing and signed by both Parties.</w:t>
      </w:r>
    </w:p>
    <w:p>
      <w:pPr>
        <w:sectPr>
          <w:type w:val="continuous"/>
          <w:pgSz w:w="12240" w:h="15840"/>
          <w:pgMar w:top="720" w:right="864" w:bottom="720" w:left="864" w:header="720" w:footer="720" w:gutter="0"/>
          <w:cols w:space="300" w:num="2"/>
          <w:docGrid w:linePitch="360"/>
        </w:sectPr>
      </w:pPr>
    </w:p>
    <w:p>
      <w:pPr>
        <w:spacing w:before="100" w:after="80" w:line="240" w:lineRule="auto"/>
      </w:pPr>
      <w:r>
        <w:rPr>
          <w:rFonts w:ascii="Calibri" w:hAnsi="Calibri"/>
          <w:b/>
          <w:sz w:val="16"/>
        </w:rPr>
        <w:t>IN WITNESS WHEREOF, the Parties have executed this Agreement as of the date first written above.</w:t>
      </w:r>
    </w:p>
    <w:tbl>
      <w:tblPr>
        <w:tblW w:type="auto" w:w="0"/>
        <w:tblLayout w:type="autofit"/>
        <w:tblLook w:firstColumn="1" w:firstRow="1" w:lastColumn="0" w:lastRow="0" w:noHBand="0" w:noVBand="1" w:val="04A0"/>
      </w:tblPr>
      <w:tblGrid>
        <w:gridCol w:w="5256"/>
        <w:gridCol w:w="5256"/>
      </w:tblGrid>
      <w:tr>
        <w:tc>
          <w:tcPr>
            <w:tcW w:type="dxa" w:w="5256"/>
          </w:tcPr>
          <w:p>
            <w:pPr>
              <w:spacing w:before="0" w:after="20" w:line="240" w:lineRule="auto"/>
            </w:pPr>
            <w:r/>
            <w:r>
              <w:rPr>
                <w:rFonts w:ascii="Calibri" w:hAnsi="Calibri"/>
                <w:b/>
                <w:sz w:val="16"/>
              </w:rPr>
              <w:t>Client — DIAMI USA CORPORATION</w:t>
            </w:r>
          </w:p>
          <w:p>
            <w:pPr>
              <w:spacing w:before="0" w:after="20" w:line="240" w:lineRule="auto"/>
            </w:pPr>
            <w:r>
              <w:rPr>
                <w:rFonts w:ascii="Calibri" w:hAnsi="Calibri"/>
                <w:b w:val="0"/>
                <w:sz w:val="16"/>
              </w:rPr>
            </w:r>
          </w:p>
          <w:p>
            <w:pPr>
              <w:spacing w:before="0" w:after="20" w:line="240" w:lineRule="auto"/>
            </w:pPr>
            <w:r>
              <w:rPr>
                <w:rFonts w:ascii="Calibri" w:hAnsi="Calibri"/>
                <w:b w:val="0"/>
                <w:sz w:val="16"/>
              </w:rPr>
              <w:t>Signature: ______________________</w:t>
            </w:r>
          </w:p>
          <w:p>
            <w:pPr>
              <w:spacing w:before="0" w:after="20" w:line="240" w:lineRule="auto"/>
            </w:pPr>
            <w:r>
              <w:rPr>
                <w:rFonts w:ascii="Calibri" w:hAnsi="Calibri"/>
                <w:b w:val="0"/>
                <w:sz w:val="16"/>
              </w:rPr>
              <w:t>Name: Myung Hee Park</w:t>
            </w:r>
          </w:p>
          <w:p>
            <w:pPr>
              <w:spacing w:before="0" w:after="20" w:line="240" w:lineRule="auto"/>
            </w:pPr>
            <w:r>
              <w:rPr>
                <w:rFonts w:ascii="Calibri" w:hAnsi="Calibri"/>
                <w:b w:val="0"/>
                <w:sz w:val="16"/>
              </w:rPr>
              <w:t>Title: CEO</w:t>
            </w:r>
          </w:p>
          <w:p>
            <w:pPr>
              <w:spacing w:before="0" w:after="20" w:line="240" w:lineRule="auto"/>
            </w:pPr>
            <w:r>
              <w:rPr>
                <w:rFonts w:ascii="Calibri" w:hAnsi="Calibri"/>
                <w:b w:val="0"/>
                <w:sz w:val="16"/>
              </w:rPr>
              <w:t>Date: ______________________</w:t>
            </w:r>
          </w:p>
        </w:tc>
        <w:tc>
          <w:tcPr>
            <w:tcW w:type="dxa" w:w="5256"/>
          </w:tcPr>
          <w:p>
            <w:pPr>
              <w:spacing w:before="0" w:after="20" w:line="240" w:lineRule="auto"/>
            </w:pPr>
            <w:r/>
            <w:r>
              <w:rPr>
                <w:rFonts w:ascii="Calibri" w:hAnsi="Calibri"/>
                <w:b/>
                <w:sz w:val="16"/>
              </w:rPr>
              <w:t>Consultant — Jenna Armitage (ILYN Studio)</w:t>
            </w:r>
          </w:p>
          <w:p>
            <w:pPr>
              <w:spacing w:before="0" w:after="20" w:line="240" w:lineRule="auto"/>
            </w:pPr>
            <w:r>
              <w:rPr>
                <w:rFonts w:ascii="Calibri" w:hAnsi="Calibri"/>
                <w:b w:val="0"/>
                <w:sz w:val="16"/>
              </w:rPr>
            </w:r>
          </w:p>
          <w:p>
            <w:pPr>
              <w:spacing w:before="0" w:after="20" w:line="240" w:lineRule="auto"/>
            </w:pPr>
            <w:r>
              <w:rPr>
                <w:rFonts w:ascii="Calibri" w:hAnsi="Calibri"/>
                <w:b w:val="0"/>
                <w:sz w:val="16"/>
              </w:rPr>
              <w:t>Signature: ______________________</w:t>
            </w:r>
          </w:p>
          <w:p>
            <w:pPr>
              <w:spacing w:before="0" w:after="20" w:line="240" w:lineRule="auto"/>
            </w:pPr>
            <w:r>
              <w:rPr>
                <w:rFonts w:ascii="Calibri" w:hAnsi="Calibri"/>
                <w:b w:val="0"/>
                <w:sz w:val="16"/>
              </w:rPr>
              <w:t>Name: Jenna Armitage</w:t>
            </w:r>
          </w:p>
          <w:p>
            <w:pPr>
              <w:spacing w:before="0" w:after="20" w:line="240" w:lineRule="auto"/>
            </w:pPr>
            <w:r>
              <w:rPr>
                <w:rFonts w:ascii="Calibri" w:hAnsi="Calibri"/>
                <w:b w:val="0"/>
                <w:sz w:val="16"/>
              </w:rPr>
              <w:t>Date: ______________________</w:t>
            </w:r>
          </w:p>
        </w:tc>
      </w:tr>
    </w:tbl>
    <w:sectPr w:rsidR="00FC693F" w:rsidRPr="0006063C" w:rsidSect="00034616">
      <w:type w:val="continuous"/>
      <w:pgSz w:w="12240" w:h="15840"/>
      <w:pgMar w:top="720" w:right="864" w:bottom="720" w:left="864"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