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4. Platform Deployment Plan</w:t>
      </w:r>
    </w:p>
    <w:p>
      <w:r>
        <w:t>CareConnect ships to three platform families using the course-wide toolchain. Each row below is a graded deliverable, so the plan is written as a build-and-verify commitment rather than a statement of intent.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b/>
              </w:rPr>
              <w:t>Platform</w:t>
            </w:r>
          </w:p>
        </w:tc>
        <w:tc>
          <w:tcPr>
            <w:tcW w:type="dxa" w:w="1728"/>
          </w:tcPr>
          <w:p>
            <w:r/>
            <w:r>
              <w:rPr>
                <w:b/>
              </w:rPr>
              <w:t>Technology</w:t>
            </w:r>
          </w:p>
        </w:tc>
        <w:tc>
          <w:tcPr>
            <w:tcW w:type="dxa" w:w="1728"/>
          </w:tcPr>
          <w:p>
            <w:r/>
            <w:r>
              <w:rPr>
                <w:b/>
              </w:rPr>
              <w:t>Target</w:t>
            </w:r>
          </w:p>
        </w:tc>
        <w:tc>
          <w:tcPr>
            <w:tcW w:type="dxa" w:w="1728"/>
          </w:tcPr>
          <w:p>
            <w:r/>
            <w:r>
              <w:rPr>
                <w:b/>
              </w:rPr>
              <w:t>Build output</w:t>
            </w:r>
          </w:p>
        </w:tc>
        <w:tc>
          <w:tcPr>
            <w:tcW w:type="dxa" w:w="1728"/>
          </w:tcPr>
          <w:p>
            <w:r/>
            <w:r>
              <w:rPr>
                <w:b/>
              </w:rPr>
              <w:t>Assignment</w:t>
            </w:r>
          </w:p>
        </w:tc>
      </w:tr>
      <w:tr>
        <w:tc>
          <w:tcPr>
            <w:tcW w:type="dxa" w:w="1728"/>
          </w:tcPr>
          <w:p>
            <w:r/>
            <w:r>
              <w:t>Mobile</w:t>
            </w:r>
          </w:p>
        </w:tc>
        <w:tc>
          <w:tcPr>
            <w:tcW w:type="dxa" w:w="1728"/>
          </w:tcPr>
          <w:p>
            <w:r/>
            <w:r>
              <w:t>Flutter</w:t>
            </w:r>
          </w:p>
        </w:tc>
        <w:tc>
          <w:tcPr>
            <w:tcW w:type="dxa" w:w="1728"/>
          </w:tcPr>
          <w:p>
            <w:r/>
            <w:r>
              <w:t>Android and iOS</w:t>
            </w:r>
          </w:p>
        </w:tc>
        <w:tc>
          <w:tcPr>
            <w:tcW w:type="dxa" w:w="1728"/>
          </w:tcPr>
          <w:p>
            <w:r/>
            <w:r>
              <w:t>.apk (Android), simulator build (iOS)</w:t>
            </w:r>
          </w:p>
        </w:tc>
        <w:tc>
          <w:tcPr>
            <w:tcW w:type="dxa" w:w="1728"/>
          </w:tcPr>
          <w:p>
            <w:r/>
            <w:r>
              <w:t>3–4, 6</w:t>
            </w:r>
          </w:p>
        </w:tc>
      </w:tr>
      <w:tr>
        <w:tc>
          <w:tcPr>
            <w:tcW w:type="dxa" w:w="1728"/>
          </w:tcPr>
          <w:p>
            <w:r/>
            <w:r>
              <w:t>Mobile</w:t>
            </w:r>
          </w:p>
        </w:tc>
        <w:tc>
          <w:tcPr>
            <w:tcW w:type="dxa" w:w="1728"/>
          </w:tcPr>
          <w:p>
            <w:r/>
            <w:r>
              <w:t>React Native + Expo</w:t>
            </w:r>
          </w:p>
        </w:tc>
        <w:tc>
          <w:tcPr>
            <w:tcW w:type="dxa" w:w="1728"/>
          </w:tcPr>
          <w:p>
            <w:r/>
            <w:r>
              <w:t>Android and iOS</w:t>
            </w:r>
          </w:p>
        </w:tc>
        <w:tc>
          <w:tcPr>
            <w:tcW w:type="dxa" w:w="1728"/>
          </w:tcPr>
          <w:p>
            <w:r/>
            <w:r>
              <w:t>Expo dev build / .apk</w:t>
            </w:r>
          </w:p>
        </w:tc>
        <w:tc>
          <w:tcPr>
            <w:tcW w:type="dxa" w:w="1728"/>
          </w:tcPr>
          <w:p>
            <w:r/>
            <w:r>
              <w:t>5–6</w:t>
            </w:r>
          </w:p>
        </w:tc>
      </w:tr>
      <w:tr>
        <w:tc>
          <w:tcPr>
            <w:tcW w:type="dxa" w:w="1728"/>
          </w:tcPr>
          <w:p>
            <w:r/>
            <w:r>
              <w:t>Desktop</w:t>
            </w:r>
          </w:p>
        </w:tc>
        <w:tc>
          <w:tcPr>
            <w:tcW w:type="dxa" w:w="1728"/>
          </w:tcPr>
          <w:p>
            <w:r/>
            <w:r>
              <w:t>Electron + electron-builder</w:t>
            </w:r>
          </w:p>
        </w:tc>
        <w:tc>
          <w:tcPr>
            <w:tcW w:type="dxa" w:w="1728"/>
          </w:tcPr>
          <w:p>
            <w:r/>
            <w:r>
              <w:t>Windows and macOS</w:t>
            </w:r>
          </w:p>
        </w:tc>
        <w:tc>
          <w:tcPr>
            <w:tcW w:type="dxa" w:w="1728"/>
          </w:tcPr>
          <w:p>
            <w:r/>
            <w:r>
              <w:t>.exe (NSIS), .dmg</w:t>
            </w:r>
          </w:p>
        </w:tc>
        <w:tc>
          <w:tcPr>
            <w:tcW w:type="dxa" w:w="1728"/>
          </w:tcPr>
          <w:p>
            <w:r/>
            <w:r>
              <w:t>7–9</w:t>
            </w:r>
          </w:p>
        </w:tc>
      </w:tr>
      <w:tr>
        <w:tc>
          <w:tcPr>
            <w:tcW w:type="dxa" w:w="1728"/>
          </w:tcPr>
          <w:p>
            <w:r/>
            <w:r>
              <w:t>Web</w:t>
            </w:r>
          </w:p>
        </w:tc>
        <w:tc>
          <w:tcPr>
            <w:tcW w:type="dxa" w:w="1728"/>
          </w:tcPr>
          <w:p>
            <w:r/>
            <w:r>
              <w:t>React + Vite</w:t>
            </w:r>
          </w:p>
        </w:tc>
        <w:tc>
          <w:tcPr>
            <w:tcW w:type="dxa" w:w="1728"/>
          </w:tcPr>
          <w:p>
            <w:r/>
            <w:r>
              <w:t>Responsive PWA, installable</w:t>
            </w:r>
          </w:p>
        </w:tc>
        <w:tc>
          <w:tcPr>
            <w:tcW w:type="dxa" w:w="1728"/>
          </w:tcPr>
          <w:p>
            <w:r/>
            <w:r>
              <w:t>Static bundle</w:t>
            </w:r>
          </w:p>
        </w:tc>
        <w:tc>
          <w:tcPr>
            <w:tcW w:type="dxa" w:w="1728"/>
          </w:tcPr>
          <w:p>
            <w:r/>
            <w:r>
              <w:t>10–11</w:t>
            </w:r>
          </w:p>
        </w:tc>
      </w:tr>
    </w:tbl>
    <w:p/>
    <w:p>
      <w:pPr>
        <w:pStyle w:val="Heading2"/>
      </w:pPr>
      <w:r>
        <w:t>Desktop: targeting two operating systems</w:t>
      </w:r>
    </w:p>
    <w:p>
      <w:r>
        <w:t>Assignment 1's template asks teams to choose one desktop OS. This team's assigned platform-coverage constraint specifies both Windows and macOS, so the proposal targets both. Where the template and the assigned constraint conflict, the assigned constraint governs; this is flagged for instructor confirmation in Section 7.</w:t>
      </w:r>
    </w:p>
    <w:p>
      <w:r>
        <w:t>The team’s hardware makes this feasible rather than aspirational. Electron produces platform-specific installers that must be built and screen-reader tested on the target OS:</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Operating system</w:t>
            </w:r>
          </w:p>
        </w:tc>
        <w:tc>
          <w:tcPr>
            <w:tcW w:type="dxa" w:w="2880"/>
          </w:tcPr>
          <w:p>
            <w:r/>
            <w:r>
              <w:rPr>
                <w:b/>
              </w:rPr>
              <w:t>Built and tested by</w:t>
            </w:r>
          </w:p>
        </w:tc>
        <w:tc>
          <w:tcPr>
            <w:tcW w:type="dxa" w:w="2880"/>
          </w:tcPr>
          <w:p>
            <w:r/>
            <w:r>
              <w:rPr>
                <w:b/>
              </w:rPr>
              <w:t>Screen reader</w:t>
            </w:r>
          </w:p>
        </w:tc>
      </w:tr>
      <w:tr>
        <w:tc>
          <w:tcPr>
            <w:tcW w:type="dxa" w:w="2880"/>
          </w:tcPr>
          <w:p>
            <w:r/>
            <w:r>
              <w:t>Windows 10</w:t>
            </w:r>
          </w:p>
        </w:tc>
        <w:tc>
          <w:tcPr>
            <w:tcW w:type="dxa" w:w="2880"/>
          </w:tcPr>
          <w:p>
            <w:r/>
            <w:r>
              <w:t>Abel Tabor, Quinton Coleman</w:t>
            </w:r>
          </w:p>
        </w:tc>
        <w:tc>
          <w:tcPr>
            <w:tcW w:type="dxa" w:w="2880"/>
          </w:tcPr>
          <w:p>
            <w:r/>
            <w:r>
              <w:t>NVDA</w:t>
            </w:r>
          </w:p>
        </w:tc>
      </w:tr>
      <w:tr>
        <w:tc>
          <w:tcPr>
            <w:tcW w:type="dxa" w:w="2880"/>
          </w:tcPr>
          <w:p>
            <w:r/>
            <w:r>
              <w:t>macOS</w:t>
            </w:r>
          </w:p>
        </w:tc>
        <w:tc>
          <w:tcPr>
            <w:tcW w:type="dxa" w:w="2880"/>
          </w:tcPr>
          <w:p>
            <w:r/>
            <w:r>
              <w:t>Shayne McPherson</w:t>
            </w:r>
          </w:p>
        </w:tc>
        <w:tc>
          <w:tcPr>
            <w:tcW w:type="dxa" w:w="2880"/>
          </w:tcPr>
          <w:p>
            <w:r/>
            <w:r>
              <w:t>VoiceOver</w:t>
            </w:r>
          </w:p>
        </w:tc>
      </w:tr>
    </w:tbl>
    <w:p/>
    <w:p>
      <w:r>
        <w:t>Two members on Windows and one on macOS means both targets are covered natively, with no virtual machines and no untested build. The cost is roughly double the desktop QA surface, which is recorded as the team’s leading schedule risk in Section 6.</w:t>
      </w:r>
    </w:p>
    <w:p>
      <w:r>
        <w:rPr>
          <w:b/>
        </w:rPr>
        <w:t>Linux</w:t>
      </w:r>
      <w:r>
        <w:t xml:space="preserve"> is out of scope and remains a possible future iteration.</w:t>
      </w:r>
    </w:p>
    <w:p>
      <w:pPr>
        <w:pStyle w:val="Heading2"/>
      </w:pPr>
      <w:r>
        <w:t>Mobile: a hardware constraint worth stating plainly</w:t>
      </w:r>
    </w:p>
    <w:p>
      <w:r>
        <w:t>Android builds can be produced by any team member on any operating system via Android Studio. iOS builds cannot. Xcode runs only on macOS, so every iOS build, simulator run, and VoiceOver-on-iOS accessibility pass depends on the one macOS machine on this team.</w:t>
      </w:r>
    </w:p>
    <w:p>
      <w:r>
        <w:t>Consequences the team accepts:</w:t>
      </w:r>
    </w:p>
    <w:p>
      <w:pPr>
        <w:pStyle w:val="ListBullet"/>
      </w:pPr>
      <w:r>
        <w:t>iOS work is scheduled around a single member’s availability and is not parallelizable.</w:t>
      </w:r>
    </w:p>
    <w:p>
      <w:pPr>
        <w:pStyle w:val="ListBullet"/>
      </w:pPr>
      <w:r>
        <w:t>Android is the primary mobile verification target for day-to-day development; iOS is verified at each assignment boundary rather than continuously.</w:t>
      </w:r>
    </w:p>
    <w:p>
      <w:pPr>
        <w:pStyle w:val="ListBullet"/>
      </w:pPr>
      <w:r>
        <w:t>If that machine is unavailable during Assignments 4–6, iOS evidence is the deliverable at risk. The mitigation is to front-load iOS screenshots and screen-reader captures early in each of those weeks.</w:t>
      </w:r>
    </w:p>
    <w:p>
      <w:pPr>
        <w:pStyle w:val="Heading2"/>
      </w:pPr>
      <w:r>
        <w:t>Web: the primary accessibility proving ground</w:t>
      </w:r>
    </w:p>
    <w:p>
      <w:r>
        <w:t>The React + Vite build is a responsive, installable PWA with offline access to the current day’s medications and appointments, per Must-Have feature 6. It is also where automated accessibility verification runs in CI on every pull request — axe-core across WCAG 2.2 AA rules, plus a Lighthouse accessibility budget — because the web build is the only target those tools drive directly. Conformance findings there propagate to the shared component library, so a fix made once benefits all three platforms.</w:t>
      </w:r>
    </w:p>
    <w:p>
      <w:r>
        <w:t>Deployment for Assignment 11 targets a static host (Netlify, Vercel, or GitHub Pages).</w:t>
      </w:r>
    </w:p>
    <w:p>
      <w:pPr>
        <w:pStyle w:val="Heading2"/>
      </w:pPr>
      <w:r>
        <w:t>Distribution scope</w:t>
      </w:r>
    </w:p>
    <w:p>
      <w:r>
        <w:t>App store distribution is explicitly out of scope. Publishing to the Apple App Store and Google Play requires paid developer enrollment and review cycles measured in weeks, neither of which fits a twelve-week course. Deliverables are therefore locally built installers and application bundles, evidenced by build logs, screenshots, and recorded walkthroughs, with the web build deployed to a public URL.</w:t>
      </w:r>
    </w:p>
    <w:p>
      <w:pPr>
        <w:pStyle w:val="Heading2"/>
      </w:pPr>
      <w:r>
        <w:t>Shared foundation</w:t>
      </w:r>
    </w:p>
    <w:p>
      <w:r>
        <w:t>All three platform families draw on one npm workspaces monorepo — apps/web, apps/desktop, apps/mobile, and shared packages (ui, design-tokens, mock-data). Design tokens are defined once with recorded contrast ratios and verified automatically in CI, so a WCAG 2.2 AA colour decision is made once and inherited everywhere rather than re-litigated per platform.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