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305" w:rsidRDefault="00243305" w:rsidP="0024330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</w:rPr>
      </w:pPr>
      <w:r>
        <w:rPr>
          <w:color w:val="000000"/>
        </w:rPr>
        <w:t>Table S 1: Tumor parameter ranges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43305" w:rsidTr="00D85FE1">
        <w:tc>
          <w:tcPr>
            <w:tcW w:w="3120" w:type="dxa"/>
          </w:tcPr>
          <w:p w:rsidR="00243305" w:rsidRDefault="00243305" w:rsidP="00D85FE1">
            <w:pPr>
              <w:jc w:val="center"/>
              <w:rPr>
                <w:b/>
              </w:rPr>
            </w:pPr>
            <w:r>
              <w:rPr>
                <w:b/>
              </w:rPr>
              <w:t>Tumor parameter</w:t>
            </w:r>
          </w:p>
        </w:tc>
        <w:tc>
          <w:tcPr>
            <w:tcW w:w="3120" w:type="dxa"/>
          </w:tcPr>
          <w:p w:rsidR="00243305" w:rsidRDefault="00243305" w:rsidP="00D85FE1">
            <w:pPr>
              <w:jc w:val="center"/>
              <w:rPr>
                <w:b/>
              </w:rPr>
            </w:pPr>
            <w:r>
              <w:rPr>
                <w:b/>
              </w:rPr>
              <w:t>Range</w:t>
            </w:r>
          </w:p>
        </w:tc>
        <w:tc>
          <w:tcPr>
            <w:tcW w:w="3120" w:type="dxa"/>
          </w:tcPr>
          <w:p w:rsidR="00243305" w:rsidRDefault="00243305" w:rsidP="00D85FE1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  <w:tr w:rsidR="00243305" w:rsidTr="00D85FE1">
        <w:tc>
          <w:tcPr>
            <w:tcW w:w="3120" w:type="dxa"/>
          </w:tcPr>
          <w:p w:rsidR="00243305" w:rsidRDefault="00243305" w:rsidP="00D85FE1">
            <w:r>
              <w:t>Tumor B cell proliferation rate</w:t>
            </w:r>
          </w:p>
        </w:tc>
        <w:tc>
          <w:tcPr>
            <w:tcW w:w="3120" w:type="dxa"/>
          </w:tcPr>
          <w:p w:rsidR="00243305" w:rsidRDefault="00243305" w:rsidP="00D85FE1">
            <w:r>
              <w:t>[0, 0.15/day]</w:t>
            </w:r>
          </w:p>
        </w:tc>
        <w:tc>
          <w:tcPr>
            <w:tcW w:w="3120" w:type="dxa"/>
          </w:tcPr>
          <w:p w:rsidR="00243305" w:rsidRDefault="00243305" w:rsidP="00856A52">
            <w:r>
              <w:t xml:space="preserve">Ref: </w:t>
            </w:r>
            <w:r w:rsidR="00856A52">
              <w:rPr>
                <w:vertAlign w:val="superscript"/>
              </w:rPr>
              <w:t>1,2</w:t>
            </w:r>
          </w:p>
        </w:tc>
      </w:tr>
      <w:tr w:rsidR="00243305" w:rsidTr="00D85FE1">
        <w:tc>
          <w:tcPr>
            <w:tcW w:w="3120" w:type="dxa"/>
          </w:tcPr>
          <w:p w:rsidR="00243305" w:rsidRDefault="00243305" w:rsidP="00D85FE1">
            <w:r>
              <w:t>Initial B cell count in tumor</w:t>
            </w:r>
          </w:p>
        </w:tc>
        <w:tc>
          <w:tcPr>
            <w:tcW w:w="3120" w:type="dxa"/>
          </w:tcPr>
          <w:p w:rsidR="00243305" w:rsidRDefault="00243305" w:rsidP="00D85FE1">
            <w:r>
              <w:t>SPD ± 10%</w:t>
            </w:r>
          </w:p>
        </w:tc>
        <w:tc>
          <w:tcPr>
            <w:tcW w:w="3120" w:type="dxa"/>
          </w:tcPr>
          <w:p w:rsidR="00243305" w:rsidRDefault="00243305" w:rsidP="00D85FE1">
            <w:r>
              <w:t>Baseline SPD</w:t>
            </w:r>
            <w:r w:rsidR="0042659F">
              <w:t xml:space="preserve"> for each individual patient</w:t>
            </w:r>
            <w:bookmarkStart w:id="0" w:name="_GoBack"/>
            <w:bookmarkEnd w:id="0"/>
            <w:r>
              <w:t xml:space="preserve"> from mosunetuzumab </w:t>
            </w:r>
            <w:proofErr w:type="spellStart"/>
            <w:r>
              <w:t>Ph</w:t>
            </w:r>
            <w:proofErr w:type="spellEnd"/>
            <w:r>
              <w:t xml:space="preserve"> 1 study GO29781 </w:t>
            </w:r>
          </w:p>
        </w:tc>
      </w:tr>
      <w:tr w:rsidR="00243305" w:rsidTr="00D85FE1">
        <w:tc>
          <w:tcPr>
            <w:tcW w:w="3120" w:type="dxa"/>
          </w:tcPr>
          <w:p w:rsidR="00243305" w:rsidRDefault="00243305" w:rsidP="00D85FE1">
            <w:r>
              <w:t>B to T cell ratio</w:t>
            </w:r>
          </w:p>
        </w:tc>
        <w:tc>
          <w:tcPr>
            <w:tcW w:w="3120" w:type="dxa"/>
          </w:tcPr>
          <w:p w:rsidR="00243305" w:rsidRDefault="00243305" w:rsidP="00D85FE1">
            <w:r>
              <w:t>[4, 80]</w:t>
            </w:r>
          </w:p>
        </w:tc>
        <w:tc>
          <w:tcPr>
            <w:tcW w:w="3120" w:type="dxa"/>
          </w:tcPr>
          <w:p w:rsidR="00243305" w:rsidRDefault="00243305" w:rsidP="00856A52">
            <w:r>
              <w:t>Ref:</w:t>
            </w:r>
            <w:r w:rsidR="00856B11">
              <w:t xml:space="preserve"> tumor lymphocyte infiltration observed in pre-treatment biopsies from</w:t>
            </w:r>
            <w:r>
              <w:t xml:space="preserve"> </w:t>
            </w:r>
            <w:r w:rsidR="00856A52">
              <w:rPr>
                <w:vertAlign w:val="superscript"/>
              </w:rPr>
              <w:t>3</w:t>
            </w:r>
            <w:r w:rsidR="0042659F">
              <w:rPr>
                <w:vertAlign w:val="superscript"/>
              </w:rPr>
              <w:t>, 4</w:t>
            </w:r>
          </w:p>
        </w:tc>
      </w:tr>
    </w:tbl>
    <w:p w:rsidR="00243305" w:rsidRDefault="00243305" w:rsidP="00243305">
      <w:pPr>
        <w:spacing w:line="360" w:lineRule="auto"/>
      </w:pPr>
    </w:p>
    <w:p w:rsidR="00856A52" w:rsidRPr="00F626A3" w:rsidRDefault="00856A52" w:rsidP="00856A52">
      <w:pPr>
        <w:pStyle w:val="EndNoteBibliography"/>
        <w:numPr>
          <w:ilvl w:val="0"/>
          <w:numId w:val="1"/>
        </w:numPr>
      </w:pPr>
      <w:r w:rsidRPr="00F626A3">
        <w:t xml:space="preserve">Roesch K, Hasenclever D, Scholz M. Modelling lymphoma therapy and outcome. </w:t>
      </w:r>
      <w:r w:rsidRPr="00F626A3">
        <w:rPr>
          <w:i/>
        </w:rPr>
        <w:t>Bull Math Biol</w:t>
      </w:r>
      <w:r w:rsidRPr="00F626A3">
        <w:t xml:space="preserve">  </w:t>
      </w:r>
      <w:r w:rsidRPr="00F626A3">
        <w:rPr>
          <w:b/>
        </w:rPr>
        <w:t>76</w:t>
      </w:r>
      <w:r w:rsidRPr="00F626A3">
        <w:t xml:space="preserve"> 401-430. (2014)</w:t>
      </w:r>
    </w:p>
    <w:p w:rsidR="00856A52" w:rsidRPr="00F626A3" w:rsidRDefault="00856A52" w:rsidP="00856A52">
      <w:pPr>
        <w:pStyle w:val="EndNoteBibliography"/>
      </w:pPr>
    </w:p>
    <w:p w:rsidR="00856A52" w:rsidRDefault="00856A52" w:rsidP="00856A52">
      <w:pPr>
        <w:pStyle w:val="EndNoteBibliography"/>
        <w:numPr>
          <w:ilvl w:val="0"/>
          <w:numId w:val="1"/>
        </w:numPr>
      </w:pPr>
      <w:r w:rsidRPr="00F626A3">
        <w:t>Tolo Diebkile A</w:t>
      </w:r>
      <w:r w:rsidRPr="00F626A3">
        <w:rPr>
          <w:i/>
        </w:rPr>
        <w:t>, et al.</w:t>
      </w:r>
      <w:r w:rsidRPr="00F626A3">
        <w:t xml:space="preserve"> Characteristics and Results of the Management of Diffuse Large B-Cell Lymphomas: The Experience of Cote d'Ivoire. </w:t>
      </w:r>
      <w:r w:rsidRPr="00F626A3">
        <w:rPr>
          <w:i/>
        </w:rPr>
        <w:t>Adv Hematol</w:t>
      </w:r>
      <w:r w:rsidRPr="00F626A3">
        <w:t xml:space="preserve">  </w:t>
      </w:r>
      <w:r w:rsidRPr="00F626A3">
        <w:rPr>
          <w:b/>
        </w:rPr>
        <w:t>2012</w:t>
      </w:r>
      <w:r w:rsidRPr="00F626A3">
        <w:t xml:space="preserve"> 945138. (2012)</w:t>
      </w:r>
    </w:p>
    <w:p w:rsidR="00856A52" w:rsidRDefault="00856A52" w:rsidP="00856A52">
      <w:pPr>
        <w:pStyle w:val="EndNoteBibliography"/>
        <w:ind w:left="720" w:hanging="720"/>
      </w:pPr>
    </w:p>
    <w:p w:rsidR="00243305" w:rsidRDefault="00856B11" w:rsidP="00856A52">
      <w:pPr>
        <w:pStyle w:val="EndNoteBibliography"/>
        <w:numPr>
          <w:ilvl w:val="0"/>
          <w:numId w:val="1"/>
        </w:numPr>
      </w:pPr>
      <w:r w:rsidRPr="00E10FF2">
        <w:t>Hernandez, G.</w:t>
      </w:r>
      <w:r w:rsidRPr="00E10FF2">
        <w:rPr>
          <w:i/>
        </w:rPr>
        <w:t>, et al</w:t>
      </w:r>
      <w:r w:rsidRPr="00E10FF2">
        <w:t xml:space="preserve">. Pharmacodynamic Effects and Immune Correlates of Response to the CD20/CD3 Bispecific Antibody Mosunetuzumab in Relapsed or Refractory Non-Hodgkin Lymphoma. </w:t>
      </w:r>
      <w:r w:rsidRPr="00E10FF2">
        <w:rPr>
          <w:i/>
        </w:rPr>
        <w:t>Blood</w:t>
      </w:r>
      <w:r w:rsidRPr="00E10FF2">
        <w:t xml:space="preserve">. </w:t>
      </w:r>
      <w:r w:rsidRPr="00E10FF2">
        <w:rPr>
          <w:b/>
        </w:rPr>
        <w:t>134</w:t>
      </w:r>
      <w:r w:rsidRPr="00E10FF2">
        <w:t>, 1585 (2019).</w:t>
      </w:r>
    </w:p>
    <w:p w:rsidR="00856A52" w:rsidRDefault="00856A52" w:rsidP="00856A52">
      <w:pPr>
        <w:pStyle w:val="ListParagraph"/>
      </w:pPr>
    </w:p>
    <w:p w:rsidR="00856A52" w:rsidRPr="00856A52" w:rsidRDefault="00856A52" w:rsidP="00856A52">
      <w:pPr>
        <w:pStyle w:val="EndNoteBibliography"/>
        <w:numPr>
          <w:ilvl w:val="0"/>
          <w:numId w:val="1"/>
        </w:numPr>
      </w:pPr>
      <w:r w:rsidRPr="00F626A3">
        <w:t>Autio M</w:t>
      </w:r>
      <w:r w:rsidRPr="00F626A3">
        <w:rPr>
          <w:i/>
        </w:rPr>
        <w:t>, et al.</w:t>
      </w:r>
      <w:r w:rsidRPr="00F626A3">
        <w:t xml:space="preserve"> Immune cell constitution in the tumor microenvironment predicts the outcome in diffuse large B-cell lymphoma. </w:t>
      </w:r>
      <w:r w:rsidRPr="00F626A3">
        <w:rPr>
          <w:i/>
        </w:rPr>
        <w:t>Haematologica</w:t>
      </w:r>
      <w:r w:rsidRPr="00F626A3">
        <w:t>. (2020)</w:t>
      </w:r>
    </w:p>
    <w:p w:rsidR="000F50CF" w:rsidRDefault="000F50CF"/>
    <w:sectPr w:rsidR="000F5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C4699"/>
    <w:multiLevelType w:val="hybridMultilevel"/>
    <w:tmpl w:val="ED769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305"/>
    <w:rsid w:val="000F50CF"/>
    <w:rsid w:val="00243305"/>
    <w:rsid w:val="0042659F"/>
    <w:rsid w:val="00856A52"/>
    <w:rsid w:val="00856B11"/>
    <w:rsid w:val="00886C82"/>
    <w:rsid w:val="00FD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C98C"/>
  <w15:chartTrackingRefBased/>
  <w15:docId w15:val="{18D1F0CB-B6CF-460C-A1A1-3855838A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3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856A52"/>
    <w:rPr>
      <w:rFonts w:eastAsiaTheme="minorEastAsia"/>
      <w:noProof/>
      <w:szCs w:val="22"/>
      <w:lang w:eastAsia="zh-CN"/>
    </w:rPr>
  </w:style>
  <w:style w:type="character" w:customStyle="1" w:styleId="EndNoteBibliographyChar">
    <w:name w:val="EndNote Bibliography Char"/>
    <w:basedOn w:val="DefaultParagraphFont"/>
    <w:link w:val="EndNoteBibliography"/>
    <w:rsid w:val="00856A52"/>
    <w:rPr>
      <w:rFonts w:ascii="Times New Roman" w:eastAsiaTheme="minorEastAsia" w:hAnsi="Times New Roman" w:cs="Times New Roman"/>
      <w:noProof/>
      <w:sz w:val="24"/>
      <w:lang w:eastAsia="zh-CN"/>
    </w:rPr>
  </w:style>
  <w:style w:type="paragraph" w:styleId="ListParagraph">
    <w:name w:val="List Paragraph"/>
    <w:basedOn w:val="Normal"/>
    <w:uiPriority w:val="34"/>
    <w:qFormat/>
    <w:rsid w:val="00856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F. Hoffmann-La Roche, Ltd.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Susilo, Monica {GCCF~SOUTH SAN FRANCISCO}</dc:creator>
  <cp:keywords/>
  <dc:description/>
  <cp:lastModifiedBy>Susilo, Monica {GCCF~SOUTH SAN FRANCISCO}</cp:lastModifiedBy>
  <cp:revision>4</cp:revision>
  <dcterms:created xsi:type="dcterms:W3CDTF">2023-01-22T23:16:00Z</dcterms:created>
  <dcterms:modified xsi:type="dcterms:W3CDTF">2023-01-22T23:45:00Z</dcterms:modified>
</cp:coreProperties>
</file>