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030C23" w14:textId="77777777" w:rsidR="003D5E54" w:rsidRDefault="00000000">
      <w:pPr>
        <w:bidi/>
        <w:spacing w:after="40"/>
        <w:jc w:val="right"/>
      </w:pPr>
      <w:r>
        <w:rPr>
          <w:color w:val="808080"/>
          <w:rtl/>
        </w:rPr>
        <w:t>יסודות החשבונאות (10280) — מדריך למידה</w:t>
      </w:r>
    </w:p>
    <w:p w14:paraId="6FF586AF" w14:textId="77777777" w:rsidR="003D5E54" w:rsidRDefault="00000000" w:rsidP="004D02DA">
      <w:pPr>
        <w:pBdr>
          <w:bottom w:val="single" w:sz="8" w:space="6" w:color="1F3864"/>
        </w:pBdr>
        <w:bidi/>
        <w:spacing w:after="240"/>
        <w:jc w:val="both"/>
      </w:pPr>
      <w:r>
        <w:rPr>
          <w:b/>
          <w:bCs/>
          <w:color w:val="1F3864"/>
          <w:sz w:val="36"/>
          <w:szCs w:val="36"/>
          <w:rtl/>
        </w:rPr>
        <w:t>שיעור 1 | מבוא ורקע לדיווח כספי</w:t>
      </w:r>
    </w:p>
    <w:p w14:paraId="393CDDF6" w14:textId="77777777" w:rsidR="003D5E54" w:rsidRDefault="00000000" w:rsidP="004D02DA">
      <w:pPr>
        <w:pStyle w:val="Heading2"/>
        <w:bidi/>
        <w:spacing w:before="280" w:after="120"/>
      </w:pPr>
      <w:r>
        <w:rPr>
          <w:b/>
          <w:bCs/>
          <w:color w:val="2E5496"/>
          <w:sz w:val="25"/>
          <w:szCs w:val="25"/>
          <w:rtl/>
        </w:rPr>
        <w:t>1. דיווח כספי: מהו ולמי הוא נועד</w:t>
      </w:r>
    </w:p>
    <w:p w14:paraId="6F1BFFE7" w14:textId="77777777" w:rsidR="003D5E54" w:rsidRDefault="00000000">
      <w:pPr>
        <w:bidi/>
        <w:spacing w:after="120"/>
        <w:jc w:val="both"/>
      </w:pPr>
      <w:r>
        <w:rPr>
          <w:rtl/>
        </w:rPr>
        <w:t>נקודת המוצא של הקורס היא שהמשק זקוק למידע כספי. רשות המס מבקשת לדעת כמה הרוויח עסק; משקיע מבקש לדעת היכן להשקיע, ובדיעבד אם השקעתו הניבה את שציפה; מלווה מבקש לדעת אם הלווה יוכל לפרוע את חובו; רוכש פוטנציאלי של פעילות מבקש להעריך את שוויה; ורשות ציבורית מבקשת לדעת כיצד הוקצו משאביה. בכל אחד מן המצבים האלה מתבקש מידע כספי, וכל אחד מהם מוליד סוג אחר של דיווח: הערכת שווי, דוח לצורכי מס, תקציב מול ביצוע, הצהרת הון, ודוחות כספיים מבוקרים.</w:t>
      </w:r>
    </w:p>
    <w:p w14:paraId="20354372" w14:textId="77777777" w:rsidR="003D5E54" w:rsidRDefault="00000000">
      <w:pPr>
        <w:bidi/>
        <w:spacing w:after="120"/>
        <w:jc w:val="both"/>
      </w:pPr>
      <w:r>
        <w:rPr>
          <w:rtl/>
        </w:rPr>
        <w:t xml:space="preserve">מכאן ההגדרה שתלווה אותנו: </w:t>
      </w:r>
      <w:r>
        <w:rPr>
          <w:b/>
          <w:bCs/>
          <w:rtl/>
        </w:rPr>
        <w:t>דיווח כספי הוא מידע פיננסי המסייע למשתמשים בו לקבל החלטות, וחשבונאות היא התורה שעל בסיסה נוצר אותו מידע.</w:t>
      </w:r>
      <w:r>
        <w:rPr>
          <w:rtl/>
        </w:rPr>
        <w:t xml:space="preserve"> במילים אחרות, חשבונאות היא התהליך שבו לוקחים מציאות עסקית — עסקה, אירוע, מצב — ומתרגמים אותה למספרים ולמילים בעלי משמעות כלכלית. בקורס זה נתמקד בסוג דיווח אחד ומרכזי: הדוחות הכספיים המבוקרים של ישויות, ובראשן חברות.</w:t>
      </w:r>
    </w:p>
    <w:p w14:paraId="36692FED" w14:textId="77777777" w:rsidR="003D5E54" w:rsidRDefault="00000000" w:rsidP="004D02DA">
      <w:pPr>
        <w:pStyle w:val="Heading2"/>
        <w:bidi/>
        <w:spacing w:before="280" w:after="120"/>
      </w:pPr>
      <w:r>
        <w:rPr>
          <w:b/>
          <w:bCs/>
          <w:color w:val="2E5496"/>
          <w:sz w:val="25"/>
          <w:szCs w:val="25"/>
          <w:rtl/>
        </w:rPr>
        <w:t>2. ההתאגדות והישות הכלכלית הנפרדת</w:t>
      </w:r>
    </w:p>
    <w:p w14:paraId="7C6063D2" w14:textId="77777777" w:rsidR="003D5E54" w:rsidRDefault="00000000">
      <w:pPr>
        <w:bidi/>
        <w:spacing w:after="120"/>
        <w:jc w:val="both"/>
      </w:pPr>
      <w:r>
        <w:rPr>
          <w:rtl/>
        </w:rPr>
        <w:t>מסיבות משפטיות, רגולטוריות ואף חברתיות, פעילות עסקית אינה נעשית בדרך כלל במישרין בידי בני האדם שיזמו אותה, אלא נעטפת במבנה משפטי מוגדר היטב הכולל תקנון וכללים שנקבעו מראש. עטיפה זו נקראת התאגדות, ומכאן נגזר תחום משפטי שלם — דיני תאגידים. צורות ההתאגדות מגוונות: חברה על סוגיה (פרטית, ציבורית, ממשלתית, לתועלת הציבור), שותפות, ומוסד ללא כוונת רווח כגון עמותה או אגודה. השונות המשפטית ביניהן אינה עניינו של קורס זה; מה שחשוב לנו הוא שכולן נדרשות, מטעם זה או אחר, בעריכת דיווח כספי.</w:t>
      </w:r>
    </w:p>
    <w:p w14:paraId="18E26F7E" w14:textId="77777777" w:rsidR="003D5E54" w:rsidRDefault="00000000">
      <w:pPr>
        <w:bidi/>
        <w:spacing w:after="120"/>
        <w:jc w:val="both"/>
      </w:pPr>
      <w:r>
        <w:rPr>
          <w:rtl/>
        </w:rPr>
        <w:t xml:space="preserve">הרעיון שביסוד הדברים, וזהו הרעיון המרכזי של הפרק, הוא שהישות שקמה </w:t>
      </w:r>
      <w:r>
        <w:rPr>
          <w:b/>
          <w:bCs/>
          <w:rtl/>
        </w:rPr>
        <w:t>קיימת בנפרד מכל מי שסובב אותה</w:t>
      </w:r>
      <w:r>
        <w:rPr>
          <w:rtl/>
        </w:rPr>
        <w:t>: מבעליה, ממנהליה, מעובדיה, ממלוויה, מספקיה ומלקוחותיה. היא זו שמתקשרת בחוזים, מעסיקה עובדים, מחזיקה בנכסים, חבה בהתחייבויות ונתבעת בשמה. מי שהקים אותה עומד מחוצה לה ולכל היותר מתווה לה מדיניות. הפרדה זו אינה אבחנה טכנית אלא המקור לצורך בדיווח: משעה שכל אותם גורמים חיצוניים אינם הישות עצמה, כל אחד מהם מבקש לדעת מה מצבה — ומידע זה חייב לצאת ממנה החוצה.</w:t>
      </w:r>
    </w:p>
    <w:p w14:paraId="41DC0685" w14:textId="77777777" w:rsidR="003D5E54" w:rsidRDefault="00000000" w:rsidP="004D02DA">
      <w:pPr>
        <w:pStyle w:val="Heading2"/>
        <w:bidi/>
        <w:spacing w:before="280" w:after="120"/>
      </w:pPr>
      <w:r>
        <w:rPr>
          <w:b/>
          <w:bCs/>
          <w:color w:val="2E5496"/>
          <w:sz w:val="25"/>
          <w:szCs w:val="25"/>
          <w:rtl/>
        </w:rPr>
        <w:t>3. מקורות ושימושים: הון מול חוב</w:t>
      </w:r>
    </w:p>
    <w:p w14:paraId="30F2FCAD" w14:textId="77777777" w:rsidR="003D5E54" w:rsidRDefault="00000000">
      <w:pPr>
        <w:bidi/>
        <w:spacing w:after="120"/>
        <w:jc w:val="both"/>
      </w:pPr>
      <w:r>
        <w:rPr>
          <w:rtl/>
        </w:rPr>
        <w:t>ישות שזה עתה קמה אינה מחזיקה דבר מלבד המסגרת המשפטית שלה. כדי לפעול היא זקוקה למשאבים, ואלה מגיעים משני מקורות בלבד: השקעת בעלים והלוואות. ההבחנה בין השניים נראית טכנית אך היא יסודית, והיא מלווה את החשבונאות לכל אורכה:</w:t>
      </w:r>
    </w:p>
    <w:p w14:paraId="74D442F3" w14:textId="77777777" w:rsidR="003D5E54" w:rsidRDefault="00000000">
      <w:pPr>
        <w:pStyle w:val="ListParagraph"/>
        <w:numPr>
          <w:ilvl w:val="0"/>
          <w:numId w:val="2"/>
        </w:numPr>
        <w:bidi/>
        <w:spacing w:after="80"/>
        <w:jc w:val="both"/>
      </w:pPr>
      <w:r>
        <w:rPr>
          <w:b/>
          <w:bCs/>
          <w:rtl/>
        </w:rPr>
        <w:t>חוזה חוב</w:t>
      </w:r>
      <w:r>
        <w:rPr>
          <w:rtl/>
        </w:rPr>
        <w:t xml:space="preserve"> נוקב במועד פירעון ובתמורה קבועה מראש (ריבית). הנושה אינו שותף להצלחה ואינו נהנה ממנה מעבר לתמורה שהובטחה לו.</w:t>
      </w:r>
    </w:p>
    <w:p w14:paraId="0E1956C5" w14:textId="77777777" w:rsidR="003D5E54" w:rsidRDefault="00000000">
      <w:pPr>
        <w:pStyle w:val="ListParagraph"/>
        <w:numPr>
          <w:ilvl w:val="0"/>
          <w:numId w:val="2"/>
        </w:numPr>
        <w:bidi/>
        <w:spacing w:after="80"/>
        <w:jc w:val="both"/>
      </w:pPr>
      <w:r>
        <w:rPr>
          <w:b/>
          <w:bCs/>
          <w:rtl/>
        </w:rPr>
        <w:t>חוזה הוני</w:t>
      </w:r>
      <w:r>
        <w:rPr>
          <w:rtl/>
        </w:rPr>
        <w:t xml:space="preserve"> אינו נוקב במועד פירעון, ותמורתו אינה מובטחת אלא תלויה בהצלחת הפעילות (דיבידנד). חוזה כזה נקרא מניה.</w:t>
      </w:r>
    </w:p>
    <w:p w14:paraId="7D228C05" w14:textId="77777777" w:rsidR="003D5E54" w:rsidRDefault="00000000">
      <w:pPr>
        <w:pStyle w:val="ListParagraph"/>
        <w:numPr>
          <w:ilvl w:val="0"/>
          <w:numId w:val="2"/>
        </w:numPr>
        <w:bidi/>
        <w:spacing w:after="80"/>
        <w:jc w:val="both"/>
      </w:pPr>
      <w:r>
        <w:rPr>
          <w:b/>
          <w:bCs/>
          <w:rtl/>
        </w:rPr>
        <w:t>קדימות</w:t>
      </w:r>
      <w:r>
        <w:rPr>
          <w:rtl/>
        </w:rPr>
        <w:t>: בעל החוב נפרע ראשון, ובעל ההון אחרון. משמעות הדבר היא שהבעלים הוא שכבת הסיכון הראשונה — כרית הביטחון של המלווה.</w:t>
      </w:r>
    </w:p>
    <w:p w14:paraId="31628E75" w14:textId="77777777" w:rsidR="003D5E54" w:rsidRDefault="00000000">
      <w:pPr>
        <w:bidi/>
        <w:spacing w:after="120"/>
        <w:jc w:val="both"/>
      </w:pPr>
      <w:r>
        <w:rPr>
          <w:rtl/>
        </w:rPr>
        <w:t>מכאן שדרישתו של מלווה כי הבעלים ישקיע תחילה מכספו אינה גחמה אלא הגיון כלכלי: ככל שכרית ההון עבה יותר, כך קטן הסיכון של המלווה, והוא נכון להעמיד מימון גדול יותר ביחס להשקעת הבעלים. יחס זה הוא מה שמכונה מינוף.</w:t>
      </w:r>
    </w:p>
    <w:p w14:paraId="2CFFF4E6" w14:textId="77777777" w:rsidR="003D5E54" w:rsidRDefault="00000000">
      <w:pPr>
        <w:bidi/>
        <w:spacing w:after="120"/>
        <w:jc w:val="both"/>
      </w:pPr>
      <w:r>
        <w:rPr>
          <w:rtl/>
        </w:rPr>
        <w:t xml:space="preserve">מן התמונה הזאת נובעת גם התבנית הבסיסית שבה אנו מציגים ישות: מצד אחד הנכסים שברשותה, ומולם המקורות שמימנו אותם — התחייבויות והון עצמי. בשלב זה איננו נדרשים לכללי מדידה ואיננו קוראים לתבנית בשם רשמי; די </w:t>
      </w:r>
      <w:r>
        <w:rPr>
          <w:rtl/>
        </w:rPr>
        <w:lastRenderedPageBreak/>
        <w:t>בהבחנה שכל נכס שהישות מחזיקה מומן ממקור כלשהו, ולפיכך שני הצדדים שווים זה לזה בהכרח. עוד נשוב לכך בהרחבה.</w:t>
      </w:r>
    </w:p>
    <w:p w14:paraId="7262DF96" w14:textId="77777777" w:rsidR="003D5E54" w:rsidRDefault="00000000">
      <w:pPr>
        <w:bidi/>
        <w:spacing w:after="120"/>
        <w:jc w:val="both"/>
      </w:pPr>
      <w:r>
        <w:rPr>
          <w:rtl/>
        </w:rPr>
        <w:t xml:space="preserve">נעיר כי חוזי הלוואה נוהגים לכלול אמות מידה פיננסיות, כלומר רף מוסכם מראש שאם מצבה של הישות מידרדר מתחתיו רשאי המלווה לדרוש פירעון </w:t>
      </w:r>
      <w:proofErr w:type="spellStart"/>
      <w:r>
        <w:rPr>
          <w:rtl/>
        </w:rPr>
        <w:t>מיידי</w:t>
      </w:r>
      <w:proofErr w:type="spellEnd"/>
      <w:r>
        <w:rPr>
          <w:rtl/>
        </w:rPr>
        <w:t>. תניה מקובלת זו היא הוכחה נוספת לצורך בדיווח כספי שוטף: בלעדיו אין המלווה יכול כלל לבדוק אם הרף נשמר.</w:t>
      </w:r>
    </w:p>
    <w:p w14:paraId="56287AFF" w14:textId="77777777" w:rsidR="003D5E54" w:rsidRDefault="00000000" w:rsidP="004D02DA">
      <w:pPr>
        <w:pStyle w:val="Heading2"/>
        <w:bidi/>
        <w:spacing w:before="280" w:after="120"/>
      </w:pPr>
      <w:r>
        <w:rPr>
          <w:b/>
          <w:bCs/>
          <w:color w:val="2E5496"/>
          <w:sz w:val="25"/>
          <w:szCs w:val="25"/>
          <w:rtl/>
        </w:rPr>
        <w:t>4. מצב של כישלון: קדימות בפירוק וערבון מוגבל</w:t>
      </w:r>
    </w:p>
    <w:p w14:paraId="6A036C10" w14:textId="77777777" w:rsidR="003D5E54" w:rsidRDefault="00000000">
      <w:pPr>
        <w:bidi/>
        <w:spacing w:after="120"/>
        <w:jc w:val="both"/>
      </w:pPr>
      <w:r>
        <w:rPr>
          <w:rtl/>
        </w:rPr>
        <w:t>דרך יעילה לחדד את ההבדל בין הון לחוב היא לבחון מה קורה כאשר הפעילות נכשלת. בתרחיש כזה מחוסלים הנכסים ונמכרים בערכי מימוש, ותמורתם מחולקת על פי סדר הקדימות: תחילה לנושים ולבסוף, אם נותרה שארית, לבעלים. שני תרחישים ממחישים את הכלל: כאשר ההפסד מתון, תמורת המימוש מספיקה לפירעון החוב במלואו והבעלים סופג את מלוא ההפסד; כאשר ההפסד עמוק, נשחקת כרית ההון עד תום, הבעלים יוצא בלא כלום, ורק אז מתחיל גם הנושה להיפגע.</w:t>
      </w:r>
    </w:p>
    <w:p w14:paraId="2055A371" w14:textId="77777777" w:rsidR="003D5E54" w:rsidRDefault="00000000">
      <w:pPr>
        <w:bidi/>
        <w:spacing w:after="120"/>
        <w:jc w:val="both"/>
      </w:pPr>
      <w:r>
        <w:rPr>
          <w:rtl/>
        </w:rPr>
        <w:t xml:space="preserve">כאן מתחוור מובנו של המונח </w:t>
      </w:r>
      <w:r>
        <w:rPr>
          <w:b/>
          <w:bCs/>
          <w:rtl/>
        </w:rPr>
        <w:t>ערבון מוגבל</w:t>
      </w:r>
      <w:r>
        <w:rPr>
          <w:rtl/>
        </w:rPr>
        <w:t>. הפסדו של בעל מניות חסום בגובה השקעתו: הוא עלול לאבד את כל שהשקיע, אך לא יידרש להוסיף מכיסו הפרטי כדי לכסות את חובות החברה. זוהי ההוכחה החדה ביותר להפרדה בין הישות לבעליה — הבעלים מחזיק במאה אחוז מן החברה ועם זאת נשאר חיצוני לה גם בעת כישלונה. מבחינה כלכלית, הסדר זה הוא תנאי לקיומו של שוק הון: בלעדיו לא היה משקיע נכון לרכוש מניה, שכן חשיפתו הייתה בלתי מוגבלת.</w:t>
      </w:r>
    </w:p>
    <w:p w14:paraId="106BE2AC" w14:textId="77777777" w:rsidR="003D5E54" w:rsidRDefault="00000000">
      <w:pPr>
        <w:bidi/>
        <w:spacing w:after="120"/>
        <w:jc w:val="both"/>
      </w:pPr>
      <w:r>
        <w:rPr>
          <w:rtl/>
        </w:rPr>
        <w:t xml:space="preserve">הערת קריאה טכנית שתשמש אותנו לאורך הקורס: </w:t>
      </w:r>
      <w:r>
        <w:rPr>
          <w:b/>
          <w:bCs/>
          <w:rtl/>
        </w:rPr>
        <w:t>מספר המוצג בסוגריים משמעו מספר שלילי.</w:t>
      </w:r>
      <w:r>
        <w:rPr>
          <w:rtl/>
        </w:rPr>
        <w:t xml:space="preserve"> הבחירה בסוגריים ולא בסימן מקף נובעת מכך שההבדל בין חיוב לשלילה הוא תהומי, ואינו ראוי להיסמך על סימן קטן שקל להחמיצו.</w:t>
      </w:r>
    </w:p>
    <w:p w14:paraId="15E391F1" w14:textId="77777777" w:rsidR="003D5E54" w:rsidRDefault="00000000" w:rsidP="004D02DA">
      <w:pPr>
        <w:pStyle w:val="Heading2"/>
        <w:bidi/>
        <w:spacing w:before="280" w:after="120"/>
      </w:pPr>
      <w:r>
        <w:rPr>
          <w:b/>
          <w:bCs/>
          <w:color w:val="2E5496"/>
          <w:sz w:val="25"/>
          <w:szCs w:val="25"/>
          <w:rtl/>
        </w:rPr>
        <w:t>5. חברה פרטית וחברה ציבורית</w:t>
      </w:r>
    </w:p>
    <w:p w14:paraId="56627988" w14:textId="77777777" w:rsidR="003D5E54" w:rsidRDefault="00000000">
      <w:pPr>
        <w:bidi/>
        <w:spacing w:after="120"/>
        <w:jc w:val="both"/>
      </w:pPr>
      <w:r>
        <w:rPr>
          <w:rtl/>
        </w:rPr>
        <w:t>ישות המגייסת מימון פונה בעצמה אל משקיעים ומלווים ומתקשרת עמם בחוזים פרטניים. כך היא נותרת חברה פרטית, בין אם גייסה מעטים ובין אם רבים, ובין אם בדרך הונית ובין אם בדרך של חוב. נעיר בהקשר זה כי איגרת חוב אינה אלא הלוואה שנחתכה ליחידות קטנות רבות, כדי שאפשר יהיה לגייסה מציבור רחב ולא מגוף מוסדי יחיד.</w:t>
      </w:r>
    </w:p>
    <w:p w14:paraId="1ADD2BFA" w14:textId="77777777" w:rsidR="003D5E54" w:rsidRDefault="00000000">
      <w:pPr>
        <w:bidi/>
        <w:spacing w:after="120"/>
        <w:jc w:val="both"/>
      </w:pPr>
      <w:r>
        <w:rPr>
          <w:rtl/>
        </w:rPr>
        <w:t xml:space="preserve">חברה הפונה בהצעה </w:t>
      </w:r>
      <w:r>
        <w:rPr>
          <w:b/>
          <w:bCs/>
          <w:rtl/>
        </w:rPr>
        <w:t>לכלל הציבור</w:t>
      </w:r>
      <w:r>
        <w:rPr>
          <w:rtl/>
        </w:rPr>
        <w:t>, בדרך של הנפקת ניירות ערך בבורסה, הופכת לחברה ציבורית. המניע לכך כלכלי: ככל שיתחרו רבים יותר על ניירות הערך, כך יוזל המימון. אך למהלך יש מחיר בתחום הדיווח, וזו הסיבה שההבחנה מעניינת אותנו: חברה ציבורית מחויבת לחשוף את דוחותיה הכספיים בפני כול, לדווח בתדירות גבוהה (רבעונית, לרוב) ולעמוד בפיקוחה של רשות ניירות ערך, בעוד חברה פרטית מדווחת בעיקר לרשויות המס ולמשקיעיה ובתדירות נמוכה יותר. מטעם זה, הדוגמאות לדוחות כספיים שנביא בקורס הן דוחות של חברות ציבוריות — אלה הדוחות הגלויים לכולנו.</w:t>
      </w:r>
    </w:p>
    <w:p w14:paraId="31ECD9EE" w14:textId="77777777" w:rsidR="003D5E54" w:rsidRDefault="00000000" w:rsidP="004D02DA">
      <w:pPr>
        <w:pStyle w:val="Heading2"/>
        <w:bidi/>
        <w:spacing w:before="280" w:after="120"/>
      </w:pPr>
      <w:r>
        <w:rPr>
          <w:b/>
          <w:bCs/>
          <w:color w:val="2E5496"/>
          <w:sz w:val="25"/>
          <w:szCs w:val="25"/>
          <w:rtl/>
        </w:rPr>
        <w:t>6. חשבונאות ניהולית וחשבונאות פיננסית</w:t>
      </w:r>
    </w:p>
    <w:p w14:paraId="66715D92" w14:textId="77777777" w:rsidR="003D5E54" w:rsidRDefault="00000000">
      <w:pPr>
        <w:bidi/>
        <w:spacing w:after="120"/>
        <w:jc w:val="both"/>
      </w:pPr>
      <w:r>
        <w:rPr>
          <w:rtl/>
        </w:rPr>
        <w:t xml:space="preserve">המידע הכספי שיוצרת ישות מופנה לשני קהלים שונים מאוד. </w:t>
      </w:r>
      <w:r>
        <w:rPr>
          <w:b/>
          <w:bCs/>
          <w:rtl/>
        </w:rPr>
        <w:t>חשבונאות ניהולית</w:t>
      </w:r>
      <w:r>
        <w:rPr>
          <w:rtl/>
        </w:rPr>
        <w:t xml:space="preserve"> היא מידע כספי הנוצר לצורכי קבלת החלטות בתוך הישות עצמה — אם להתרחב, אם לגייס מימון, אם להוציא פעילות למיקור חוץ. מכיוון שנמעניו הם ההנהלה עצמה, אין הוא כפוף לכללים מחייבים: רמת הפירוט, הפורמט והתדירות נקבעים לפי צורכי המשתמש בו.</w:t>
      </w:r>
    </w:p>
    <w:p w14:paraId="261F8946" w14:textId="77777777" w:rsidR="003D5E54" w:rsidRDefault="00000000">
      <w:pPr>
        <w:bidi/>
        <w:spacing w:after="120"/>
        <w:jc w:val="both"/>
      </w:pPr>
      <w:r>
        <w:rPr>
          <w:b/>
          <w:bCs/>
          <w:rtl/>
        </w:rPr>
        <w:t>חשבונאות פיננסית</w:t>
      </w:r>
      <w:r>
        <w:rPr>
          <w:rtl/>
        </w:rPr>
        <w:t xml:space="preserve"> היא מידע כספי הנוצר עבור משתמשים חיצוניים לישות: משקיעים קיימים ופוטנציאליים, מלווים, רשויות מס, רגולטורים, עובדים, לקוחות וספקים. כאן משתנה התמונה מן היסוד, משום שהמשתמשים אינם שולטים במידע ובעלי אינטרסים מנוגדים זה לזה: רשות המס חוששת שהכנסות הוסתרו, ואילו משקיע חושש בדיוק להפך — שהתוצאות נופחו. כדי שמידע כזה יהיה </w:t>
      </w:r>
      <w:r>
        <w:rPr>
          <w:b/>
          <w:bCs/>
          <w:rtl/>
        </w:rPr>
        <w:t>שימושי</w:t>
      </w:r>
      <w:r>
        <w:rPr>
          <w:rtl/>
        </w:rPr>
        <w:t>, כלומר כדי שיתקבלו על פיו החלטות בלי להטיל בו דופי, עליו לעמוד בשני תנאים מצטברים.</w:t>
      </w:r>
    </w:p>
    <w:p w14:paraId="22E2171A" w14:textId="77777777" w:rsidR="003D5E54" w:rsidRDefault="00000000" w:rsidP="004D02DA">
      <w:pPr>
        <w:pStyle w:val="Heading2"/>
        <w:bidi/>
        <w:spacing w:before="280" w:after="120"/>
      </w:pPr>
      <w:r>
        <w:rPr>
          <w:b/>
          <w:bCs/>
          <w:color w:val="2E5496"/>
          <w:sz w:val="25"/>
          <w:szCs w:val="25"/>
          <w:rtl/>
        </w:rPr>
        <w:t>7. התנאי הראשון: דיווח מבוסס תקינה</w:t>
      </w:r>
    </w:p>
    <w:p w14:paraId="569CFDA9" w14:textId="77777777" w:rsidR="003D5E54" w:rsidRDefault="00000000">
      <w:pPr>
        <w:bidi/>
        <w:spacing w:after="120"/>
        <w:jc w:val="both"/>
      </w:pPr>
      <w:r>
        <w:rPr>
          <w:rtl/>
        </w:rPr>
        <w:lastRenderedPageBreak/>
        <w:t>אותה מציאות עסקית ניתנת לתיאור ביותר מדרך אחת. אילו נותר שיקול הדעת בידי המדווח, היה מנצל אותו לטובתו, והמידע היה מאבד את ערכו. נמחיש זאת בשאלת המדידה של מלאי: אפשר להציגו לפי העלות שבה נרכש, ואפשר להציגו לפי הסכום שבו ניתן למכרו. הצגה לפי שווי מנפחת את היקף הנכסים ועשויה לשרת פנייה למשקיעים; הצגה לפי עלות דוחה את ההכרה ברווח ועמה את חבות המס. הבחירה, אם תופקד בידי המדווח, תיקבע לפי האינטרס שלו ולא לפי המציאות.</w:t>
      </w:r>
    </w:p>
    <w:p w14:paraId="5FBC2598" w14:textId="77777777" w:rsidR="003D5E54" w:rsidRDefault="00000000">
      <w:pPr>
        <w:bidi/>
        <w:spacing w:after="120"/>
        <w:jc w:val="both"/>
      </w:pPr>
      <w:r>
        <w:rPr>
          <w:rtl/>
        </w:rPr>
        <w:t>מכאן הדרישה לכללים ברורים, נוקשים, מפורטים ואחידים — ואחידים ברמה בין-לאומית. תוצאתה של דרישה זו גלויה לעין: דוחות של חברות מענפים רחוקים לחלוטין זה מזה נראים דומים להפליא במבנה — אותה חלוקה לקבוצות, אותן כותרות, אותה שיטת הפניה לביאורים. אין זה מקרה אלא תנאי: בלא שפה משותפת אין השוואה, ובלא השוואה אין למידע ערך. נדגיש כי האחידות אינה נוגעת רק לאופן ההצגה אלא גם לכללי המדידה עצמם.</w:t>
      </w:r>
    </w:p>
    <w:p w14:paraId="4FFB12F5" w14:textId="77777777" w:rsidR="003D5E54" w:rsidRDefault="00000000">
      <w:pPr>
        <w:bidi/>
        <w:spacing w:after="120"/>
        <w:jc w:val="both"/>
      </w:pPr>
      <w:r>
        <w:rPr>
          <w:rtl/>
        </w:rPr>
        <w:t>מערכות הכללים הללו מכונות כללי חשבונאות מקובלים (GAAP), והנפוצות שבהן הן:</w:t>
      </w:r>
    </w:p>
    <w:p w14:paraId="6E131991" w14:textId="77777777" w:rsidR="003D5E54" w:rsidRDefault="00000000">
      <w:pPr>
        <w:pStyle w:val="ListParagraph"/>
        <w:numPr>
          <w:ilvl w:val="0"/>
          <w:numId w:val="2"/>
        </w:numPr>
        <w:bidi/>
        <w:spacing w:after="80"/>
        <w:jc w:val="both"/>
      </w:pPr>
      <w:r>
        <w:rPr>
          <w:b/>
          <w:bCs/>
          <w:rtl/>
        </w:rPr>
        <w:t>IFRS</w:t>
      </w:r>
      <w:r>
        <w:rPr>
          <w:rtl/>
        </w:rPr>
        <w:t xml:space="preserve"> — התקינה הבין-לאומית. חברות ציבוריות בישראל מחויבות לדווח לפיה, וכך גם באירופה ובמדינות רבות באסיה ובאפריקה. זו התקינה שעליה יתבסס הקורס.</w:t>
      </w:r>
    </w:p>
    <w:p w14:paraId="6DC8C456" w14:textId="77777777" w:rsidR="003D5E54" w:rsidRDefault="00000000">
      <w:pPr>
        <w:pStyle w:val="ListParagraph"/>
        <w:numPr>
          <w:ilvl w:val="0"/>
          <w:numId w:val="2"/>
        </w:numPr>
        <w:bidi/>
        <w:spacing w:after="80"/>
        <w:jc w:val="both"/>
      </w:pPr>
      <w:r>
        <w:rPr>
          <w:b/>
          <w:bCs/>
          <w:rtl/>
        </w:rPr>
        <w:t>US-GAAP</w:t>
      </w:r>
      <w:r>
        <w:rPr>
          <w:rtl/>
        </w:rPr>
        <w:t xml:space="preserve"> — התקינה האמריקאית. רלוונטית לחברות דואליות הנסחרות גם בארצות הברית, ובישראל היא הבסיס לדיווח של הבנקים, בכפוף להוראות המפקח על הבנקים.</w:t>
      </w:r>
    </w:p>
    <w:p w14:paraId="4A211067" w14:textId="77777777" w:rsidR="003D5E54" w:rsidRDefault="00000000">
      <w:pPr>
        <w:pStyle w:val="ListParagraph"/>
        <w:numPr>
          <w:ilvl w:val="0"/>
          <w:numId w:val="2"/>
        </w:numPr>
        <w:bidi/>
        <w:spacing w:after="80"/>
        <w:jc w:val="both"/>
      </w:pPr>
      <w:proofErr w:type="spellStart"/>
      <w:r>
        <w:rPr>
          <w:b/>
          <w:bCs/>
          <w:rtl/>
        </w:rPr>
        <w:t>Israeli</w:t>
      </w:r>
      <w:proofErr w:type="spellEnd"/>
      <w:r>
        <w:rPr>
          <w:b/>
          <w:bCs/>
          <w:rtl/>
        </w:rPr>
        <w:t xml:space="preserve"> GAAP</w:t>
      </w:r>
      <w:r>
        <w:rPr>
          <w:rtl/>
        </w:rPr>
        <w:t xml:space="preserve"> — התקינה הישראלית, הדומה בחלקה ל-IFRS. רווחת בעיקר בחברות פרטיות ובהקשרי דיווח לרשויות המס.</w:t>
      </w:r>
    </w:p>
    <w:p w14:paraId="717F0E51" w14:textId="77777777" w:rsidR="003D5E54" w:rsidRDefault="00000000" w:rsidP="004D02DA">
      <w:pPr>
        <w:pStyle w:val="Heading2"/>
        <w:bidi/>
        <w:spacing w:before="280" w:after="120"/>
      </w:pPr>
      <w:r>
        <w:rPr>
          <w:b/>
          <w:bCs/>
          <w:color w:val="2E5496"/>
          <w:sz w:val="25"/>
          <w:szCs w:val="25"/>
          <w:rtl/>
        </w:rPr>
        <w:t>8. התנאי השני: ביקורת ובעיית האסימטריה במידע</w:t>
      </w:r>
    </w:p>
    <w:p w14:paraId="32551D88" w14:textId="77777777" w:rsidR="003D5E54" w:rsidRDefault="00000000">
      <w:pPr>
        <w:bidi/>
        <w:spacing w:after="120"/>
        <w:jc w:val="both"/>
      </w:pPr>
      <w:r>
        <w:rPr>
          <w:rtl/>
        </w:rPr>
        <w:t xml:space="preserve">גם כאשר הדוח ערוך לפי כללים מחייבים, נותרה בעיה שלא נפתרה: </w:t>
      </w:r>
      <w:r>
        <w:rPr>
          <w:b/>
          <w:bCs/>
          <w:rtl/>
        </w:rPr>
        <w:t>מי שערך את הדוח הוא הישות עצמה.</w:t>
      </w:r>
      <w:r>
        <w:rPr>
          <w:rtl/>
        </w:rPr>
        <w:t xml:space="preserve"> הישות יודעת על מצבה יותר מכל קורא, וזהו מצב הנקרא אסימטריה במידע. אין בכך פסול — רצוי שהדוח ייערך בידי מי שמכיר את הפעילות מקרוב — אך הקורא נותר עם הצהרה של המדווח על עצמו, ואין בידיו כלי לאמתה.</w:t>
      </w:r>
    </w:p>
    <w:p w14:paraId="065AB7A9" w14:textId="77777777" w:rsidR="003D5E54" w:rsidRDefault="00000000">
      <w:pPr>
        <w:bidi/>
        <w:spacing w:after="120"/>
        <w:jc w:val="both"/>
      </w:pPr>
      <w:r>
        <w:rPr>
          <w:rtl/>
        </w:rPr>
        <w:t xml:space="preserve">חומרתה של בעיה זו הודגמה במאמר קלאסי בכלכלה, "שוק הלימונים" של ג'ורג' </w:t>
      </w:r>
      <w:proofErr w:type="spellStart"/>
      <w:r>
        <w:rPr>
          <w:rtl/>
        </w:rPr>
        <w:t>אקרלוף</w:t>
      </w:r>
      <w:proofErr w:type="spellEnd"/>
      <w:r>
        <w:rPr>
          <w:rtl/>
        </w:rPr>
        <w:t xml:space="preserve"> (1970), שעסק בשוק המכוניות המשומשות. כאשר המוכר יודע על טיב הממכר יותר מן הקונה, הקונה אינו נכון לשלם את מלוא מחירו של פריט טוב, שכן אין הוא יכול לוודא את טיבו. התוצאה כפולה: פריטים טובים אינם נמכרים או נמכרים בזול מדי, ואילו פריטים גרועים נמכרים ביוקר מדי. בשוק כזה נשחק האמון עד שהוא עלול לקרוס. שני הצדדים, ולא רק הקונה, מעוניינים אפוא בפתרון. הפתרון המקובל הוא צירופו של גורם שלישי, בלתי תלוי ומקצועי, הבודק את הממכר לפי תקן ידוע ומעיד על מצבו.</w:t>
      </w:r>
    </w:p>
    <w:p w14:paraId="61448C49" w14:textId="77777777" w:rsidR="003D5E54" w:rsidRDefault="00000000">
      <w:pPr>
        <w:bidi/>
        <w:spacing w:after="120"/>
        <w:jc w:val="both"/>
      </w:pPr>
      <w:r>
        <w:rPr>
          <w:rtl/>
        </w:rPr>
        <w:t xml:space="preserve">בעולם הדיווח הכספי ממלא תפקיד זה </w:t>
      </w:r>
      <w:r>
        <w:rPr>
          <w:b/>
          <w:bCs/>
          <w:rtl/>
        </w:rPr>
        <w:t>רואה החשבון המבקר</w:t>
      </w:r>
      <w:r>
        <w:rPr>
          <w:rtl/>
        </w:rPr>
        <w:t>. הוא אינו עובד של הישות אלא מתקשר עמה במתן שירותי ביקורת; הוא מוסמך לכך ברישיון; והוא פועל לפי תקני ביקורת מקובלים. אמנם החברה המבוקרת היא שמשלמת את שכרו, אך מעמדו נשען על אי-תלותו ועל כך שרישיונו — ועמו כל מוניטין מקצועי — עומדים על הכף. חוות דעתו היא שסוגרת את פער האמון ומאפשרת לקורא חיצוני להסתמך על הדוח.</w:t>
      </w:r>
    </w:p>
    <w:p w14:paraId="1DC6A7B6" w14:textId="77777777" w:rsidR="003D5E54" w:rsidRDefault="00000000" w:rsidP="004D02DA">
      <w:pPr>
        <w:pStyle w:val="Heading2"/>
        <w:bidi/>
        <w:spacing w:before="280" w:after="120"/>
      </w:pPr>
      <w:r>
        <w:rPr>
          <w:b/>
          <w:bCs/>
          <w:color w:val="2E5496"/>
          <w:sz w:val="25"/>
          <w:szCs w:val="25"/>
          <w:rtl/>
        </w:rPr>
        <w:t>9. רצף הדיווח ומיקומו של הקורס</w:t>
      </w:r>
    </w:p>
    <w:p w14:paraId="691CA6C3" w14:textId="77777777" w:rsidR="003D5E54" w:rsidRDefault="00000000">
      <w:pPr>
        <w:bidi/>
        <w:spacing w:after="120"/>
        <w:jc w:val="both"/>
      </w:pPr>
      <w:r>
        <w:rPr>
          <w:rtl/>
        </w:rPr>
        <w:t>נסכם את הדרך שעושה אירוע עסקי עד שהוא הופך לדוח שהציבור קורא: מתרחשות פעולות עסקיות; הן נרשמות בהנהלת החשבונות ומופק מהן דוח כספי לפי כללי חשבונאות מקובלים; הדוח מאושר ונחתם בידי ההנהלה הבכירה; הוא מבוקר בידי רואה חשבון מבקר בלתי תלוי; ולבסוף הוא מתפרסם.</w:t>
      </w:r>
    </w:p>
    <w:p w14:paraId="0B368925" w14:textId="77777777" w:rsidR="003D5E54" w:rsidRDefault="00000000">
      <w:pPr>
        <w:bidi/>
        <w:spacing w:after="120"/>
        <w:jc w:val="both"/>
      </w:pPr>
      <w:r>
        <w:rPr>
          <w:rtl/>
        </w:rPr>
        <w:t xml:space="preserve">דוח כספי שימושי עומד אפוא על שתי רגליים: עריכה לפי כללי חשבונאות מקובלים, וביקורת. </w:t>
      </w:r>
      <w:r>
        <w:rPr>
          <w:b/>
          <w:bCs/>
          <w:rtl/>
        </w:rPr>
        <w:t>הקורס הזה עוסק ברגל הראשונה</w:t>
      </w:r>
      <w:r>
        <w:rPr>
          <w:rtl/>
        </w:rPr>
        <w:t xml:space="preserve"> — ביכולת לקחת מציאות עסקית ולהפוך אותה למצג כספי בדוחות. הביקורת היא עולם מקצועי שלם בפני עצמו, ואינה נושא הקורס.</w:t>
      </w:r>
    </w:p>
    <w:p w14:paraId="4637FF0C" w14:textId="77777777" w:rsidR="003D5E54" w:rsidRDefault="00000000">
      <w:pPr>
        <w:bidi/>
        <w:spacing w:after="120"/>
        <w:jc w:val="both"/>
      </w:pPr>
      <w:r>
        <w:rPr>
          <w:rtl/>
        </w:rPr>
        <w:t xml:space="preserve">לבסוף נעיר, למען הסדר הטוב, כי מקצוע ראיית החשבון רחב בהרבה מן הביקורת. בעלי השכלה חשבונאית מאיישים תפקידי </w:t>
      </w:r>
      <w:proofErr w:type="spellStart"/>
      <w:r>
        <w:rPr>
          <w:rtl/>
        </w:rPr>
        <w:t>חשבות</w:t>
      </w:r>
      <w:proofErr w:type="spellEnd"/>
      <w:r>
        <w:rPr>
          <w:rtl/>
        </w:rPr>
        <w:t xml:space="preserve"> וניהול כספים, הערכות שווי, ייעוץ מס וייעוץ חשבונאי, תקצוב ותמחיר, רגולציה וניהול בכיר. רישיון </w:t>
      </w:r>
      <w:r>
        <w:rPr>
          <w:rtl/>
        </w:rPr>
        <w:lastRenderedPageBreak/>
        <w:t>רואה החשבון הוא שמסמיך לבקר דוחות כספיים, אך אין הוא ממצה את העיסוקים הפתוחים בפני מי שלמד את התחום.</w:t>
      </w:r>
    </w:p>
    <w:p w14:paraId="6D404872" w14:textId="77777777" w:rsidR="003D5E54" w:rsidRDefault="00000000">
      <w:pPr>
        <w:bidi/>
        <w:spacing w:after="120"/>
        <w:jc w:val="both"/>
      </w:pPr>
      <w:r>
        <w:rPr>
          <w:rtl/>
        </w:rPr>
        <w:t xml:space="preserve">משהובהר מה מקומנו במפה, נפנה אל הבסיס המעשי שעליו נשען הכול: </w:t>
      </w:r>
      <w:r>
        <w:rPr>
          <w:b/>
          <w:bCs/>
          <w:rtl/>
        </w:rPr>
        <w:t>הנהלת חשבונות</w:t>
      </w:r>
      <w:r>
        <w:rPr>
          <w:rtl/>
        </w:rPr>
        <w:t xml:space="preserve"> — השיטה שבה כל אירוע עסקי מתורגם לרישום שיטתי, ומן הרישומים מופק הדוח הכספי. בכך נעסוק בפרק הבא.</w:t>
      </w:r>
    </w:p>
    <w:p w14:paraId="31D35DE6" w14:textId="56512CD4" w:rsidR="003D5E54" w:rsidRDefault="003D5E54" w:rsidP="004D02DA">
      <w:pPr>
        <w:pStyle w:val="ListParagraph"/>
        <w:bidi/>
        <w:spacing w:after="80"/>
        <w:jc w:val="both"/>
      </w:pPr>
    </w:p>
    <w:sectPr w:rsidR="003D5E54">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F15929"/>
    <w:multiLevelType w:val="hybridMultilevel"/>
    <w:tmpl w:val="AB86CCE6"/>
    <w:lvl w:ilvl="0" w:tplc="2EC00902">
      <w:start w:val="1"/>
      <w:numFmt w:val="decimal"/>
      <w:lvlText w:val="%1."/>
      <w:lvlJc w:val="right"/>
      <w:pPr>
        <w:ind w:right="431" w:hanging="316"/>
      </w:pPr>
    </w:lvl>
    <w:lvl w:ilvl="1" w:tplc="E6583EAE">
      <w:numFmt w:val="decimal"/>
      <w:lvlText w:val=""/>
      <w:lvlJc w:val="left"/>
    </w:lvl>
    <w:lvl w:ilvl="2" w:tplc="2188BB80">
      <w:numFmt w:val="decimal"/>
      <w:lvlText w:val=""/>
      <w:lvlJc w:val="left"/>
    </w:lvl>
    <w:lvl w:ilvl="3" w:tplc="95A67580">
      <w:numFmt w:val="decimal"/>
      <w:lvlText w:val=""/>
      <w:lvlJc w:val="left"/>
    </w:lvl>
    <w:lvl w:ilvl="4" w:tplc="2AC40EA2">
      <w:numFmt w:val="decimal"/>
      <w:lvlText w:val=""/>
      <w:lvlJc w:val="left"/>
    </w:lvl>
    <w:lvl w:ilvl="5" w:tplc="9D0C7F72">
      <w:numFmt w:val="decimal"/>
      <w:lvlText w:val=""/>
      <w:lvlJc w:val="left"/>
    </w:lvl>
    <w:lvl w:ilvl="6" w:tplc="A968A6C2">
      <w:numFmt w:val="decimal"/>
      <w:lvlText w:val=""/>
      <w:lvlJc w:val="left"/>
    </w:lvl>
    <w:lvl w:ilvl="7" w:tplc="DC44BA94">
      <w:numFmt w:val="decimal"/>
      <w:lvlText w:val=""/>
      <w:lvlJc w:val="left"/>
    </w:lvl>
    <w:lvl w:ilvl="8" w:tplc="74741BB6">
      <w:numFmt w:val="decimal"/>
      <w:lvlText w:val=""/>
      <w:lvlJc w:val="left"/>
    </w:lvl>
  </w:abstractNum>
  <w:abstractNum w:abstractNumId="1" w15:restartNumberingAfterBreak="0">
    <w:nsid w:val="618F6594"/>
    <w:multiLevelType w:val="hybridMultilevel"/>
    <w:tmpl w:val="4AF4C1DA"/>
    <w:lvl w:ilvl="0" w:tplc="65BA2B56">
      <w:start w:val="1"/>
      <w:numFmt w:val="bullet"/>
      <w:lvlText w:val="●"/>
      <w:lvlJc w:val="left"/>
      <w:pPr>
        <w:ind w:left="720" w:hanging="360"/>
      </w:pPr>
    </w:lvl>
    <w:lvl w:ilvl="1" w:tplc="D6BEE832">
      <w:start w:val="1"/>
      <w:numFmt w:val="bullet"/>
      <w:lvlText w:val="○"/>
      <w:lvlJc w:val="left"/>
      <w:pPr>
        <w:ind w:left="1440" w:hanging="360"/>
      </w:pPr>
    </w:lvl>
    <w:lvl w:ilvl="2" w:tplc="5BE4A81E">
      <w:start w:val="1"/>
      <w:numFmt w:val="bullet"/>
      <w:lvlText w:val="■"/>
      <w:lvlJc w:val="left"/>
      <w:pPr>
        <w:ind w:left="2160" w:hanging="360"/>
      </w:pPr>
    </w:lvl>
    <w:lvl w:ilvl="3" w:tplc="167C0208">
      <w:start w:val="1"/>
      <w:numFmt w:val="bullet"/>
      <w:lvlText w:val="●"/>
      <w:lvlJc w:val="left"/>
      <w:pPr>
        <w:ind w:left="2880" w:hanging="360"/>
      </w:pPr>
    </w:lvl>
    <w:lvl w:ilvl="4" w:tplc="68A64400">
      <w:start w:val="1"/>
      <w:numFmt w:val="bullet"/>
      <w:lvlText w:val="○"/>
      <w:lvlJc w:val="left"/>
      <w:pPr>
        <w:ind w:left="3600" w:hanging="360"/>
      </w:pPr>
    </w:lvl>
    <w:lvl w:ilvl="5" w:tplc="1E48176C">
      <w:start w:val="1"/>
      <w:numFmt w:val="bullet"/>
      <w:lvlText w:val="■"/>
      <w:lvlJc w:val="left"/>
      <w:pPr>
        <w:ind w:left="4320" w:hanging="360"/>
      </w:pPr>
    </w:lvl>
    <w:lvl w:ilvl="6" w:tplc="E8583AFA">
      <w:start w:val="1"/>
      <w:numFmt w:val="bullet"/>
      <w:lvlText w:val="●"/>
      <w:lvlJc w:val="left"/>
      <w:pPr>
        <w:ind w:left="5040" w:hanging="360"/>
      </w:pPr>
    </w:lvl>
    <w:lvl w:ilvl="7" w:tplc="FCF26440">
      <w:start w:val="1"/>
      <w:numFmt w:val="bullet"/>
      <w:lvlText w:val="●"/>
      <w:lvlJc w:val="left"/>
      <w:pPr>
        <w:ind w:left="5760" w:hanging="360"/>
      </w:pPr>
    </w:lvl>
    <w:lvl w:ilvl="8" w:tplc="5FF6D980">
      <w:start w:val="1"/>
      <w:numFmt w:val="bullet"/>
      <w:lvlText w:val="●"/>
      <w:lvlJc w:val="left"/>
      <w:pPr>
        <w:ind w:left="6480" w:hanging="360"/>
      </w:pPr>
    </w:lvl>
  </w:abstractNum>
  <w:abstractNum w:abstractNumId="2" w15:restartNumberingAfterBreak="0">
    <w:nsid w:val="745F27D3"/>
    <w:multiLevelType w:val="hybridMultilevel"/>
    <w:tmpl w:val="28AA88F0"/>
    <w:lvl w:ilvl="0" w:tplc="CD22425C">
      <w:start w:val="1"/>
      <w:numFmt w:val="bullet"/>
      <w:lvlText w:val="•"/>
      <w:lvlJc w:val="right"/>
      <w:pPr>
        <w:ind w:right="431" w:hanging="316"/>
      </w:pPr>
    </w:lvl>
    <w:lvl w:ilvl="1" w:tplc="5450E434">
      <w:numFmt w:val="decimal"/>
      <w:lvlText w:val=""/>
      <w:lvlJc w:val="left"/>
    </w:lvl>
    <w:lvl w:ilvl="2" w:tplc="39562414">
      <w:numFmt w:val="decimal"/>
      <w:lvlText w:val=""/>
      <w:lvlJc w:val="left"/>
    </w:lvl>
    <w:lvl w:ilvl="3" w:tplc="5C98AB1E">
      <w:numFmt w:val="decimal"/>
      <w:lvlText w:val=""/>
      <w:lvlJc w:val="left"/>
    </w:lvl>
    <w:lvl w:ilvl="4" w:tplc="13EC9518">
      <w:numFmt w:val="decimal"/>
      <w:lvlText w:val=""/>
      <w:lvlJc w:val="left"/>
    </w:lvl>
    <w:lvl w:ilvl="5" w:tplc="40A207BA">
      <w:numFmt w:val="decimal"/>
      <w:lvlText w:val=""/>
      <w:lvlJc w:val="left"/>
    </w:lvl>
    <w:lvl w:ilvl="6" w:tplc="A920AD6A">
      <w:numFmt w:val="decimal"/>
      <w:lvlText w:val=""/>
      <w:lvlJc w:val="left"/>
    </w:lvl>
    <w:lvl w:ilvl="7" w:tplc="4796AB64">
      <w:numFmt w:val="decimal"/>
      <w:lvlText w:val=""/>
      <w:lvlJc w:val="left"/>
    </w:lvl>
    <w:lvl w:ilvl="8" w:tplc="B7C6B6E0">
      <w:numFmt w:val="decimal"/>
      <w:lvlText w:val=""/>
      <w:lvlJc w:val="left"/>
    </w:lvl>
  </w:abstractNum>
  <w:num w:numId="1" w16cid:durableId="909197697">
    <w:abstractNumId w:val="1"/>
    <w:lvlOverride w:ilvl="0">
      <w:startOverride w:val="1"/>
    </w:lvlOverride>
  </w:num>
  <w:num w:numId="2" w16cid:durableId="997149130">
    <w:abstractNumId w:val="2"/>
    <w:lvlOverride w:ilvl="0">
      <w:startOverride w:val="1"/>
    </w:lvlOverride>
  </w:num>
  <w:num w:numId="3" w16cid:durableId="32775158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E54"/>
    <w:rsid w:val="003D5E54"/>
    <w:rsid w:val="004D02DA"/>
    <w:rsid w:val="00BA6F98"/>
    <w:rsid w:val="00BE76B2"/>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D5A990E"/>
  <w15:docId w15:val="{FF55819B-1937-F245-8198-828A644E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IL" w:eastAsia="en-US" w:bidi="he-IL"/>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1398</Words>
  <Characters>7970</Characters>
  <Application>Microsoft Office Word</Application>
  <DocSecurity>0</DocSecurity>
  <Lines>66</Lines>
  <Paragraphs>18</Paragraphs>
  <ScaleCrop>false</ScaleCrop>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Dima Fantalis</cp:lastModifiedBy>
  <cp:revision>2</cp:revision>
  <dcterms:created xsi:type="dcterms:W3CDTF">2026-09-06T10:40:00Z</dcterms:created>
  <dcterms:modified xsi:type="dcterms:W3CDTF">2026-09-06T10:40:00Z</dcterms:modified>
</cp:coreProperties>
</file>