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756AD5" w14:textId="77777777" w:rsidR="00E46E36" w:rsidRDefault="00000000" w:rsidP="008940A9">
      <w:pPr>
        <w:spacing w:after="40"/>
        <w:jc w:val="left"/>
      </w:pPr>
      <w:r>
        <w:rPr>
          <w:color w:val="808080"/>
        </w:rPr>
        <w:t>יסודות החשבונאות (10280) — מדריך למידה</w:t>
      </w:r>
    </w:p>
    <w:p w14:paraId="08906352" w14:textId="77777777" w:rsidR="00E46E36" w:rsidRDefault="00000000" w:rsidP="008940A9">
      <w:pPr>
        <w:pBdr>
          <w:bottom w:val="single" w:sz="8" w:space="6" w:color="1F3864"/>
        </w:pBdr>
        <w:spacing w:after="240"/>
        <w:jc w:val="left"/>
      </w:pPr>
      <w:r>
        <w:rPr>
          <w:b/>
          <w:bCs/>
          <w:color w:val="1F3864"/>
          <w:sz w:val="36"/>
          <w:szCs w:val="36"/>
        </w:rPr>
        <w:t>שיעור 2 | רישום חשבונאי</w:t>
      </w:r>
    </w:p>
    <w:p w14:paraId="263EF085" w14:textId="77777777" w:rsidR="00E46E36" w:rsidRDefault="00000000" w:rsidP="008940A9">
      <w:pPr>
        <w:pStyle w:val="Heading2"/>
        <w:jc w:val="left"/>
      </w:pPr>
      <w:r>
        <w:t>1. מהנהלת חשבונות לחשבונאות</w:t>
      </w:r>
    </w:p>
    <w:p w14:paraId="579DECD7" w14:textId="77777777" w:rsidR="00E46E36" w:rsidRDefault="00000000">
      <w:pPr>
        <w:spacing w:after="120"/>
        <w:jc w:val="both"/>
      </w:pPr>
      <w:r>
        <w:t>בפרק הקודם ביססנו מדוע נדרש דיווח כספי ומי הוא המדווח, וקבענו כי הקורס עוסק ברגל הראשונה של הדיווח — עריכת הדוחות לפי כללי חשבונאות מקובלים. מכאן ואילך אנחנו עוברים אל הצד המעשי: כיצד אירוע שהתרחש בעולם נרשם בספרי הישות.</w:t>
      </w:r>
    </w:p>
    <w:p w14:paraId="6093DBBB" w14:textId="77777777" w:rsidR="00E46E36" w:rsidRDefault="00000000">
      <w:pPr>
        <w:spacing w:after="120"/>
        <w:jc w:val="both"/>
      </w:pPr>
      <w:r>
        <w:t>נקודת המוצא של הרישום היא שהעובדות נתונות. מה עשתה החברה, ומדוע החליטה לעשות זאת, אינו מענייננו כמדווחים; המציאות העסקית קודמת לחשבונאות, והחשבונאות משקפת אותה. מי שאינו מבין תחילה את הסיפור העסקי לא יוכל לשקף אותו נכונה.</w:t>
      </w:r>
    </w:p>
    <w:p w14:paraId="236176CB" w14:textId="77777777" w:rsidR="00E46E36" w:rsidRDefault="00000000">
      <w:pPr>
        <w:spacing w:after="120"/>
        <w:jc w:val="both"/>
      </w:pPr>
      <w:r>
        <w:t xml:space="preserve">נבחין בין שני מונחים שילוו אותנו לאורך הקורס. </w:t>
      </w:r>
      <w:r>
        <w:rPr>
          <w:b/>
          <w:bCs/>
        </w:rPr>
        <w:t>הנהלת חשבונות</w:t>
      </w:r>
      <w:r>
        <w:t xml:space="preserve"> היא הפעולה הטכנית של הרישום: אילו יתרות זזות, בכמה ולאיזה כיוון. </w:t>
      </w:r>
      <w:r>
        <w:rPr>
          <w:b/>
          <w:bCs/>
        </w:rPr>
        <w:t>חשבונאות</w:t>
      </w:r>
      <w:r>
        <w:t xml:space="preserve"> היא החשיבה על מהות האירוע ועל האופן שבו ראוי לשקף אותו. אף שבעולם המקצועי מדובר גם </w:t>
      </w:r>
      <w:proofErr w:type="spellStart"/>
      <w:r>
        <w:t>בהסמכות</w:t>
      </w:r>
      <w:proofErr w:type="spellEnd"/>
      <w:r>
        <w:t xml:space="preserve"> ובתפקידים נפרדים, ההבחנה החשובה לנו כאן היא מושגית: הנהלת החשבונות היא כלי, והחשבונאות היא השיקול. בקורס זה נצמצם את המינון הטכני ככל האפשר ונתמקד בשפה החשבונאית עצמה.</w:t>
      </w:r>
    </w:p>
    <w:p w14:paraId="6D1705C3" w14:textId="77777777" w:rsidR="00E46E36" w:rsidRDefault="00000000" w:rsidP="008940A9">
      <w:pPr>
        <w:pStyle w:val="Heading2"/>
        <w:jc w:val="left"/>
      </w:pPr>
      <w:r>
        <w:t>2. הדוח על המצב הכספי (מאזן)</w:t>
      </w:r>
    </w:p>
    <w:p w14:paraId="2744F6A3" w14:textId="77777777" w:rsidR="00E46E36" w:rsidRDefault="00000000">
      <w:pPr>
        <w:spacing w:after="120"/>
        <w:jc w:val="both"/>
      </w:pPr>
      <w:r>
        <w:t xml:space="preserve">נוח להתחיל דווקא מן הסוף — מן התוצר שאליו מוליך הרישום. מערכת הכספים אוספת את הרישומים ומפיקה מהם דוח כספי, וזהו מה שקורא הדוחות רואה בפועל. בהמשך הקורס נכיר ארבעה דוחות, אך בשלב זה נאמץ הנחה מפשטת ונניח כי קיים דוח אחד בלבד: </w:t>
      </w:r>
      <w:r>
        <w:rPr>
          <w:b/>
          <w:bCs/>
        </w:rPr>
        <w:t>הדוח על המצב הכספי</w:t>
      </w:r>
      <w:r>
        <w:t>, המכונה בקיצור מאזן.</w:t>
      </w:r>
    </w:p>
    <w:p w14:paraId="1BB69B2A" w14:textId="77777777" w:rsidR="00E46E36" w:rsidRDefault="00000000">
      <w:pPr>
        <w:spacing w:after="120"/>
        <w:jc w:val="both"/>
      </w:pPr>
      <w:r>
        <w:t xml:space="preserve">הדוח הזה מציג את מצבה הכספי של הישות </w:t>
      </w:r>
      <w:r>
        <w:rPr>
          <w:b/>
          <w:bCs/>
        </w:rPr>
        <w:t>לרגע מסוים</w:t>
      </w:r>
      <w:r>
        <w:t xml:space="preserve"> — נקודת עצירה שבה מוקפאת התמונה ונשאלת השאלה "מה יש כאן כעת". בדיווח שנתי נהוג שהרגע הזה הוא ה-31 בדצמבר. שימו לב להבדל מדוח המתאר תקופה: המאזן אינו מספר מה קרה במהלך השנה, אלא היכן אנו עומדים ביום מסוים.</w:t>
      </w:r>
    </w:p>
    <w:p w14:paraId="476B6CD4" w14:textId="77777777" w:rsidR="00E46E36" w:rsidRDefault="00000000">
      <w:pPr>
        <w:spacing w:after="120"/>
        <w:jc w:val="both"/>
      </w:pPr>
      <w:r>
        <w:t xml:space="preserve">התמונה נחלקת לשניים. בצד אחד </w:t>
      </w:r>
      <w:r>
        <w:rPr>
          <w:b/>
          <w:bCs/>
        </w:rPr>
        <w:t>הנכסים</w:t>
      </w:r>
      <w:r>
        <w:t xml:space="preserve"> — מה שיש לישות; דרכם ניתן פעמים רבות לזהות את אופי הפעילות עצמה, שכן ציודה של חברה יצרנית שונה מזה של חברת תוכנה. מן הצד האחר עומדת שאלתו המתבקשת של קורא הדוחות: מניין הגיע כל זה? ישות שקמה מלא כלום ומחזיקה כיום במשאבים רבים חייבת הסבר, וההסבר הוא אופן המימון: </w:t>
      </w:r>
      <w:r>
        <w:rPr>
          <w:b/>
          <w:bCs/>
        </w:rPr>
        <w:t>התחייבויות והון עצמי</w:t>
      </w:r>
      <w:r>
        <w:t>.</w:t>
      </w:r>
    </w:p>
    <w:p w14:paraId="7F3AE14C" w14:textId="77777777" w:rsidR="00E46E36" w:rsidRDefault="00000000">
      <w:pPr>
        <w:spacing w:after="120"/>
        <w:jc w:val="both"/>
      </w:pPr>
      <w:r>
        <w:t>מכאן הזהות החשבונאית הבסיסית: הנכסים מומנו בהתחייבויות ובהון, ולפיכך</w:t>
      </w:r>
    </w:p>
    <w:p w14:paraId="10E20A1D" w14:textId="77777777" w:rsidR="00E46E36" w:rsidRDefault="00000000">
      <w:pPr>
        <w:spacing w:after="60"/>
        <w:jc w:val="center"/>
      </w:pPr>
      <w:r>
        <w:rPr>
          <w:b/>
          <w:bCs/>
        </w:rPr>
        <w:t>נכסים = התחייבויות + הון עצמי</w:t>
      </w:r>
    </w:p>
    <w:p w14:paraId="4AAAA46B" w14:textId="77777777" w:rsidR="00E46E36" w:rsidRDefault="00000000">
      <w:pPr>
        <w:spacing w:after="60"/>
        <w:jc w:val="both"/>
      </w:pPr>
      <w:r>
        <w:t>ובהעברת אגפים פשוטה:</w:t>
      </w:r>
    </w:p>
    <w:p w14:paraId="0F728B52" w14:textId="77777777" w:rsidR="00E46E36" w:rsidRDefault="00000000">
      <w:pPr>
        <w:spacing w:after="120"/>
        <w:jc w:val="center"/>
      </w:pPr>
      <w:r>
        <w:rPr>
          <w:b/>
          <w:bCs/>
        </w:rPr>
        <w:t>הון עצמי = נכסים − התחייבויות</w:t>
      </w:r>
    </w:p>
    <w:p w14:paraId="3857723A" w14:textId="77777777" w:rsidR="00E46E36" w:rsidRDefault="00000000">
      <w:pPr>
        <w:spacing w:after="120"/>
        <w:jc w:val="both"/>
      </w:pPr>
      <w:r>
        <w:t>בשלב זה הזהות נראית כתרגיל חשבוני בלבד. בהמשך הפרק נראה שמאחוריה עומדת גם אמירה מהותית על זכויות הבעלים בישות.</w:t>
      </w:r>
    </w:p>
    <w:p w14:paraId="0DC5DFB5" w14:textId="77777777" w:rsidR="00E46E36" w:rsidRDefault="00000000" w:rsidP="008940A9">
      <w:pPr>
        <w:pStyle w:val="Heading2"/>
        <w:jc w:val="left"/>
      </w:pPr>
      <w:r>
        <w:t>3. הגדרות רכיבי הדוח</w:t>
      </w:r>
    </w:p>
    <w:p w14:paraId="7B23E4EA" w14:textId="77777777" w:rsidR="00E46E36" w:rsidRDefault="00000000">
      <w:pPr>
        <w:spacing w:after="120"/>
        <w:jc w:val="both"/>
      </w:pPr>
      <w:r>
        <w:t>המסגרת המושגית לדיווח כספי — מעין "</w:t>
      </w:r>
      <w:proofErr w:type="spellStart"/>
      <w:r>
        <w:t>תקן־על</w:t>
      </w:r>
      <w:proofErr w:type="spellEnd"/>
      <w:r>
        <w:t>" המגדיר את המונחים ואת עקרונות היסוד של הדיווח — מגדירה את שלושת הרכיבים כך:</w:t>
      </w:r>
    </w:p>
    <w:p w14:paraId="2B11CDC2" w14:textId="77777777" w:rsidR="00E46E36" w:rsidRDefault="00000000">
      <w:pPr>
        <w:pStyle w:val="ListParagraph"/>
        <w:numPr>
          <w:ilvl w:val="0"/>
          <w:numId w:val="2"/>
        </w:numPr>
        <w:spacing w:after="80"/>
        <w:jc w:val="both"/>
      </w:pPr>
      <w:r>
        <w:rPr>
          <w:b/>
          <w:bCs/>
        </w:rPr>
        <w:t>נכס</w:t>
      </w:r>
      <w:r>
        <w:t>: משאב הנשלט על ידי הישות כתוצאה מאירועי עבר, אשר ממנו עשויה הישות להפיק הטבות כלכליות עתידיות.</w:t>
      </w:r>
    </w:p>
    <w:p w14:paraId="650F62C4" w14:textId="77777777" w:rsidR="00E46E36" w:rsidRDefault="00000000">
      <w:pPr>
        <w:pStyle w:val="ListParagraph"/>
        <w:numPr>
          <w:ilvl w:val="0"/>
          <w:numId w:val="2"/>
        </w:numPr>
        <w:spacing w:after="80"/>
        <w:jc w:val="both"/>
      </w:pPr>
      <w:r>
        <w:rPr>
          <w:b/>
          <w:bCs/>
        </w:rPr>
        <w:lastRenderedPageBreak/>
        <w:t>התחייבות</w:t>
      </w:r>
      <w:r>
        <w:t xml:space="preserve">: מחויבות בהווה של הישות הנובעת מאירועי עבר, אשר סילוקה עשוי לגרום </w:t>
      </w:r>
      <w:proofErr w:type="spellStart"/>
      <w:r>
        <w:t>לתזרים</w:t>
      </w:r>
      <w:proofErr w:type="spellEnd"/>
      <w:r>
        <w:t xml:space="preserve"> שלילי של משאבים מהישות.</w:t>
      </w:r>
    </w:p>
    <w:p w14:paraId="1A4CEA7F" w14:textId="77777777" w:rsidR="00E46E36" w:rsidRDefault="00000000">
      <w:pPr>
        <w:pStyle w:val="ListParagraph"/>
        <w:numPr>
          <w:ilvl w:val="0"/>
          <w:numId w:val="2"/>
        </w:numPr>
        <w:spacing w:after="80"/>
        <w:jc w:val="both"/>
      </w:pPr>
      <w:r>
        <w:rPr>
          <w:b/>
          <w:bCs/>
        </w:rPr>
        <w:t>הון עצמי</w:t>
      </w:r>
      <w:r>
        <w:t>: שארית הנכסים הנותרת לבעלי הישות לאחר הפחתת כל התחייבויותיה.</w:t>
      </w:r>
    </w:p>
    <w:p w14:paraId="13CCD631" w14:textId="77777777" w:rsidR="00E46E36" w:rsidRDefault="00000000">
      <w:pPr>
        <w:spacing w:after="120"/>
        <w:jc w:val="both"/>
      </w:pPr>
      <w:r>
        <w:t xml:space="preserve">בניסוח פשוט יותר, נכסים הם הדברים הטובים שיש לישות היום. אלא שהגדרת הנכס רחבה ממה שנדמה במבט ראשון: היא אינה מחייבת מוחשיות ואף לא בעלות פורמלית, אלא </w:t>
      </w:r>
      <w:r>
        <w:rPr>
          <w:b/>
          <w:bCs/>
        </w:rPr>
        <w:t>שליטה</w:t>
      </w:r>
      <w:r>
        <w:t xml:space="preserve"> במשאב. מנגד, היא גם מחמירה יותר ממה שנדמה — לא כל דבר טוב בעולם עולה לכדי נכס חשבונאי.</w:t>
      </w:r>
    </w:p>
    <w:p w14:paraId="3441D74A" w14:textId="77777777" w:rsidR="00E46E36" w:rsidRDefault="00000000">
      <w:pPr>
        <w:spacing w:after="120"/>
        <w:jc w:val="both"/>
      </w:pPr>
      <w:r>
        <w:t xml:space="preserve">היתרה המכונה "לקוחות" ממחישה את שני הצדדים. הלקוחות עצמם, כבני אדם, לעולם אינם נכס: הישות אינה שולטת בהם, וגם ציפייה מבוססת שיחזרו ויקנו אינה מקימה נכס. מה שכן נרשם תחת השם הזה הוא צר בהרבה — יתרת החובות הפתוחים של לקוחות שהישות כבר סיפקה להם את מה שהתחייבה לו והם טרם שילמו. הזכות החוזית לקבל את הכסף </w:t>
      </w:r>
      <w:proofErr w:type="spellStart"/>
      <w:r>
        <w:t>היא־היא</w:t>
      </w:r>
      <w:proofErr w:type="spellEnd"/>
      <w:r>
        <w:t xml:space="preserve"> המשאב שבשליטת הישות, והיא הנכס.</w:t>
      </w:r>
    </w:p>
    <w:p w14:paraId="5CED0248" w14:textId="77777777" w:rsidR="00E46E36" w:rsidRDefault="00000000" w:rsidP="008940A9">
      <w:pPr>
        <w:pStyle w:val="Heading2"/>
        <w:jc w:val="left"/>
      </w:pPr>
      <w:r>
        <w:t>4. פערים סמנטיים</w:t>
      </w:r>
    </w:p>
    <w:p w14:paraId="0B7D5A2D" w14:textId="77777777" w:rsidR="00E46E36" w:rsidRDefault="00000000">
      <w:pPr>
        <w:spacing w:after="120"/>
        <w:jc w:val="both"/>
      </w:pPr>
      <w:r>
        <w:t xml:space="preserve">החשבונאות משתמשת בשמות קבועים ליתרות, וזהו חלק מן האחידות שדיברנו עליה: קורא הדוחות מצפה למצוא את אותם שמות בחברות שונות. בשלב הלימוד הראשוני נוצר מכך קושי מוכר, שנכנה אותו </w:t>
      </w:r>
      <w:r>
        <w:rPr>
          <w:b/>
          <w:bCs/>
        </w:rPr>
        <w:t>פער סמנטי</w:t>
      </w:r>
      <w:r>
        <w:t xml:space="preserve"> — הבנו היטב את הסיטואציה, אך קראנו לה בשם אחר מזה שמופיע בפתרון. זו אינה טעות מהותית.</w:t>
      </w:r>
    </w:p>
    <w:p w14:paraId="62F937E7" w14:textId="77777777" w:rsidR="00E46E36" w:rsidRDefault="00000000">
      <w:pPr>
        <w:spacing w:after="120"/>
        <w:jc w:val="both"/>
      </w:pPr>
      <w:r>
        <w:t xml:space="preserve">כמה דוגמאות שכדאי להכיר מראש: "ספקים" אינה יתרה המייצגת גופים חיצוניים אלא את החוב הפתוח כלפיהם בגין מלאי שסופק וטרם שולם — התמונה הראי של "לקוחות"; חובות שוטפים אחרים (חשמל, שכר, </w:t>
      </w:r>
      <w:proofErr w:type="spellStart"/>
      <w:r>
        <w:t>מסים</w:t>
      </w:r>
      <w:proofErr w:type="spellEnd"/>
      <w:r>
        <w:t>) נאספים לרוב ליתרה מרוכזת בשם "זכאים"; ומבנים, ציוד ורכבים אינם מופיעים בשמם אלא תחת "רכוש קבוע". נעיר גם כי אינטראקציה מול רשויות המס אינה בהכרח התחייבות: מקדמות ששולמו ביתר יוצרות דווקא נכס.</w:t>
      </w:r>
    </w:p>
    <w:p w14:paraId="0DE284AB" w14:textId="77777777" w:rsidR="00E46E36" w:rsidRDefault="00000000" w:rsidP="008940A9">
      <w:pPr>
        <w:pStyle w:val="Heading2"/>
        <w:jc w:val="left"/>
      </w:pPr>
      <w:r>
        <w:t>5. סימנים: מדוע ההון העצמי במינוס</w:t>
      </w:r>
    </w:p>
    <w:p w14:paraId="46084F3D" w14:textId="77777777" w:rsidR="00E46E36" w:rsidRDefault="00000000">
      <w:pPr>
        <w:spacing w:after="120"/>
        <w:jc w:val="both"/>
      </w:pPr>
      <w:r>
        <w:t>בהנחה שהנכסים נרשמים בסימן חיובי, מתבקש שההתחייבויות יירשמו בסימן שלילי: נכס מייצג צפי לקבלת הטבות כלכליות, והתחייבות מייצגת צפי ליציאתן. עד כאן ההיגיון הבריא מספיק. הקושי מתחיל בהון העצמי, שאותו נוטים לרשום בטעות בסימן חיובי.</w:t>
      </w:r>
    </w:p>
    <w:p w14:paraId="47D4BD10" w14:textId="77777777" w:rsidR="00E46E36" w:rsidRDefault="00000000">
      <w:pPr>
        <w:spacing w:after="120"/>
        <w:jc w:val="both"/>
      </w:pPr>
      <w:r>
        <w:t xml:space="preserve">המפתח להבנה הוא </w:t>
      </w:r>
      <w:r>
        <w:rPr>
          <w:b/>
          <w:bCs/>
        </w:rPr>
        <w:t>זהות המדבר</w:t>
      </w:r>
      <w:r>
        <w:t>. המאזן אינו דוח של הבעלים אלא של הישות: החברה היא זו שמדווחת, והבעלים — בדיוק כמו הבנק — עומד בחוץ ומקשיב. כשהחברה אומרת "יש לי נכסים" מתאים שהם בפלוס; כשהיא אומרת "אני חבה בהתחייבויות" מתאים שהן במינוס; וכשיש לה עודף נכסים על התחייבויות, אותו עודף אינו שלה — היא אינה אישיות בעלת רצונות, אלא כלי שהוקם בידי בעליה ולמענם. לפיכך היא רואה בעודף מעין מחויבות כלפיהם. זו הסיבה שגם ההון העצמי נרשם בסימן שלילי.</w:t>
      </w:r>
    </w:p>
    <w:p w14:paraId="4765E9DA" w14:textId="77777777" w:rsidR="00E46E36" w:rsidRDefault="00000000">
      <w:pPr>
        <w:spacing w:after="120"/>
        <w:jc w:val="both"/>
      </w:pPr>
      <w:r>
        <w:t>מבחן טוב לטענה הזאת הוא לבדוק כיצד ההון מגיב לחדשות טובות. אם הישות מפיקה הכנסה מבלי שגדלו התחייבויותיה, גדלים הנכסים — ומולם גדל ההון העצמי בסימן שלילי. במילים אחרות, התגשמות מטרת קיומה של הישות מתבטאת בגידול ב"חוב" שלה כלפי בעליה, וזהו בדיוק העניין: לישות אין תועלת עצמית מן הרווח, והרווח כולו הוא של הבעלים.</w:t>
      </w:r>
    </w:p>
    <w:p w14:paraId="2BC91E46" w14:textId="77777777" w:rsidR="00E46E36" w:rsidRDefault="00000000">
      <w:pPr>
        <w:spacing w:after="120"/>
        <w:jc w:val="both"/>
      </w:pPr>
      <w:r>
        <w:t xml:space="preserve">שתי הערות משלימות. ראשית, כשההתחייבויות עולות על הנכסים יהיה ההון העצמי בסימן חיובי — מצב המכונה גירעון בהון, ואיננו מצב רצוי. שנית, בדוח כספי מפורסם לא נראה סימנים כלל: הנכסים וההתחייבויות מוצגים שניהם כערכים מוחלטים תחת כותרות מפורשות. זו אינה סתירה אלא יישום של מאפיין איכות הקרוי </w:t>
      </w:r>
      <w:r>
        <w:rPr>
          <w:b/>
          <w:bCs/>
        </w:rPr>
        <w:t>מובנות</w:t>
      </w:r>
      <w:r>
        <w:t xml:space="preserve"> — הדיווח נמנע מלהעמיס על הקורא. הסימנים חיים במערכת הכספים, שבה אנו עוסקים לאורך הקורס, ולא בהכרח על פני הדוח.</w:t>
      </w:r>
    </w:p>
    <w:p w14:paraId="5D9B213E" w14:textId="77777777" w:rsidR="00E46E36" w:rsidRDefault="00000000" w:rsidP="008940A9">
      <w:pPr>
        <w:pStyle w:val="Heading2"/>
        <w:jc w:val="left"/>
      </w:pPr>
      <w:r>
        <w:t>6. חובה וזכות</w:t>
      </w:r>
    </w:p>
    <w:p w14:paraId="2357421C" w14:textId="77777777" w:rsidR="00E46E36" w:rsidRDefault="00000000">
      <w:pPr>
        <w:spacing w:after="120"/>
        <w:jc w:val="both"/>
      </w:pPr>
      <w:r>
        <w:t xml:space="preserve">בשפה החשבונאית לסימן החיובי קוראים </w:t>
      </w:r>
      <w:r>
        <w:rPr>
          <w:b/>
          <w:bCs/>
        </w:rPr>
        <w:t>חובה</w:t>
      </w:r>
      <w:r>
        <w:t xml:space="preserve"> ולסימן השלילי </w:t>
      </w:r>
      <w:r>
        <w:rPr>
          <w:b/>
          <w:bCs/>
        </w:rPr>
        <w:t>זכות</w:t>
      </w:r>
      <w:r>
        <w:t xml:space="preserve">, ובקיצור ח' ו-ז'. הצמד הזה נשמע הפוך לאוזן בעברית, וכך גם בשפות אחרות. ההמלצה המעשית היא לקבל אותו כהגדרה מילונית ולא לחפש מתחתיו משמעות </w:t>
      </w:r>
      <w:r>
        <w:lastRenderedPageBreak/>
        <w:t>נוספת: ח' הוא פלוס, ז' הוא מינוס, ותו לא. ניסיון לתרגם את המונחים למשמעותם היומיומית מוליד משפטים שנשמעים הגיוניים אך מתארים בדיוק את ההפך מן הכוונה.</w:t>
      </w:r>
    </w:p>
    <w:p w14:paraId="658FE5F1" w14:textId="77777777" w:rsidR="00E46E36" w:rsidRDefault="00000000">
      <w:pPr>
        <w:spacing w:after="120"/>
        <w:jc w:val="both"/>
      </w:pPr>
      <w:r>
        <w:t>מכאן נובע סיכום הסימנים: נכסים גדלים בחובה; התחייבויות גדלות בזכות; הון עצמי גדל בזכות. וכמובן — ההפך אף הוא נכון: הקטנת נכס נעשית בזכות, והקטנת התחייבות בחובה.</w:t>
      </w:r>
    </w:p>
    <w:p w14:paraId="5C752A1D" w14:textId="77777777" w:rsidR="00E46E36" w:rsidRDefault="00000000" w:rsidP="008940A9">
      <w:pPr>
        <w:pStyle w:val="Heading2"/>
        <w:jc w:val="left"/>
      </w:pPr>
      <w:r>
        <w:t>7. ההון העצמי כזכות שיורית</w:t>
      </w:r>
    </w:p>
    <w:p w14:paraId="15DD7307" w14:textId="77777777" w:rsidR="00E46E36" w:rsidRDefault="00000000">
      <w:pPr>
        <w:spacing w:after="120"/>
        <w:jc w:val="both"/>
      </w:pPr>
      <w:r>
        <w:t>נשוב לזהות החשבונאית ונשאל שאלה שנראית תמימה: מה נגזר ממה. מתבונן מבחוץ עלול לחשוב שההון העצמי הוא סכום מה שהשקיעו הבעלים, כשם שיתרת ההלוואה היא סכום מה שהעמיד הבנק. זה אינו נכון, ולא במקרה.</w:t>
      </w:r>
    </w:p>
    <w:p w14:paraId="6B929ADF" w14:textId="77777777" w:rsidR="00E46E36" w:rsidRDefault="00000000">
      <w:pPr>
        <w:spacing w:after="120"/>
        <w:jc w:val="both"/>
      </w:pPr>
      <w:r>
        <w:t xml:space="preserve">ראינו זה עתה שההון העצמי השתנה בלא שהבעלים עשו דבר — די היה בכך שהישות הפיקה הכנסה. ההון העצמי אינו נמדד לפי מה שהוכנס אליו אלא נגזר כשארית: </w:t>
      </w:r>
      <w:r>
        <w:rPr>
          <w:b/>
          <w:bCs/>
        </w:rPr>
        <w:t>הון עצמי = נכסים − התחייבויות</w:t>
      </w:r>
      <w:r>
        <w:t>. מבחינה חשבונית מכנים זאת מספר מאזן (</w:t>
      </w:r>
      <w:proofErr w:type="spellStart"/>
      <w:r>
        <w:t>Plug</w:t>
      </w:r>
      <w:proofErr w:type="spellEnd"/>
      <w:r>
        <w:t xml:space="preserve"> </w:t>
      </w:r>
      <w:proofErr w:type="spellStart"/>
      <w:r>
        <w:t>Number</w:t>
      </w:r>
      <w:proofErr w:type="spellEnd"/>
      <w:r>
        <w:t>), אך מאחורי הכינוי הטכני עומדת אמירה מהותית. הבנק העמיד הלוואה ומצפה לקבל בחזרה קרן וריבית מכוח חוזה; הבעלים לא רכש הבטחה כזאת. מה שיקבל, אם וכאשר, הוא מה שייוותר לאחר סילוק כל ההתחייבויות — ולעתים לא ייוותר דבר.</w:t>
      </w:r>
    </w:p>
    <w:p w14:paraId="724C5A37" w14:textId="77777777" w:rsidR="00E46E36" w:rsidRDefault="00000000">
      <w:pPr>
        <w:spacing w:after="120"/>
        <w:jc w:val="both"/>
      </w:pPr>
      <w:r>
        <w:t xml:space="preserve">לכן, כדי לדעת מה מגיע לבעלים, אין לשאול את הבעלים מה השקיעו אלא את הישות מה בידה כעת ומה היא חבה לאחרים. השארית היא זכותם. זהו פירושו של הביטוי </w:t>
      </w:r>
      <w:r>
        <w:rPr>
          <w:b/>
          <w:bCs/>
        </w:rPr>
        <w:t>זכות שיורית</w:t>
      </w:r>
      <w:r>
        <w:t>, והוא הבנה חשבונאית ומשפטית כאחת.</w:t>
      </w:r>
    </w:p>
    <w:p w14:paraId="762DDDE6" w14:textId="77777777" w:rsidR="00E46E36" w:rsidRDefault="00000000">
      <w:pPr>
        <w:spacing w:after="120"/>
        <w:jc w:val="both"/>
      </w:pPr>
      <w:r>
        <w:t>נעיר כי מסיבה זו מכונות ההתחייבויות לעתים "הון זר" לצד "הון עצמי": שני המקורות מימנו את אותה פעילות מתוך אמונה בהצלחתה, ונבדלים זה מזה באופן ההתקשרות ובמידת החשיפה לתוצאות.</w:t>
      </w:r>
    </w:p>
    <w:p w14:paraId="58A6AC60" w14:textId="77777777" w:rsidR="00E46E36" w:rsidRDefault="00000000" w:rsidP="008940A9">
      <w:pPr>
        <w:pStyle w:val="Heading2"/>
        <w:jc w:val="left"/>
      </w:pPr>
      <w:r>
        <w:t>8. חשבונאות כפולה ופקודות יומן</w:t>
      </w:r>
    </w:p>
    <w:p w14:paraId="0D2FC767" w14:textId="77777777" w:rsidR="00E46E36" w:rsidRDefault="00000000">
      <w:pPr>
        <w:spacing w:after="120"/>
        <w:jc w:val="both"/>
      </w:pPr>
      <w:r>
        <w:t xml:space="preserve">המאזן, כשמו כן הוא, מאוזן תמיד. הסיבה הפורמלית לכך היא שיטת הרישום עצמה: </w:t>
      </w:r>
      <w:r>
        <w:rPr>
          <w:b/>
          <w:bCs/>
        </w:rPr>
        <w:t>חשבונאות כפולה</w:t>
      </w:r>
      <w:r>
        <w:t xml:space="preserve"> מחייבת שכנגד כל רישום בסימן חיובי יירשם סכום זהה בסימן שלילי. אפשר לקבל זאת ככלל משחק — ובבוא העת יתברר שבכל פעולה עסקית אכן ניתן לאתר את שני הצדדים בלא מאמץ מיוחד. הסיבה המהותית נובעת מן הסעיף הקודם: משעה שההון העצמי מוגדר כשארית, האיזון אינו יכול שלא להתקיים.</w:t>
      </w:r>
    </w:p>
    <w:p w14:paraId="7D017CCD" w14:textId="77777777" w:rsidR="00E46E36" w:rsidRDefault="00000000">
      <w:pPr>
        <w:spacing w:after="120"/>
        <w:jc w:val="both"/>
      </w:pPr>
      <w:r>
        <w:t xml:space="preserve">עד כה תיארנו תמונה סטטית ליום מסוים. הפעילות נמשכת, מצבה הכספי של הישות משתנה, ולכן היתרות צריכות לזוז. הכלי שמזיז אותן נקרא </w:t>
      </w:r>
      <w:r>
        <w:rPr>
          <w:b/>
          <w:bCs/>
        </w:rPr>
        <w:t>פקודת יומן</w:t>
      </w:r>
      <w:r>
        <w:t>, והיא המילה הבסיסית של הרישום החשבונאי: כל פעולה שהישות מבצעת נקלטת במערכת הכספים באמצעות פקודה המורה ליתרה מסוימת לגדול ולאחרת לקטון, בסכום ובסימן.</w:t>
      </w:r>
    </w:p>
    <w:p w14:paraId="3D1DC221" w14:textId="77777777" w:rsidR="00E46E36" w:rsidRDefault="00000000">
      <w:pPr>
        <w:spacing w:after="120"/>
        <w:jc w:val="both"/>
      </w:pPr>
      <w:r>
        <w:t>נדגים בפעולה פשוטה: הישות רכשה השקעה בניירות ערך תמורת 100 אלף ש"ח במזומן. תחילה מזהים אילו יתרות מעורבות. המזומן — נכס — קטן ב-100 אלף; הקטנת נכס נעשית בסימן שלילי, כלומר בזכות. מנגד, בהתאם לכלל האיזון, יש מקום שבו נרשם סכום זהה בסימן חיובי, וכאן זהו נכס אחר: ההשקעה בניירות ערך, הגדלה בחובה. הפקודה תיכתב כך:</w:t>
      </w:r>
    </w:p>
    <w:p w14:paraId="39AD36FE" w14:textId="77777777" w:rsidR="00E46E36" w:rsidRDefault="00000000">
      <w:pPr>
        <w:tabs>
          <w:tab w:val="left" w:pos="4608"/>
        </w:tabs>
        <w:spacing w:after="60"/>
        <w:ind w:left="1152"/>
      </w:pPr>
      <w:r>
        <w:t>ח. השקעה בניירות ערך</w:t>
      </w:r>
      <w:r>
        <w:tab/>
        <w:t>100</w:t>
      </w:r>
    </w:p>
    <w:p w14:paraId="4523814B" w14:textId="77777777" w:rsidR="00E46E36" w:rsidRDefault="00000000">
      <w:pPr>
        <w:tabs>
          <w:tab w:val="left" w:pos="4608"/>
        </w:tabs>
        <w:spacing w:after="60"/>
        <w:ind w:left="1652"/>
      </w:pPr>
      <w:r>
        <w:t>ז. מזומן</w:t>
      </w:r>
      <w:r>
        <w:tab/>
        <w:t>100</w:t>
      </w:r>
    </w:p>
    <w:p w14:paraId="7E23FDF9" w14:textId="77777777" w:rsidR="00E46E36" w:rsidRDefault="00000000">
      <w:pPr>
        <w:spacing w:after="120"/>
        <w:jc w:val="both"/>
      </w:pPr>
      <w:r>
        <w:t>צורת הכתיבה אינה שרירותית: נהוג לרשום תחילה את כל רכיבי החובה ואחריהם, בהזחה, את כל רכיבי הזכות — גם כאשר סדר החשיבה בפועל היה אחר. זו מוסכמה של הצגה בלבד, אך כדאי להקפיד עליה, בין היתר משום שבבחינה נכתבות הפקודות על גבי דף.</w:t>
      </w:r>
    </w:p>
    <w:p w14:paraId="45D33098" w14:textId="77777777" w:rsidR="00E46E36" w:rsidRDefault="00000000">
      <w:pPr>
        <w:spacing w:after="120"/>
        <w:jc w:val="both"/>
      </w:pPr>
      <w:r>
        <w:t>נעיר לסיום נקודה בעלת ערך מעשי: כתיבת פקודת יומן היא הדרך המקובלת לבחון הבנה חשבונאית. מי שיודע לתרגם סיפור עסקי לפקודת יומן נכונה הוכיח שהוא מבין כיצד המציאות משתקפת בדוחות, גם בלי לבנות דוח שלם.</w:t>
      </w:r>
    </w:p>
    <w:p w14:paraId="174C42DC" w14:textId="77777777" w:rsidR="008940A9" w:rsidRPr="009E7F9E" w:rsidRDefault="008940A9" w:rsidP="009E7F9E">
      <w:pPr>
        <w:bidi w:val="0"/>
        <w:rPr>
          <w:rtl w:val="0"/>
          <w:lang w:val="en-US"/>
        </w:rPr>
      </w:pPr>
    </w:p>
    <w:sectPr w:rsidR="008940A9" w:rsidRPr="009E7F9E">
      <w:pgSz w:w="11906" w:h="16838"/>
      <w:pgMar w:top="1200" w:right="1200" w:bottom="1200" w:left="120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52BB2"/>
    <w:multiLevelType w:val="hybridMultilevel"/>
    <w:tmpl w:val="FFC822E0"/>
    <w:lvl w:ilvl="0" w:tplc="6476A04A">
      <w:start w:val="1"/>
      <w:numFmt w:val="bullet"/>
      <w:lvlText w:val="●"/>
      <w:lvlJc w:val="left"/>
      <w:pPr>
        <w:ind w:left="720" w:hanging="360"/>
      </w:pPr>
    </w:lvl>
    <w:lvl w:ilvl="1" w:tplc="D4E866DE">
      <w:start w:val="1"/>
      <w:numFmt w:val="bullet"/>
      <w:lvlText w:val="○"/>
      <w:lvlJc w:val="left"/>
      <w:pPr>
        <w:ind w:left="1440" w:hanging="360"/>
      </w:pPr>
    </w:lvl>
    <w:lvl w:ilvl="2" w:tplc="B4AE1024">
      <w:start w:val="1"/>
      <w:numFmt w:val="bullet"/>
      <w:lvlText w:val="■"/>
      <w:lvlJc w:val="left"/>
      <w:pPr>
        <w:ind w:left="2160" w:hanging="360"/>
      </w:pPr>
    </w:lvl>
    <w:lvl w:ilvl="3" w:tplc="87682486">
      <w:start w:val="1"/>
      <w:numFmt w:val="bullet"/>
      <w:lvlText w:val="●"/>
      <w:lvlJc w:val="left"/>
      <w:pPr>
        <w:ind w:left="2880" w:hanging="360"/>
      </w:pPr>
    </w:lvl>
    <w:lvl w:ilvl="4" w:tplc="9F9EE6C4">
      <w:start w:val="1"/>
      <w:numFmt w:val="bullet"/>
      <w:lvlText w:val="○"/>
      <w:lvlJc w:val="left"/>
      <w:pPr>
        <w:ind w:left="3600" w:hanging="360"/>
      </w:pPr>
    </w:lvl>
    <w:lvl w:ilvl="5" w:tplc="B3AE8634">
      <w:start w:val="1"/>
      <w:numFmt w:val="bullet"/>
      <w:lvlText w:val="■"/>
      <w:lvlJc w:val="left"/>
      <w:pPr>
        <w:ind w:left="4320" w:hanging="360"/>
      </w:pPr>
    </w:lvl>
    <w:lvl w:ilvl="6" w:tplc="22A0DE4C">
      <w:start w:val="1"/>
      <w:numFmt w:val="bullet"/>
      <w:lvlText w:val="●"/>
      <w:lvlJc w:val="left"/>
      <w:pPr>
        <w:ind w:left="5040" w:hanging="360"/>
      </w:pPr>
    </w:lvl>
    <w:lvl w:ilvl="7" w:tplc="83FAAEAC">
      <w:start w:val="1"/>
      <w:numFmt w:val="bullet"/>
      <w:lvlText w:val="●"/>
      <w:lvlJc w:val="left"/>
      <w:pPr>
        <w:ind w:left="5760" w:hanging="360"/>
      </w:pPr>
    </w:lvl>
    <w:lvl w:ilvl="8" w:tplc="72FA49E2">
      <w:start w:val="1"/>
      <w:numFmt w:val="bullet"/>
      <w:lvlText w:val="●"/>
      <w:lvlJc w:val="left"/>
      <w:pPr>
        <w:ind w:left="6480" w:hanging="360"/>
      </w:pPr>
    </w:lvl>
  </w:abstractNum>
  <w:abstractNum w:abstractNumId="1" w15:restartNumberingAfterBreak="0">
    <w:nsid w:val="4D1449EF"/>
    <w:multiLevelType w:val="hybridMultilevel"/>
    <w:tmpl w:val="23DAB5C6"/>
    <w:lvl w:ilvl="0" w:tplc="1A32565A">
      <w:start w:val="1"/>
      <w:numFmt w:val="bullet"/>
      <w:lvlText w:val="•"/>
      <w:lvlJc w:val="right"/>
      <w:pPr>
        <w:ind w:right="431" w:hanging="316"/>
      </w:pPr>
    </w:lvl>
    <w:lvl w:ilvl="1" w:tplc="37B81B7E">
      <w:numFmt w:val="decimal"/>
      <w:lvlText w:val=""/>
      <w:lvlJc w:val="left"/>
    </w:lvl>
    <w:lvl w:ilvl="2" w:tplc="24DA48EC">
      <w:numFmt w:val="decimal"/>
      <w:lvlText w:val=""/>
      <w:lvlJc w:val="left"/>
    </w:lvl>
    <w:lvl w:ilvl="3" w:tplc="01B6E1D0">
      <w:numFmt w:val="decimal"/>
      <w:lvlText w:val=""/>
      <w:lvlJc w:val="left"/>
    </w:lvl>
    <w:lvl w:ilvl="4" w:tplc="8790FE50">
      <w:numFmt w:val="decimal"/>
      <w:lvlText w:val=""/>
      <w:lvlJc w:val="left"/>
    </w:lvl>
    <w:lvl w:ilvl="5" w:tplc="032285F4">
      <w:numFmt w:val="decimal"/>
      <w:lvlText w:val=""/>
      <w:lvlJc w:val="left"/>
    </w:lvl>
    <w:lvl w:ilvl="6" w:tplc="5F0A8E88">
      <w:numFmt w:val="decimal"/>
      <w:lvlText w:val=""/>
      <w:lvlJc w:val="left"/>
    </w:lvl>
    <w:lvl w:ilvl="7" w:tplc="873685EE">
      <w:numFmt w:val="decimal"/>
      <w:lvlText w:val=""/>
      <w:lvlJc w:val="left"/>
    </w:lvl>
    <w:lvl w:ilvl="8" w:tplc="689C91C2">
      <w:numFmt w:val="decimal"/>
      <w:lvlText w:val=""/>
      <w:lvlJc w:val="left"/>
    </w:lvl>
  </w:abstractNum>
  <w:abstractNum w:abstractNumId="2" w15:restartNumberingAfterBreak="0">
    <w:nsid w:val="76795483"/>
    <w:multiLevelType w:val="hybridMultilevel"/>
    <w:tmpl w:val="E8861BF8"/>
    <w:lvl w:ilvl="0" w:tplc="55727186">
      <w:start w:val="1"/>
      <w:numFmt w:val="decimal"/>
      <w:lvlText w:val="%1."/>
      <w:lvlJc w:val="right"/>
      <w:pPr>
        <w:ind w:right="431" w:hanging="316"/>
      </w:pPr>
    </w:lvl>
    <w:lvl w:ilvl="1" w:tplc="BE60E8DE">
      <w:numFmt w:val="decimal"/>
      <w:lvlText w:val=""/>
      <w:lvlJc w:val="left"/>
    </w:lvl>
    <w:lvl w:ilvl="2" w:tplc="43A43D6C">
      <w:numFmt w:val="decimal"/>
      <w:lvlText w:val=""/>
      <w:lvlJc w:val="left"/>
    </w:lvl>
    <w:lvl w:ilvl="3" w:tplc="C78CD356">
      <w:numFmt w:val="decimal"/>
      <w:lvlText w:val=""/>
      <w:lvlJc w:val="left"/>
    </w:lvl>
    <w:lvl w:ilvl="4" w:tplc="37E839C8">
      <w:numFmt w:val="decimal"/>
      <w:lvlText w:val=""/>
      <w:lvlJc w:val="left"/>
    </w:lvl>
    <w:lvl w:ilvl="5" w:tplc="0F3E30AA">
      <w:numFmt w:val="decimal"/>
      <w:lvlText w:val=""/>
      <w:lvlJc w:val="left"/>
    </w:lvl>
    <w:lvl w:ilvl="6" w:tplc="311A3710">
      <w:numFmt w:val="decimal"/>
      <w:lvlText w:val=""/>
      <w:lvlJc w:val="left"/>
    </w:lvl>
    <w:lvl w:ilvl="7" w:tplc="F2F64D32">
      <w:numFmt w:val="decimal"/>
      <w:lvlText w:val=""/>
      <w:lvlJc w:val="left"/>
    </w:lvl>
    <w:lvl w:ilvl="8" w:tplc="D4F685C6">
      <w:numFmt w:val="decimal"/>
      <w:lvlText w:val=""/>
      <w:lvlJc w:val="left"/>
    </w:lvl>
  </w:abstractNum>
  <w:num w:numId="1" w16cid:durableId="1075669689">
    <w:abstractNumId w:val="0"/>
    <w:lvlOverride w:ilvl="0">
      <w:startOverride w:val="1"/>
    </w:lvlOverride>
  </w:num>
  <w:num w:numId="2" w16cid:durableId="1603411018">
    <w:abstractNumId w:val="1"/>
    <w:lvlOverride w:ilvl="0">
      <w:startOverride w:val="1"/>
    </w:lvlOverride>
  </w:num>
  <w:num w:numId="3" w16cid:durableId="17945925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36"/>
    <w:rsid w:val="008940A9"/>
    <w:rsid w:val="009E7F9E"/>
    <w:rsid w:val="00BA6F98"/>
    <w:rsid w:val="00E46E36"/>
    <w:rsid w:val="00F33D0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C98AE64"/>
  <w15:docId w15:val="{FF55819B-1937-F245-8198-828A644E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en-IL" w:eastAsia="en-US" w:bidi="he-IL"/>
      </w:rPr>
    </w:rPrDefault>
    <w:pPrDefault>
      <w:pPr>
        <w:bidi/>
        <w:spacing w:line="30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 Fantalis</cp:lastModifiedBy>
  <cp:revision>3</cp:revision>
  <dcterms:created xsi:type="dcterms:W3CDTF">2026-09-06T14:37:00Z</dcterms:created>
  <dcterms:modified xsi:type="dcterms:W3CDTF">2026-09-08T14:57:00Z</dcterms:modified>
</cp:coreProperties>
</file>