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5BA52A" w14:textId="77777777" w:rsidR="00A97FC3" w:rsidRDefault="00000000" w:rsidP="00D32582">
      <w:pPr>
        <w:spacing w:after="40"/>
        <w:jc w:val="left"/>
      </w:pPr>
      <w:r>
        <w:rPr>
          <w:color w:val="808080"/>
        </w:rPr>
        <w:t>יסודות החשבונאות (10280) — מדריך למידה</w:t>
      </w:r>
    </w:p>
    <w:p w14:paraId="1ADBE6E5" w14:textId="77777777" w:rsidR="00A97FC3" w:rsidRDefault="00000000" w:rsidP="00D32582">
      <w:pPr>
        <w:pBdr>
          <w:bottom w:val="single" w:sz="8" w:space="6" w:color="1F3864"/>
        </w:pBdr>
        <w:spacing w:after="240"/>
        <w:jc w:val="left"/>
      </w:pPr>
      <w:r>
        <w:rPr>
          <w:b/>
          <w:bCs/>
          <w:color w:val="1F3864"/>
          <w:sz w:val="36"/>
          <w:szCs w:val="36"/>
        </w:rPr>
        <w:t>שיעור 4 | הדוח על הרווח או ההפסד — הצגה</w:t>
      </w:r>
    </w:p>
    <w:p w14:paraId="0135A03C" w14:textId="77777777" w:rsidR="00A97FC3" w:rsidRDefault="00000000" w:rsidP="00D32582">
      <w:pPr>
        <w:pStyle w:val="Heading2"/>
        <w:jc w:val="left"/>
      </w:pPr>
      <w:r>
        <w:t>1. מן הרישום אל ההצגה</w:t>
      </w:r>
    </w:p>
    <w:p w14:paraId="0150C464" w14:textId="77777777" w:rsidR="00A97FC3" w:rsidRDefault="00000000">
      <w:pPr>
        <w:spacing w:after="120"/>
        <w:jc w:val="both"/>
      </w:pPr>
      <w:r>
        <w:t>בפרק הקודם גילינו את קיומו של הדוח על הרווח או ההפסד וראינו מה תפקידו: לקטלג את התנועות בעודפים לפי מקורן. כאן נתבונן בדוח עצמו — במבנהו ובהיגיון שמאחוריו.</w:t>
      </w:r>
    </w:p>
    <w:p w14:paraId="128AD25A" w14:textId="77777777" w:rsidR="00A97FC3" w:rsidRDefault="00000000">
      <w:pPr>
        <w:spacing w:after="120"/>
        <w:jc w:val="both"/>
      </w:pPr>
      <w:r>
        <w:t xml:space="preserve">נקדים הערה על מעמדו של השלב הזה. מערכת הנהלת החשבונות של ישות גדולה אינה ניתנת לקריאה: היא מכילה אלפי חשבונות ומיליוני רישומים. מישהו צריך לאסוף את כל זה, לסווג ולהציג באופן קומפקטי ומהותי, וזוהי פעולה בפני עצמה הנקראת </w:t>
      </w:r>
      <w:r>
        <w:rPr>
          <w:b/>
          <w:bCs/>
        </w:rPr>
        <w:t>הצגת דוחות כספיים</w:t>
      </w:r>
      <w:r>
        <w:t>. חשוב להבין שגם היא כפופה לכללי החשבונאות: האחידות שדיברנו עליה אינה נוגעת רק לשאלה כיצד מודדים, אלא גם לשאלות כיצד מציגים ומה מגלים. המדידה, ההצגה והגילוי הם שלושתם חלק מן התקינה.</w:t>
      </w:r>
    </w:p>
    <w:p w14:paraId="72B47123" w14:textId="77777777" w:rsidR="00A97FC3" w:rsidRDefault="00000000" w:rsidP="00D32582">
      <w:pPr>
        <w:pStyle w:val="Heading2"/>
        <w:jc w:val="left"/>
      </w:pPr>
      <w:r>
        <w:t>2. הגדרות ההכנסה וההוצאה</w:t>
      </w:r>
    </w:p>
    <w:p w14:paraId="0F65443E" w14:textId="77777777" w:rsidR="00A97FC3" w:rsidRDefault="00000000">
      <w:pPr>
        <w:spacing w:after="120"/>
        <w:jc w:val="both"/>
      </w:pPr>
      <w:r>
        <w:t>המסגרת המושגית מגדירה את שני הרכיבים דרך השפעתם על המאזן, ולא דרך תנועת המזומן:</w:t>
      </w:r>
    </w:p>
    <w:p w14:paraId="3AF7A543" w14:textId="77777777" w:rsidR="00A97FC3" w:rsidRDefault="00000000">
      <w:pPr>
        <w:pStyle w:val="ListParagraph"/>
        <w:numPr>
          <w:ilvl w:val="0"/>
          <w:numId w:val="2"/>
        </w:numPr>
        <w:spacing w:after="80"/>
        <w:jc w:val="both"/>
      </w:pPr>
      <w:r>
        <w:rPr>
          <w:b/>
          <w:bCs/>
        </w:rPr>
        <w:t>הכנסות</w:t>
      </w:r>
      <w:r>
        <w:t xml:space="preserve"> הן גידול בנכסים, או קיטון בהתחייבויות, שתוצאתם גידול בהון — למעט אלה הנובעים מהשקעות של מחזיקים בזכויות הוניות.</w:t>
      </w:r>
    </w:p>
    <w:p w14:paraId="498BD1A8" w14:textId="77777777" w:rsidR="00A97FC3" w:rsidRDefault="00000000">
      <w:pPr>
        <w:pStyle w:val="ListParagraph"/>
        <w:numPr>
          <w:ilvl w:val="0"/>
          <w:numId w:val="2"/>
        </w:numPr>
        <w:spacing w:after="80"/>
        <w:jc w:val="both"/>
      </w:pPr>
      <w:r>
        <w:rPr>
          <w:b/>
          <w:bCs/>
        </w:rPr>
        <w:t>הוצאות</w:t>
      </w:r>
      <w:r>
        <w:t xml:space="preserve"> הן קיטון בנכסים, או גידול בהתחייבויות, שתוצאתם קיטון בהון — למעט אלה הנובעים מחלוקות למחזיקים בזכויות הוניות.</w:t>
      </w:r>
    </w:p>
    <w:p w14:paraId="13F6FD77" w14:textId="77777777" w:rsidR="00A97FC3" w:rsidRDefault="00000000">
      <w:pPr>
        <w:spacing w:after="120"/>
        <w:jc w:val="both"/>
      </w:pPr>
      <w:r>
        <w:t>שתי ההגדרות מאשרות את מה שראינו: הכנסה והוצאה אינן אלא הסבר לתנועה בהון העצמי. הסייג שבסופן חשוב לא פחות מן ההגדרה עצמה — הוא זה שמפריד בין תנועה בהון שמקורה בביצועי הישות לבין תנועה שמקורה בפעולה מול הבעלים. השקעת בעלים מגדילה את ההון אך אינה הכנסה, וחלוקת דיבידנד מקטינה אותו אך אינה הוצאה. רק תנועות מן הסוג הראשון עוברות דרך הדוח על הרווח או ההפסד.</w:t>
      </w:r>
    </w:p>
    <w:p w14:paraId="05667322" w14:textId="77777777" w:rsidR="00A97FC3" w:rsidRDefault="00000000" w:rsidP="00D32582">
      <w:pPr>
        <w:pStyle w:val="Heading2"/>
        <w:jc w:val="left"/>
      </w:pPr>
      <w:r>
        <w:t>3. חופש בשמות, קשיחות בהצגה</w:t>
      </w:r>
    </w:p>
    <w:p w14:paraId="465B9BF8" w14:textId="77777777" w:rsidR="00A97FC3" w:rsidRDefault="00000000">
      <w:pPr>
        <w:spacing w:after="120"/>
        <w:jc w:val="both"/>
      </w:pPr>
      <w:r>
        <w:t>נקודה מעשית שכדאי להבהיר מוקדם, משום שהיא מסירה עומס מיותר. ברישום פקודות היומן איננו כבולים לשמות: אם שולם חשבון חשמל, אפשר לרשום "הוצאות חשמל"; אם שולמה ארנונה, "הוצאות ארנונה"; וכן הלאה. מאחורי הקלעים מחזיקה ישות אינספור שמות חשבונות והיא חופשית לבחור אותם.</w:t>
      </w:r>
    </w:p>
    <w:p w14:paraId="437B50E9" w14:textId="77777777" w:rsidR="00A97FC3" w:rsidRDefault="00000000">
      <w:pPr>
        <w:spacing w:after="120"/>
        <w:jc w:val="both"/>
      </w:pPr>
      <w:r>
        <w:t xml:space="preserve">בדוח המוצג, לעומת זאת, אין שורות בשמות האלה. איש אינו רואה שם "חשמל" או "ארנונה": התנועות הללו מסווגות לשורות מוגדרות, והמבנה עצמו קשיח ומעוגן בתקינה. לכן, בכתיבת פקודות יומן אין להתלבט בשם — הסיווג לשורה המתאימה נעשה בשלב מאוחר יותר. מה שראוי להכיר הוא </w:t>
      </w:r>
      <w:r>
        <w:rPr>
          <w:b/>
          <w:bCs/>
        </w:rPr>
        <w:t>המפה הכללית</w:t>
      </w:r>
      <w:r>
        <w:t xml:space="preserve"> של הדוח: הקטגוריות והשורות המסכמות, ולא השיוך המדויק של כל פריט ופריט.</w:t>
      </w:r>
    </w:p>
    <w:p w14:paraId="6CDBCFFC" w14:textId="77777777" w:rsidR="00A97FC3" w:rsidRDefault="00000000" w:rsidP="00D32582">
      <w:pPr>
        <w:pStyle w:val="Heading2"/>
        <w:jc w:val="left"/>
      </w:pPr>
      <w:r>
        <w:t>4. מבנה הדוח וארבע הקטגוריות</w:t>
      </w:r>
    </w:p>
    <w:p w14:paraId="47C6F27A" w14:textId="77777777" w:rsidR="00A97FC3" w:rsidRDefault="00000000">
      <w:pPr>
        <w:spacing w:after="120"/>
        <w:jc w:val="both"/>
      </w:pPr>
      <w:r>
        <w:t>הדוח בנוי כרצף יורד, שבו כמה שורות מסכמות עוצרות אותו בנקודות מוגדרות. אלו אינן עצירות שרירותיות אלא שורות מחייבות, וכל אחת מהן מפרידה בין תחומי אחריות שונים:</w:t>
      </w:r>
    </w:p>
    <w:p w14:paraId="36511CCB" w14:textId="77777777" w:rsidR="00A97FC3" w:rsidRDefault="00000000">
      <w:pPr>
        <w:pStyle w:val="ListParagraph"/>
        <w:numPr>
          <w:ilvl w:val="0"/>
          <w:numId w:val="2"/>
        </w:numPr>
        <w:spacing w:after="80"/>
        <w:jc w:val="both"/>
      </w:pPr>
      <w:r>
        <w:rPr>
          <w:b/>
          <w:bCs/>
        </w:rPr>
        <w:t>הקטגוריה התפעולית</w:t>
      </w:r>
      <w:r>
        <w:t xml:space="preserve"> — הפעילות עצמה. אצל רשת קמעונאית, למשל, כאן מתחיל ונגמר הסופר: המכירות בקופות, עלות הסחורה שנמכרה, ולאחריהן כל עלויות ההפעלה — סניפים, עובדים, ציוד, שיווק. היא נחתמת ב</w:t>
      </w:r>
      <w:r>
        <w:rPr>
          <w:b/>
          <w:bCs/>
        </w:rPr>
        <w:t>רווח התפעולי</w:t>
      </w:r>
      <w:r>
        <w:t>.</w:t>
      </w:r>
    </w:p>
    <w:p w14:paraId="60CA75DB" w14:textId="77777777" w:rsidR="00A97FC3" w:rsidRDefault="00000000">
      <w:pPr>
        <w:pStyle w:val="ListParagraph"/>
        <w:numPr>
          <w:ilvl w:val="0"/>
          <w:numId w:val="2"/>
        </w:numPr>
        <w:spacing w:after="80"/>
        <w:jc w:val="both"/>
      </w:pPr>
      <w:r>
        <w:rPr>
          <w:b/>
          <w:bCs/>
        </w:rPr>
        <w:t>קטגוריית ההשקעה</w:t>
      </w:r>
      <w:r>
        <w:t xml:space="preserve"> — תשואות שהישות מפיקה מניהול עודפי המזומנים שלה, למשל מפיקדונות או מתיק ניירות ערך. אלו אינן הפעילות העסקית אלא נלוות לה. אחריה מוצגת שורת </w:t>
      </w:r>
      <w:r>
        <w:rPr>
          <w:b/>
          <w:bCs/>
        </w:rPr>
        <w:t>הרווח לפני מימון ומס</w:t>
      </w:r>
      <w:r>
        <w:t>.</w:t>
      </w:r>
    </w:p>
    <w:p w14:paraId="521831CB" w14:textId="77777777" w:rsidR="00A97FC3" w:rsidRDefault="00000000">
      <w:pPr>
        <w:pStyle w:val="ListParagraph"/>
        <w:numPr>
          <w:ilvl w:val="0"/>
          <w:numId w:val="2"/>
        </w:numPr>
        <w:spacing w:after="80"/>
        <w:jc w:val="both"/>
      </w:pPr>
      <w:r>
        <w:rPr>
          <w:b/>
          <w:bCs/>
        </w:rPr>
        <w:lastRenderedPageBreak/>
        <w:t>קטגוריית המימון</w:t>
      </w:r>
      <w:r>
        <w:t xml:space="preserve"> — בעיקר הוצאות הריבית על ההתחייבויות, ולאחריה </w:t>
      </w:r>
      <w:r>
        <w:rPr>
          <w:b/>
          <w:bCs/>
        </w:rPr>
        <w:t>הרווח לפני מס</w:t>
      </w:r>
      <w:r>
        <w:t>.</w:t>
      </w:r>
    </w:p>
    <w:p w14:paraId="053B0D6B" w14:textId="77777777" w:rsidR="00A97FC3" w:rsidRDefault="00000000">
      <w:pPr>
        <w:pStyle w:val="ListParagraph"/>
        <w:numPr>
          <w:ilvl w:val="0"/>
          <w:numId w:val="2"/>
        </w:numPr>
        <w:spacing w:after="80"/>
        <w:jc w:val="both"/>
      </w:pPr>
      <w:r>
        <w:rPr>
          <w:b/>
          <w:bCs/>
        </w:rPr>
        <w:t>קטגוריית המס</w:t>
      </w:r>
      <w:r>
        <w:t xml:space="preserve"> — </w:t>
      </w:r>
      <w:proofErr w:type="spellStart"/>
      <w:r>
        <w:t>המסים</w:t>
      </w:r>
      <w:proofErr w:type="spellEnd"/>
      <w:r>
        <w:t xml:space="preserve"> על ההכנסה, ולבסוף </w:t>
      </w:r>
      <w:r>
        <w:rPr>
          <w:b/>
          <w:bCs/>
        </w:rPr>
        <w:t>הרווח הנקי</w:t>
      </w:r>
      <w:r>
        <w:t>.</w:t>
      </w:r>
    </w:p>
    <w:p w14:paraId="457E7F16" w14:textId="77777777" w:rsidR="00A97FC3" w:rsidRDefault="00000000">
      <w:pPr>
        <w:spacing w:after="120"/>
        <w:jc w:val="both"/>
      </w:pPr>
      <w:r>
        <w:t>ההיגיון שמאחורי ההפרדה הוא ייחוס אחריות. הרווח התפעולי מודד את הפעילות ואת מי שמנהל אותה; הוא הבסיס הטבעי להשוואה מול מתחרים, ולא במקרה תגמול הנהלה נגזר לעתים קרובות דווקא ממנו. הוצאות המימון, לעומת זאת, אינן תלויות בניהול הפעילות אלא במבנה ההון — בשאלה כמה מן הפעילות מומן בחוב וכמה בהון. אותה פעילות בדיוק, עם אותו מנהל, הייתה מניבה הוצאות ריבית שונות אילו הזרימו הבעלים סכום גדול יותר. ולכן, ובצדק, המימון מוצג מתחת לרווח התפעולי.</w:t>
      </w:r>
    </w:p>
    <w:p w14:paraId="20DE5832" w14:textId="77777777" w:rsidR="00A97FC3" w:rsidRDefault="00000000">
      <w:pPr>
        <w:spacing w:after="120"/>
        <w:jc w:val="both"/>
      </w:pPr>
      <w:r>
        <w:t xml:space="preserve">ההפרדה הזאת גם מאפשרת אבחון. כאשר הרווחיות התפעולית נופלת מזו של מתחרה, אפשר להעמיק ולבדוק היכן נוצר הפער: אם הוא כבר ברווח הגולמי, הסימן הוא לתנאי רכישה או תמחור נחותים; ואם הרווחיות הגולמית דומה והפער נפתח רק בהמשך, מקורו ביעילות התפעולית. </w:t>
      </w:r>
      <w:r>
        <w:rPr>
          <w:b/>
          <w:bCs/>
        </w:rPr>
        <w:t>שורת הרווח הנקי, בסופו של דבר, היא בדיוק אותה תנועה שתיזקף לעודפים</w:t>
      </w:r>
      <w:r>
        <w:t xml:space="preserve"> — הרווח שנותר לבעלים.</w:t>
      </w:r>
    </w:p>
    <w:p w14:paraId="0CEA2A8B" w14:textId="77777777" w:rsidR="00A97FC3" w:rsidRDefault="00000000" w:rsidP="00D32582">
      <w:pPr>
        <w:pStyle w:val="Heading2"/>
        <w:jc w:val="left"/>
      </w:pPr>
      <w:r>
        <w:t>5. שתי דרכים להצגת הקטגוריה התפעולית</w:t>
      </w:r>
    </w:p>
    <w:p w14:paraId="0E6EC8B4" w14:textId="77777777" w:rsidR="00A97FC3" w:rsidRDefault="00000000">
      <w:pPr>
        <w:spacing w:after="120"/>
        <w:jc w:val="both"/>
      </w:pPr>
      <w:r>
        <w:t xml:space="preserve">את החלק התפעולי אפשר להציג בשתי שיטות. </w:t>
      </w:r>
      <w:r>
        <w:rPr>
          <w:b/>
          <w:bCs/>
        </w:rPr>
        <w:t>לפי מאפיין הפעילות</w:t>
      </w:r>
      <w:r>
        <w:t xml:space="preserve">: הכנסות ממכירות, ומהן מנוכה עלות המכר לקבלת הרווח הגולמי, ולאחריו הוצאות הנהלה וכלליות, הוצאות מכירה ושיווק, והכנסות או הוצאות אחרות. </w:t>
      </w:r>
      <w:r>
        <w:rPr>
          <w:b/>
          <w:bCs/>
        </w:rPr>
        <w:t>לפי מהות ההוצאה</w:t>
      </w:r>
      <w:r>
        <w:t>: ההוצאות אינן מקובצות לפי ייעודן אלא לפי טיבן — שינויים במלאי, הוצאות שכר, הוצאות פחת, הוצאות אחרות — בלי שורת רווח גולמי.</w:t>
      </w:r>
    </w:p>
    <w:p w14:paraId="4B164954" w14:textId="77777777" w:rsidR="00A97FC3" w:rsidRDefault="00000000">
      <w:pPr>
        <w:spacing w:after="120"/>
        <w:jc w:val="both"/>
      </w:pPr>
      <w:r>
        <w:t>שתי השיטות מגיעות לאותו רווח תפעולי ונבדלות רק בדרך ההצגה. בישראל רווחת ההצגה לפי מאפיין הפעילות, וזו השיטה שבה ננקוט בקורס ושבה ייערכו הדוחות שנפגוש.</w:t>
      </w:r>
    </w:p>
    <w:p w14:paraId="3107EE3D" w14:textId="77777777" w:rsidR="00A97FC3" w:rsidRDefault="00000000" w:rsidP="00D32582">
      <w:pPr>
        <w:pStyle w:val="Heading2"/>
        <w:jc w:val="left"/>
      </w:pPr>
      <w:r>
        <w:t>6. סימנים: מאחורי הקלעים ועל פני הדוח</w:t>
      </w:r>
    </w:p>
    <w:p w14:paraId="184B6205" w14:textId="77777777" w:rsidR="00A97FC3" w:rsidRDefault="00000000">
      <w:pPr>
        <w:spacing w:after="120"/>
        <w:jc w:val="both"/>
      </w:pPr>
      <w:r>
        <w:t>נקודה שעלולה להיראות כסתירה, וראוי ליישב אותה. במערכת הנהלת החשבונות הכנסות רשומות בסימן שלילי והוצאות בסימן חיובי, מן הטעם שנימקנו בפרק הקודם. ואילו בדוח המוצג לציבור נראה בדיוק את ההפך: ההכנסות מופיעות כמספרים חיוביים וההוצאות בסוגריים.</w:t>
      </w:r>
    </w:p>
    <w:p w14:paraId="1EFC14B6" w14:textId="77777777" w:rsidR="00A97FC3" w:rsidRDefault="00000000">
      <w:pPr>
        <w:spacing w:after="120"/>
        <w:jc w:val="both"/>
      </w:pPr>
      <w:r>
        <w:t xml:space="preserve">אין כאן חוסר עקביות אלא שני שלבים שונים. הרישום כפוף להיגיון אריתמטי סגור: הדוח על הרווח או ההפסד אינו נפרד מן המאזן אלא הדרך אליו, ולכן אם הנכסים בפלוס — ההתחייבויות במינוס, ההון במינוס, וההכנסות במינוס. אין מוצא מן השרשרת הזאת. ההצגה, לעומת זאת, כפופה לשיקול אחר לגמרי: </w:t>
      </w:r>
      <w:r>
        <w:rPr>
          <w:b/>
          <w:bCs/>
        </w:rPr>
        <w:t>מובנות</w:t>
      </w:r>
      <w:r>
        <w:t>. קורא הדוחות אינו בהכרח איש כספים, ואין להטריח אותו בסימנים שיקשו עליו. משהוצבה כותרת מפורשת — "הכנסות", "הוצאות" — הסימן מיותר, ולעתים אף מזיק. אותו הדבר נכון במאזן, שבו הנכסים וההתחייבויות מוצגים שניהם כערכים מוחלטים.</w:t>
      </w:r>
    </w:p>
    <w:p w14:paraId="47B35B1D" w14:textId="77777777" w:rsidR="00A97FC3" w:rsidRDefault="00000000">
      <w:pPr>
        <w:spacing w:after="120"/>
        <w:jc w:val="both"/>
      </w:pPr>
      <w:r>
        <w:t>המסקנה המעשית פשוטה: הסימנים שאין להתפשר עליהם הם אלה שברישום. סימני ההצגה נקבעים לפי נוחות הקורא.</w:t>
      </w:r>
    </w:p>
    <w:p w14:paraId="46BB4EF0" w14:textId="77777777" w:rsidR="00A97FC3" w:rsidRDefault="00000000" w:rsidP="00D32582">
      <w:pPr>
        <w:pStyle w:val="Heading2"/>
        <w:jc w:val="left"/>
      </w:pPr>
      <w:r>
        <w:t>7. לאן ממשיכים</w:t>
      </w:r>
    </w:p>
    <w:p w14:paraId="1AD01A24" w14:textId="77777777" w:rsidR="00A97FC3" w:rsidRDefault="00000000">
      <w:pPr>
        <w:spacing w:after="120"/>
        <w:jc w:val="both"/>
      </w:pPr>
      <w:r>
        <w:t xml:space="preserve">עד כה עסקנו בשאלה כיצד נרשמות ומוצגות הכנסות והוצאות. נותרה השאלה הקשה יותר, וזו שעליה בנוי כל הבניין: </w:t>
      </w:r>
      <w:r>
        <w:rPr>
          <w:b/>
          <w:bCs/>
        </w:rPr>
        <w:t>מתי</w:t>
      </w:r>
      <w:r>
        <w:t xml:space="preserve"> מכירים בהן. בכך נעסוק בפרק הבא.</w:t>
      </w:r>
    </w:p>
    <w:sectPr w:rsidR="00A97FC3">
      <w:pgSz w:w="11906" w:h="16838"/>
      <w:pgMar w:top="1200" w:right="1200" w:bottom="1200" w:left="1200" w:header="708" w:footer="708"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BF2E20"/>
    <w:multiLevelType w:val="hybridMultilevel"/>
    <w:tmpl w:val="8FA0738C"/>
    <w:lvl w:ilvl="0" w:tplc="4F6423D0">
      <w:start w:val="1"/>
      <w:numFmt w:val="bullet"/>
      <w:lvlText w:val="•"/>
      <w:lvlJc w:val="right"/>
      <w:pPr>
        <w:ind w:right="431" w:hanging="316"/>
      </w:pPr>
    </w:lvl>
    <w:lvl w:ilvl="1" w:tplc="598E1BFC">
      <w:numFmt w:val="decimal"/>
      <w:lvlText w:val=""/>
      <w:lvlJc w:val="left"/>
    </w:lvl>
    <w:lvl w:ilvl="2" w:tplc="099E4DF4">
      <w:numFmt w:val="decimal"/>
      <w:lvlText w:val=""/>
      <w:lvlJc w:val="left"/>
    </w:lvl>
    <w:lvl w:ilvl="3" w:tplc="1772D408">
      <w:numFmt w:val="decimal"/>
      <w:lvlText w:val=""/>
      <w:lvlJc w:val="left"/>
    </w:lvl>
    <w:lvl w:ilvl="4" w:tplc="BEBE150E">
      <w:numFmt w:val="decimal"/>
      <w:lvlText w:val=""/>
      <w:lvlJc w:val="left"/>
    </w:lvl>
    <w:lvl w:ilvl="5" w:tplc="0A6AD964">
      <w:numFmt w:val="decimal"/>
      <w:lvlText w:val=""/>
      <w:lvlJc w:val="left"/>
    </w:lvl>
    <w:lvl w:ilvl="6" w:tplc="8DFEBBEA">
      <w:numFmt w:val="decimal"/>
      <w:lvlText w:val=""/>
      <w:lvlJc w:val="left"/>
    </w:lvl>
    <w:lvl w:ilvl="7" w:tplc="A5F2E678">
      <w:numFmt w:val="decimal"/>
      <w:lvlText w:val=""/>
      <w:lvlJc w:val="left"/>
    </w:lvl>
    <w:lvl w:ilvl="8" w:tplc="1324ACF6">
      <w:numFmt w:val="decimal"/>
      <w:lvlText w:val=""/>
      <w:lvlJc w:val="left"/>
    </w:lvl>
  </w:abstractNum>
  <w:abstractNum w:abstractNumId="1" w15:restartNumberingAfterBreak="0">
    <w:nsid w:val="49174416"/>
    <w:multiLevelType w:val="hybridMultilevel"/>
    <w:tmpl w:val="678A9592"/>
    <w:lvl w:ilvl="0" w:tplc="9684B3FA">
      <w:start w:val="1"/>
      <w:numFmt w:val="decimal"/>
      <w:lvlText w:val="%1."/>
      <w:lvlJc w:val="right"/>
      <w:pPr>
        <w:ind w:right="431" w:hanging="316"/>
      </w:pPr>
    </w:lvl>
    <w:lvl w:ilvl="1" w:tplc="F3B2A6B6">
      <w:numFmt w:val="decimal"/>
      <w:lvlText w:val=""/>
      <w:lvlJc w:val="left"/>
    </w:lvl>
    <w:lvl w:ilvl="2" w:tplc="03F05EDA">
      <w:numFmt w:val="decimal"/>
      <w:lvlText w:val=""/>
      <w:lvlJc w:val="left"/>
    </w:lvl>
    <w:lvl w:ilvl="3" w:tplc="6FC65BA8">
      <w:numFmt w:val="decimal"/>
      <w:lvlText w:val=""/>
      <w:lvlJc w:val="left"/>
    </w:lvl>
    <w:lvl w:ilvl="4" w:tplc="B338E0F2">
      <w:numFmt w:val="decimal"/>
      <w:lvlText w:val=""/>
      <w:lvlJc w:val="left"/>
    </w:lvl>
    <w:lvl w:ilvl="5" w:tplc="50566792">
      <w:numFmt w:val="decimal"/>
      <w:lvlText w:val=""/>
      <w:lvlJc w:val="left"/>
    </w:lvl>
    <w:lvl w:ilvl="6" w:tplc="ECB0AB46">
      <w:numFmt w:val="decimal"/>
      <w:lvlText w:val=""/>
      <w:lvlJc w:val="left"/>
    </w:lvl>
    <w:lvl w:ilvl="7" w:tplc="4DC27CD8">
      <w:numFmt w:val="decimal"/>
      <w:lvlText w:val=""/>
      <w:lvlJc w:val="left"/>
    </w:lvl>
    <w:lvl w:ilvl="8" w:tplc="E60845A0">
      <w:numFmt w:val="decimal"/>
      <w:lvlText w:val=""/>
      <w:lvlJc w:val="left"/>
    </w:lvl>
  </w:abstractNum>
  <w:abstractNum w:abstractNumId="2" w15:restartNumberingAfterBreak="0">
    <w:nsid w:val="6AE51FDF"/>
    <w:multiLevelType w:val="hybridMultilevel"/>
    <w:tmpl w:val="CEFAFD8A"/>
    <w:lvl w:ilvl="0" w:tplc="330825D0">
      <w:start w:val="1"/>
      <w:numFmt w:val="bullet"/>
      <w:lvlText w:val="●"/>
      <w:lvlJc w:val="left"/>
      <w:pPr>
        <w:ind w:left="720" w:hanging="360"/>
      </w:pPr>
    </w:lvl>
    <w:lvl w:ilvl="1" w:tplc="071E8CF4">
      <w:start w:val="1"/>
      <w:numFmt w:val="bullet"/>
      <w:lvlText w:val="○"/>
      <w:lvlJc w:val="left"/>
      <w:pPr>
        <w:ind w:left="1440" w:hanging="360"/>
      </w:pPr>
    </w:lvl>
    <w:lvl w:ilvl="2" w:tplc="D674D47C">
      <w:start w:val="1"/>
      <w:numFmt w:val="bullet"/>
      <w:lvlText w:val="■"/>
      <w:lvlJc w:val="left"/>
      <w:pPr>
        <w:ind w:left="2160" w:hanging="360"/>
      </w:pPr>
    </w:lvl>
    <w:lvl w:ilvl="3" w:tplc="31B8E586">
      <w:start w:val="1"/>
      <w:numFmt w:val="bullet"/>
      <w:lvlText w:val="●"/>
      <w:lvlJc w:val="left"/>
      <w:pPr>
        <w:ind w:left="2880" w:hanging="360"/>
      </w:pPr>
    </w:lvl>
    <w:lvl w:ilvl="4" w:tplc="EA3A4A36">
      <w:start w:val="1"/>
      <w:numFmt w:val="bullet"/>
      <w:lvlText w:val="○"/>
      <w:lvlJc w:val="left"/>
      <w:pPr>
        <w:ind w:left="3600" w:hanging="360"/>
      </w:pPr>
    </w:lvl>
    <w:lvl w:ilvl="5" w:tplc="923E0238">
      <w:start w:val="1"/>
      <w:numFmt w:val="bullet"/>
      <w:lvlText w:val="■"/>
      <w:lvlJc w:val="left"/>
      <w:pPr>
        <w:ind w:left="4320" w:hanging="360"/>
      </w:pPr>
    </w:lvl>
    <w:lvl w:ilvl="6" w:tplc="85F8F170">
      <w:start w:val="1"/>
      <w:numFmt w:val="bullet"/>
      <w:lvlText w:val="●"/>
      <w:lvlJc w:val="left"/>
      <w:pPr>
        <w:ind w:left="5040" w:hanging="360"/>
      </w:pPr>
    </w:lvl>
    <w:lvl w:ilvl="7" w:tplc="DEE47E1E">
      <w:start w:val="1"/>
      <w:numFmt w:val="bullet"/>
      <w:lvlText w:val="●"/>
      <w:lvlJc w:val="left"/>
      <w:pPr>
        <w:ind w:left="5760" w:hanging="360"/>
      </w:pPr>
    </w:lvl>
    <w:lvl w:ilvl="8" w:tplc="D2CA4082">
      <w:start w:val="1"/>
      <w:numFmt w:val="bullet"/>
      <w:lvlText w:val="●"/>
      <w:lvlJc w:val="left"/>
      <w:pPr>
        <w:ind w:left="6480" w:hanging="360"/>
      </w:pPr>
    </w:lvl>
  </w:abstractNum>
  <w:abstractNum w:abstractNumId="3" w15:restartNumberingAfterBreak="0">
    <w:nsid w:val="71814380"/>
    <w:multiLevelType w:val="hybridMultilevel"/>
    <w:tmpl w:val="760E8836"/>
    <w:lvl w:ilvl="0" w:tplc="F0B4C640">
      <w:start w:val="1"/>
      <w:numFmt w:val="decimal"/>
      <w:lvlText w:val="%1."/>
      <w:lvlJc w:val="right"/>
      <w:pPr>
        <w:ind w:right="431" w:hanging="316"/>
      </w:pPr>
    </w:lvl>
    <w:lvl w:ilvl="1" w:tplc="F7B0CCDC">
      <w:numFmt w:val="decimal"/>
      <w:lvlText w:val=""/>
      <w:lvlJc w:val="left"/>
    </w:lvl>
    <w:lvl w:ilvl="2" w:tplc="BA746FF8">
      <w:numFmt w:val="decimal"/>
      <w:lvlText w:val=""/>
      <w:lvlJc w:val="left"/>
    </w:lvl>
    <w:lvl w:ilvl="3" w:tplc="D938C5B0">
      <w:numFmt w:val="decimal"/>
      <w:lvlText w:val=""/>
      <w:lvlJc w:val="left"/>
    </w:lvl>
    <w:lvl w:ilvl="4" w:tplc="87344A4E">
      <w:numFmt w:val="decimal"/>
      <w:lvlText w:val=""/>
      <w:lvlJc w:val="left"/>
    </w:lvl>
    <w:lvl w:ilvl="5" w:tplc="FCF600B8">
      <w:numFmt w:val="decimal"/>
      <w:lvlText w:val=""/>
      <w:lvlJc w:val="left"/>
    </w:lvl>
    <w:lvl w:ilvl="6" w:tplc="CD70E6CC">
      <w:numFmt w:val="decimal"/>
      <w:lvlText w:val=""/>
      <w:lvlJc w:val="left"/>
    </w:lvl>
    <w:lvl w:ilvl="7" w:tplc="9CA8723C">
      <w:numFmt w:val="decimal"/>
      <w:lvlText w:val=""/>
      <w:lvlJc w:val="left"/>
    </w:lvl>
    <w:lvl w:ilvl="8" w:tplc="F10E2842">
      <w:numFmt w:val="decimal"/>
      <w:lvlText w:val=""/>
      <w:lvlJc w:val="left"/>
    </w:lvl>
  </w:abstractNum>
  <w:num w:numId="1" w16cid:durableId="747120974">
    <w:abstractNumId w:val="2"/>
    <w:lvlOverride w:ilvl="0">
      <w:startOverride w:val="1"/>
    </w:lvlOverride>
  </w:num>
  <w:num w:numId="2" w16cid:durableId="395280161">
    <w:abstractNumId w:val="0"/>
    <w:lvlOverride w:ilvl="0">
      <w:startOverride w:val="1"/>
    </w:lvlOverride>
  </w:num>
  <w:num w:numId="3" w16cid:durableId="1503088744">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C3"/>
    <w:rsid w:val="00A97FC3"/>
    <w:rsid w:val="00BA6F98"/>
    <w:rsid w:val="00D3258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373F01F"/>
  <w15:docId w15:val="{FF55819B-1937-F245-8198-828A644E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rtl/>
        <w:lang w:val="en-IL" w:eastAsia="en-US" w:bidi="he-IL"/>
      </w:rPr>
    </w:rPrDefault>
    <w:pPrDefault>
      <w:pPr>
        <w:bidi/>
        <w:spacing w:line="30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80" w:after="12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Dima Fantalis</cp:lastModifiedBy>
  <cp:revision>2</cp:revision>
  <dcterms:created xsi:type="dcterms:W3CDTF">2026-09-09T12:11:00Z</dcterms:created>
  <dcterms:modified xsi:type="dcterms:W3CDTF">2026-09-09T13:32:00Z</dcterms:modified>
</cp:coreProperties>
</file>