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05A613D" w14:textId="77777777" w:rsidR="00F806AD" w:rsidRDefault="00000000" w:rsidP="00626F5F">
      <w:pPr>
        <w:spacing w:after="40"/>
        <w:jc w:val="left"/>
      </w:pPr>
      <w:r>
        <w:rPr>
          <w:color w:val="808080"/>
        </w:rPr>
        <w:t>יסודות החשבונאות (10280) — מדריך למידה</w:t>
      </w:r>
    </w:p>
    <w:p w14:paraId="5651602A" w14:textId="77777777" w:rsidR="00F806AD" w:rsidRDefault="00000000" w:rsidP="00626F5F">
      <w:pPr>
        <w:pBdr>
          <w:bottom w:val="single" w:sz="8" w:space="6" w:color="1F3864"/>
        </w:pBdr>
        <w:spacing w:after="240"/>
        <w:jc w:val="left"/>
      </w:pPr>
      <w:r>
        <w:rPr>
          <w:b/>
          <w:bCs/>
          <w:color w:val="1F3864"/>
          <w:sz w:val="36"/>
          <w:szCs w:val="36"/>
        </w:rPr>
        <w:t>שיעור 5 | דיווח על בסיס צבירה ועקרון ההקבלה</w:t>
      </w:r>
    </w:p>
    <w:p w14:paraId="0AE3009B" w14:textId="77777777" w:rsidR="00F806AD" w:rsidRDefault="00000000" w:rsidP="00626F5F">
      <w:pPr>
        <w:pStyle w:val="Heading2"/>
        <w:jc w:val="left"/>
      </w:pPr>
      <w:r>
        <w:t>1. שאלת העיתוי</w:t>
      </w:r>
    </w:p>
    <w:p w14:paraId="419AE983" w14:textId="77777777" w:rsidR="00F806AD" w:rsidRDefault="00000000">
      <w:pPr>
        <w:spacing w:after="120"/>
        <w:jc w:val="both"/>
      </w:pPr>
      <w:r>
        <w:t xml:space="preserve">זהו הפרק שעליו נשען כל המשך הקורס. הנושא שלו אינו הסכום שבו מכירים בהכנסה או בהוצאה — גם זו שאלה, ונחזור אליה — אלא </w:t>
      </w:r>
      <w:r>
        <w:rPr>
          <w:b/>
          <w:bCs/>
        </w:rPr>
        <w:t>המועד</w:t>
      </w:r>
      <w:r>
        <w:t xml:space="preserve"> שבו מכירים בהן. שאלת העיתוי קודמת לשאלת המדידה, והיא גם הקשה יותר למי שאינו בא מתוך עולם החשבונאות, משום שהיא דורשת לוותר על הנחה טבעית מאוד.</w:t>
      </w:r>
    </w:p>
    <w:p w14:paraId="6EFD310F" w14:textId="7F31077E" w:rsidR="00F806AD" w:rsidRDefault="00000000" w:rsidP="00626F5F">
      <w:pPr>
        <w:pStyle w:val="Heading2"/>
        <w:jc w:val="left"/>
      </w:pPr>
      <w:r>
        <w:t>2. תקבול אינו הכנסה, תשלום אינו הוצאה</w:t>
      </w:r>
    </w:p>
    <w:p w14:paraId="025010ED" w14:textId="77777777" w:rsidR="00F806AD" w:rsidRDefault="00000000">
      <w:pPr>
        <w:spacing w:after="120"/>
        <w:jc w:val="both"/>
      </w:pPr>
      <w:r>
        <w:t>ההנחה הטבעית היא שכניסת משאבים לישות היא הכנסה ויציאת משאבים ממנה היא הוצאה. נדייק תחילה במונחים: אף שברוב המקרים מדובר במזומן, אפשר לקבל גם נכסים אחרים או שירותים, ולכן נדבר על כניסה ויציאה של משאבים ולא על תקבול ותשלום בלבד.</w:t>
      </w:r>
    </w:p>
    <w:p w14:paraId="54A60CF8" w14:textId="77777777" w:rsidR="00F806AD" w:rsidRDefault="00000000">
      <w:pPr>
        <w:spacing w:after="120"/>
        <w:jc w:val="both"/>
      </w:pPr>
      <w:r>
        <w:t xml:space="preserve">וכעת לעיקר: </w:t>
      </w:r>
      <w:r>
        <w:rPr>
          <w:b/>
          <w:bCs/>
        </w:rPr>
        <w:t>ההנחה הזאת שגויה</w:t>
      </w:r>
      <w:r>
        <w:t>, וכבר ראינו זאת. כניסת משאבים יכולה להירשם כנגד הכרה בהכנסה, אך גם כנגד קיטון של נכס אחר (מכירת נכס בערכו) או כנגד רישום של התחייבות (נטילת הלוואה). יציאת משאבים יכולה להירשם כנגד רישום של הוצאה, אך גם כנגד הכרה בנכס (רכישת רכוש) או כנגד קיטון של התחייבות אחרת (סילוק חוב). בקבלת הלוואה נכנס מזומן ואין הכנסה; ברכישת ציוד יוצא מזומן ואין הוצאה.</w:t>
      </w:r>
    </w:p>
    <w:p w14:paraId="014C5AC5" w14:textId="77777777" w:rsidR="00F806AD" w:rsidRDefault="00000000">
      <w:pPr>
        <w:spacing w:after="120"/>
        <w:jc w:val="both"/>
      </w:pPr>
      <w:r>
        <w:t xml:space="preserve">מכאן גם הערת לשון שכדאי לאמץ מוקדם. בעברית היומיומית "להכניס כסף" ו"להוציא כסף" מתארים תנועת מזומן, והדמיון למונחים החשבונאיים מטעה. </w:t>
      </w:r>
      <w:r>
        <w:rPr>
          <w:b/>
          <w:bCs/>
        </w:rPr>
        <w:t>הכנסה והוצאה הם מונחים מוגדרים</w:t>
      </w:r>
      <w:r>
        <w:t xml:space="preserve">: הכנסה היא עדות להצלחה עסקית, והוצאה היא עדות להפסד. ככל שנפריד מוקדם יותר בין המונח לבין הפועל, כך </w:t>
      </w:r>
      <w:proofErr w:type="spellStart"/>
      <w:r>
        <w:t>ייקל</w:t>
      </w:r>
      <w:proofErr w:type="spellEnd"/>
      <w:r>
        <w:t xml:space="preserve"> עלינו.</w:t>
      </w:r>
    </w:p>
    <w:p w14:paraId="6942E56C" w14:textId="77777777" w:rsidR="00F806AD" w:rsidRDefault="00000000" w:rsidP="00626F5F">
      <w:pPr>
        <w:pStyle w:val="Heading2"/>
        <w:jc w:val="left"/>
      </w:pPr>
      <w:r>
        <w:t>3. שני בסיסי דיווח</w:t>
      </w:r>
    </w:p>
    <w:p w14:paraId="4668405E" w14:textId="77777777" w:rsidR="00F806AD" w:rsidRDefault="00000000">
      <w:pPr>
        <w:spacing w:after="120"/>
        <w:jc w:val="both"/>
      </w:pPr>
      <w:r>
        <w:t xml:space="preserve">מי שמזהה תקבול עם הכנסה ותשלום עם הוצאה מדווח על </w:t>
      </w:r>
      <w:r>
        <w:rPr>
          <w:b/>
          <w:bCs/>
        </w:rPr>
        <w:t>בסיס מזומן</w:t>
      </w:r>
      <w:r>
        <w:t>. יש ישויות המדווחות כך, אך אין זה דיווח לפי התקינה הבינלאומית, והוא משקף את המהות העסקית באופן מעוות.</w:t>
      </w:r>
    </w:p>
    <w:p w14:paraId="287A3D2D" w14:textId="77777777" w:rsidR="00F806AD" w:rsidRDefault="00000000">
      <w:pPr>
        <w:spacing w:after="120"/>
        <w:jc w:val="both"/>
      </w:pPr>
      <w:r>
        <w:t xml:space="preserve">החלופה, ועליה בנויה התקינה, היא </w:t>
      </w:r>
      <w:r>
        <w:rPr>
          <w:b/>
          <w:bCs/>
        </w:rPr>
        <w:t>דיווח על בסיס צבירה</w:t>
      </w:r>
      <w:r>
        <w:t xml:space="preserve">: הכנסות והוצאות מוכרות על בסיס </w:t>
      </w:r>
      <w:r>
        <w:rPr>
          <w:b/>
          <w:bCs/>
        </w:rPr>
        <w:t>התהוותן בפועל</w:t>
      </w:r>
      <w:r>
        <w:t>, ולא על בסיס תנועת המזומן. הניסוח הזה נשמע בשלב ראשון ריק מתוכן, ובצדק — מתי בדיוק מתהווה הכנסה או הוצאה היא שאלה שנענית לגופו של עניין, וזו אחת הסיבות לכך שהתקינה הבינלאומית מונה תקנים רבים כל כך: כל סוג עסקה מחייב חשיבה משלו.</w:t>
      </w:r>
    </w:p>
    <w:p w14:paraId="7489B7D1" w14:textId="77777777" w:rsidR="00F806AD" w:rsidRDefault="00000000">
      <w:pPr>
        <w:spacing w:after="120"/>
        <w:jc w:val="both"/>
      </w:pPr>
      <w:r>
        <w:t>שתי דוגמאות ממחישות את הכיוון. הוצאת ריבית נצברת על פני הזמן ואינה תלויה במועד תשלום הריבית: אם החוב לבנק גדל, ההפסד כבר נגרם. והכנסה מחוזה עם לקוח מוכרת במועד קיום מחויבות הביצוע כלפיו — לפי הקצב שבו הישות משרתת אותו, בין אם שילם מראש ובין אם ישלם רק בסוף.</w:t>
      </w:r>
    </w:p>
    <w:p w14:paraId="625DD046" w14:textId="77777777" w:rsidR="00F806AD" w:rsidRDefault="00000000">
      <w:pPr>
        <w:spacing w:after="120"/>
        <w:jc w:val="both"/>
      </w:pPr>
      <w:r>
        <w:t>אלא שברוב המקרים שנפגוש אין צורך להיתלות בתקן. אם העובדים עבדו שנים עשר חודשים, הישות הפסידה שנים עשר חודשי שכר — גם אם שילמה בפועל רק אחד עשר, משום ששכר דצמבר משולם בשנה העוקבת. ההפסד נגרם מכך שהעובדים עבדו, לא מכך ששולמה המשכורת; התשלום הוא תוצאה של החבות, לא מקורה.</w:t>
      </w:r>
    </w:p>
    <w:p w14:paraId="440BF74E" w14:textId="77777777" w:rsidR="00F806AD" w:rsidRDefault="00000000" w:rsidP="00626F5F">
      <w:pPr>
        <w:pStyle w:val="Heading2"/>
        <w:jc w:val="left"/>
      </w:pPr>
      <w:r>
        <w:t>4. הדגמה: מה מעוות בסיס המזומן</w:t>
      </w:r>
    </w:p>
    <w:p w14:paraId="1A1B3811" w14:textId="77777777" w:rsidR="00F806AD" w:rsidRDefault="00000000">
      <w:pPr>
        <w:spacing w:after="120"/>
        <w:jc w:val="both"/>
      </w:pPr>
      <w:r>
        <w:t>נבחן ישות שרכשה בסוף שנה 1 מכונה תמורת 400,000 ש"ח. המכונה משמשת ארבע שנים ואז מושלכת, ובכל אחת מן השנים היא מפיקה רווח גולמי של 150,000 ש"ח. מבחינה עסקית זו עסקה טובה: 600,000 לאורך חייה כנגד עלות של 400,000.</w:t>
      </w:r>
    </w:p>
    <w:p w14:paraId="214297A7" w14:textId="77777777" w:rsidR="00F806AD" w:rsidRDefault="00000000">
      <w:pPr>
        <w:spacing w:after="120"/>
        <w:jc w:val="both"/>
      </w:pPr>
      <w:r>
        <w:rPr>
          <w:b/>
          <w:bCs/>
        </w:rPr>
        <w:t>דיווח על בסיס מזומן</w:t>
      </w:r>
      <w:r>
        <w:t xml:space="preserve"> ירשום בסוף שנה 1 יציאת מזומן, וכנגדה — בהיעדר מחשבה נוספת — הוצאה:</w:t>
      </w:r>
    </w:p>
    <w:p w14:paraId="12C0B358" w14:textId="77777777" w:rsidR="00F806AD" w:rsidRDefault="00000000" w:rsidP="00626F5F">
      <w:pPr>
        <w:tabs>
          <w:tab w:val="left" w:pos="4608"/>
        </w:tabs>
        <w:spacing w:after="60"/>
        <w:ind w:left="1152"/>
        <w:jc w:val="left"/>
      </w:pPr>
      <w:r>
        <w:t>ח. הוצאות</w:t>
      </w:r>
      <w:r>
        <w:tab/>
        <w:t>400</w:t>
      </w:r>
    </w:p>
    <w:p w14:paraId="05ACEA00" w14:textId="77777777" w:rsidR="00F806AD" w:rsidRDefault="00000000" w:rsidP="00626F5F">
      <w:pPr>
        <w:tabs>
          <w:tab w:val="left" w:pos="4608"/>
        </w:tabs>
        <w:spacing w:after="60"/>
        <w:ind w:left="1652"/>
        <w:jc w:val="left"/>
      </w:pPr>
      <w:r>
        <w:lastRenderedPageBreak/>
        <w:t>ז. מזומן</w:t>
      </w:r>
      <w:r>
        <w:tab/>
        <w:t>400</w:t>
      </w:r>
    </w:p>
    <w:p w14:paraId="5599A9DC" w14:textId="77777777" w:rsidR="00F806AD" w:rsidRDefault="00000000">
      <w:pPr>
        <w:spacing w:after="120"/>
        <w:jc w:val="both"/>
      </w:pPr>
      <w:r>
        <w:t>התוצאה: שנה 1 נחתמת בהפסד של 400,000, אף שלא אבד דבר — המכונה עומדת במפעל. בשנה 2 תניב המכונה הכנסות של 150,000 בלא שתירשם כנגדן הוצאה כלשהי, שהרי שולם עליה בעבר; מבחינת הדוח היא ניתנה במתנה, והרווח הוא 150,000. בשנה 3, אם תופעל ברשלנות ותניב רק 80,000, יראה הדוח רווח של 80,000 — ויוצג כביצוע סביר, אף שישות שרכשה מכונה ב-400,000 והפיקה ממנה 80,000 לשנה לא תחזיר אפילו את עלותה.</w:t>
      </w:r>
    </w:p>
    <w:p w14:paraId="03164F0B" w14:textId="77777777" w:rsidR="00F806AD" w:rsidRDefault="00000000">
      <w:pPr>
        <w:spacing w:after="120"/>
        <w:jc w:val="both"/>
      </w:pPr>
      <w:r>
        <w:t>זהו העיוות: שנה של הצלחה מוצגת כאסון, ושנים של כישלון מוצגות כרווח. הסיבה אחת — ההוצאה דווחה בתקופה אחת וההכנסות שהיא הולידה בתקופות אחרות.</w:t>
      </w:r>
    </w:p>
    <w:p w14:paraId="09E2FE9D" w14:textId="77777777" w:rsidR="00F806AD" w:rsidRDefault="00000000" w:rsidP="00626F5F">
      <w:pPr>
        <w:pStyle w:val="Heading2"/>
        <w:jc w:val="left"/>
      </w:pPr>
      <w:r>
        <w:t>5. הפתרון: צבירת העלות למאזן</w:t>
      </w:r>
    </w:p>
    <w:p w14:paraId="644E878E" w14:textId="77777777" w:rsidR="00F806AD" w:rsidRDefault="00000000">
      <w:pPr>
        <w:spacing w:after="120"/>
        <w:jc w:val="both"/>
      </w:pPr>
      <w:r>
        <w:rPr>
          <w:b/>
          <w:bCs/>
        </w:rPr>
        <w:t>דיווח על בסיס צבירה</w:t>
      </w:r>
      <w:r>
        <w:t xml:space="preserve"> שואל מה התהווה בפועל. בסוף שנה 1 שולמו אמנם 400,000, אך דבר לא אבד: בידי הישות מכונה, כלומר משאב בשליטתה שההטבות הכלכליות הגלומות בו עדיין לפניה. לפיכך אין לרשום הוצאה אלא </w:t>
      </w:r>
      <w:r>
        <w:rPr>
          <w:b/>
          <w:bCs/>
        </w:rPr>
        <w:t>נכס</w:t>
      </w:r>
      <w:r>
        <w:t>:</w:t>
      </w:r>
    </w:p>
    <w:p w14:paraId="33B33E1A" w14:textId="77777777" w:rsidR="00F806AD" w:rsidRDefault="00000000" w:rsidP="00626F5F">
      <w:pPr>
        <w:tabs>
          <w:tab w:val="left" w:pos="4608"/>
        </w:tabs>
        <w:spacing w:after="60"/>
        <w:ind w:left="1152"/>
        <w:jc w:val="left"/>
      </w:pPr>
      <w:r>
        <w:t>ח. נכס</w:t>
      </w:r>
      <w:r>
        <w:tab/>
        <w:t>400</w:t>
      </w:r>
    </w:p>
    <w:p w14:paraId="7E6228BC" w14:textId="77777777" w:rsidR="00F806AD" w:rsidRDefault="00000000" w:rsidP="00626F5F">
      <w:pPr>
        <w:tabs>
          <w:tab w:val="left" w:pos="4608"/>
        </w:tabs>
        <w:spacing w:after="60"/>
        <w:ind w:left="1652"/>
        <w:jc w:val="left"/>
      </w:pPr>
      <w:r>
        <w:t>ז. מזומן</w:t>
      </w:r>
      <w:r>
        <w:tab/>
        <w:t>400</w:t>
      </w:r>
    </w:p>
    <w:p w14:paraId="16C1A478" w14:textId="77777777" w:rsidR="00F806AD" w:rsidRDefault="00000000">
      <w:pPr>
        <w:spacing w:after="120"/>
        <w:jc w:val="both"/>
      </w:pPr>
      <w:r>
        <w:t xml:space="preserve">כאן מקור השם. העלות </w:t>
      </w:r>
      <w:r>
        <w:rPr>
          <w:b/>
          <w:bCs/>
        </w:rPr>
        <w:t>נצברת</w:t>
      </w:r>
      <w:r>
        <w:t xml:space="preserve"> אל המאזן ומוחזקת בו, במקום ליפול מיד אל הדוח על הרווח או ההפסד. הנכס משמש למעשה כבלם: הוא אינו מבטל את ההוצאה אלא דוחה אותה למועד שבו היא באמת מתהווה.</w:t>
      </w:r>
    </w:p>
    <w:p w14:paraId="1DCF3FED" w14:textId="77777777" w:rsidR="00F806AD" w:rsidRDefault="00000000">
      <w:pPr>
        <w:spacing w:after="120"/>
        <w:jc w:val="both"/>
      </w:pPr>
      <w:r>
        <w:t>ומתי היא מתהווה? ככל שהמכונה נשחקת. ה-400,000 שבמאזן אינם קילוגרמים של ברזל אלא הטבות כלכליות המספיקות לארבע שנים; בחלוף שנה נותרו שלוש, ולכן יש לגרוע רבע מן הנכס ולהעביר את הסכום אל הדוח כהוצאה — 100,000 לשנה:</w:t>
      </w:r>
    </w:p>
    <w:p w14:paraId="32D420A5" w14:textId="77777777" w:rsidR="00F806AD" w:rsidRDefault="00000000" w:rsidP="00626F5F">
      <w:pPr>
        <w:tabs>
          <w:tab w:val="left" w:pos="4608"/>
        </w:tabs>
        <w:spacing w:after="60"/>
        <w:ind w:left="1152"/>
        <w:jc w:val="left"/>
      </w:pPr>
      <w:r>
        <w:t>ח. הוצאות</w:t>
      </w:r>
      <w:r>
        <w:tab/>
        <w:t>100</w:t>
      </w:r>
    </w:p>
    <w:p w14:paraId="0EF5209A" w14:textId="77777777" w:rsidR="00F806AD" w:rsidRDefault="00000000" w:rsidP="00626F5F">
      <w:pPr>
        <w:tabs>
          <w:tab w:val="left" w:pos="4608"/>
        </w:tabs>
        <w:spacing w:after="60"/>
        <w:ind w:left="1652"/>
        <w:jc w:val="left"/>
      </w:pPr>
      <w:r>
        <w:t>ז. נכס</w:t>
      </w:r>
      <w:r>
        <w:tab/>
        <w:t>100</w:t>
      </w:r>
    </w:p>
    <w:p w14:paraId="6CF0726F" w14:textId="77777777" w:rsidR="00F806AD" w:rsidRDefault="00000000">
      <w:pPr>
        <w:spacing w:after="120"/>
        <w:jc w:val="both"/>
      </w:pPr>
      <w:r>
        <w:t xml:space="preserve">התמונה המתקבלת הגיונית: שנה 1 נסגרת ברווח אפס, שכן לא היו הכנסות ולא הוכרו הוצאות. בשנה 2 מולידות ההכנסות של 150,000 רווח של 50,000 לאחר ניכוי ההוצאה — לא 150,000, משום שהמכונה אינה חינם. ובשנה 3, שבה הופקו רק 80,000, מוצג </w:t>
      </w:r>
      <w:r>
        <w:rPr>
          <w:b/>
          <w:bCs/>
        </w:rPr>
        <w:t>הפסד</w:t>
      </w:r>
      <w:r>
        <w:t xml:space="preserve"> של 20,000, ולראשונה נראה הביצוע הכושל כפי שהוא.</w:t>
      </w:r>
    </w:p>
    <w:p w14:paraId="5F62F8E5" w14:textId="77777777" w:rsidR="00F806AD" w:rsidRDefault="00000000">
      <w:pPr>
        <w:spacing w:after="120"/>
        <w:jc w:val="both"/>
      </w:pPr>
      <w:r>
        <w:t>נעיר כי מדובר כאן בנושא שנלמד בהמשך הקורס בשם רכוש קבוע, וההוצאה המחזורית הזאת נקראת הוצאות פחת. אין צורך להיכנס כעת לשאלות של אורך חיים, ערך שייר או שיטת פריסה; מה שחשוב הוא לראות שהמאזן והדוח על הרווח או ההפסד פועלים יחד, ושבידינו הכלי לקבוע מתי ההוצאה תוכר.</w:t>
      </w:r>
    </w:p>
    <w:p w14:paraId="72F34AAC" w14:textId="77777777" w:rsidR="00F806AD" w:rsidRDefault="00000000" w:rsidP="00626F5F">
      <w:pPr>
        <w:pStyle w:val="Heading2"/>
        <w:jc w:val="left"/>
      </w:pPr>
      <w:r>
        <w:t>6. עקרון ההקבלה</w:t>
      </w:r>
    </w:p>
    <w:p w14:paraId="7A848E62" w14:textId="77777777" w:rsidR="00F806AD" w:rsidRDefault="00000000">
      <w:pPr>
        <w:spacing w:after="120"/>
        <w:jc w:val="both"/>
      </w:pPr>
      <w:r>
        <w:t xml:space="preserve">מה בדיוק תיקן המעבר לבסיס צבירה? הוא הביא לכך שההכנסות וההוצאות ששימשו לייצורן ידווחו </w:t>
      </w:r>
      <w:r>
        <w:rPr>
          <w:b/>
          <w:bCs/>
        </w:rPr>
        <w:t>באותה תקופת דיווח</w:t>
      </w:r>
      <w:r>
        <w:t xml:space="preserve">. זהו </w:t>
      </w:r>
      <w:r>
        <w:rPr>
          <w:b/>
          <w:bCs/>
        </w:rPr>
        <w:t>עקרון ההקבלה</w:t>
      </w:r>
      <w:r>
        <w:t>, והוא הנימוק המהותי לכל מה שעשינו.</w:t>
      </w:r>
    </w:p>
    <w:p w14:paraId="4A574701" w14:textId="77777777" w:rsidR="00F806AD" w:rsidRDefault="00000000">
      <w:pPr>
        <w:spacing w:after="120"/>
        <w:jc w:val="both"/>
      </w:pPr>
      <w:r>
        <w:t>חטאו של בסיס המזומן היה בדיוק כאן: ההוצאה דווחה בתקופה אחת וההכנסות שהיא הולידה בתקופות אחרות. כתוצאה מכך אי אפשר היה להבין אף אחת מן השתיים — ההוצאה נראתה חסרת הצדקה משום שלא נראו הכנסות כנגדה, וההכנסות נראו מופרזות משום שלא נראתה העלות שנדרשה לייצורן.</w:t>
      </w:r>
    </w:p>
    <w:p w14:paraId="114BBF84" w14:textId="77777777" w:rsidR="00F806AD" w:rsidRDefault="00000000">
      <w:pPr>
        <w:spacing w:after="120"/>
        <w:jc w:val="both"/>
      </w:pPr>
      <w:r>
        <w:t xml:space="preserve">הכלי לקיום העיקרון הוא הכרה בנכסים ובהתחייבויות המגשרים על הפער בין התזרים לבין ההתהוות. ראינו את הכיוון האחד — נכס הדוחה הוצאה שכבר שולמה. הכיוון ההפוך פועל באותו היגיון: כאשר הישות חייבת בשכר של שנים עשר חודשים ושילמה אחד עשר, תירשם הוצאה מלאה של שנים עשר חודשים; המזומן </w:t>
      </w:r>
      <w:proofErr w:type="spellStart"/>
      <w:r>
        <w:t>יקוטן</w:t>
      </w:r>
      <w:proofErr w:type="spellEnd"/>
      <w:r>
        <w:t xml:space="preserve"> באחד עשר, ואת הפער תגשר </w:t>
      </w:r>
      <w:r>
        <w:rPr>
          <w:b/>
          <w:bCs/>
        </w:rPr>
        <w:t>התחייבות</w:t>
      </w:r>
      <w:r>
        <w:t xml:space="preserve"> לשלם את החודש הנותר.</w:t>
      </w:r>
    </w:p>
    <w:p w14:paraId="21FEEFBD" w14:textId="77777777" w:rsidR="00F806AD" w:rsidRDefault="00000000">
      <w:pPr>
        <w:spacing w:after="120"/>
        <w:jc w:val="both"/>
      </w:pPr>
      <w:r>
        <w:t xml:space="preserve">זהו אפוא הכלל הכללי: </w:t>
      </w:r>
      <w:r>
        <w:rPr>
          <w:b/>
          <w:bCs/>
        </w:rPr>
        <w:t>נכסים והתחייבויות במאזן הם הכלי שבאמצעותו נפרסות הכנסות והוצאות לתקופה הנכונה.</w:t>
      </w:r>
    </w:p>
    <w:p w14:paraId="4C3FF5C2" w14:textId="77777777" w:rsidR="00F806AD" w:rsidRDefault="00000000" w:rsidP="00626F5F">
      <w:pPr>
        <w:pStyle w:val="Heading2"/>
        <w:jc w:val="left"/>
      </w:pPr>
      <w:r>
        <w:t>7. לאן ממשיכים</w:t>
      </w:r>
    </w:p>
    <w:p w14:paraId="4CC3F3FC" w14:textId="77777777" w:rsidR="00F806AD" w:rsidRDefault="00000000">
      <w:pPr>
        <w:spacing w:after="120"/>
        <w:jc w:val="both"/>
      </w:pPr>
      <w:r>
        <w:lastRenderedPageBreak/>
        <w:t xml:space="preserve">העיקרון בידינו, אך היכולת ליישם אותו באופן עצמאי עדיין לא. בפרק הבא נעבור למקרים פשוטים בהרבה מן המכונה — שכר, חשמל, ארנונה, חוזי שירות — שבהם הפער בין מועד התשלום למועד ההתהוות קצר וברור. הנושא נקרא </w:t>
      </w:r>
      <w:r>
        <w:rPr>
          <w:b/>
          <w:bCs/>
        </w:rPr>
        <w:t>חשבונות חתך</w:t>
      </w:r>
      <w:r>
        <w:t>, והוא הבמה שבה נתרגל יחד את כל מה שנצבר עד כה: חובה וזכות, כתיבת פקודות יומן, עיתוי ההכרה, והכרה בנכסים ובהתחייבויות המשרתים אותו.</w:t>
      </w:r>
    </w:p>
    <w:sectPr w:rsidR="00F806AD">
      <w:pgSz w:w="11906" w:h="16838"/>
      <w:pgMar w:top="1200" w:right="1200" w:bottom="1200" w:left="1200" w:header="708" w:footer="708" w:gutter="0"/>
      <w:cols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B62169B"/>
    <w:multiLevelType w:val="hybridMultilevel"/>
    <w:tmpl w:val="E1586942"/>
    <w:lvl w:ilvl="0" w:tplc="72189894">
      <w:start w:val="1"/>
      <w:numFmt w:val="decimal"/>
      <w:lvlText w:val="%1."/>
      <w:lvlJc w:val="right"/>
      <w:pPr>
        <w:ind w:right="431" w:hanging="316"/>
      </w:pPr>
    </w:lvl>
    <w:lvl w:ilvl="1" w:tplc="E5742D94">
      <w:numFmt w:val="decimal"/>
      <w:lvlText w:val=""/>
      <w:lvlJc w:val="left"/>
    </w:lvl>
    <w:lvl w:ilvl="2" w:tplc="CCA8C612">
      <w:numFmt w:val="decimal"/>
      <w:lvlText w:val=""/>
      <w:lvlJc w:val="left"/>
    </w:lvl>
    <w:lvl w:ilvl="3" w:tplc="4C0E02E6">
      <w:numFmt w:val="decimal"/>
      <w:lvlText w:val=""/>
      <w:lvlJc w:val="left"/>
    </w:lvl>
    <w:lvl w:ilvl="4" w:tplc="955C8552">
      <w:numFmt w:val="decimal"/>
      <w:lvlText w:val=""/>
      <w:lvlJc w:val="left"/>
    </w:lvl>
    <w:lvl w:ilvl="5" w:tplc="F8FC9EBA">
      <w:numFmt w:val="decimal"/>
      <w:lvlText w:val=""/>
      <w:lvlJc w:val="left"/>
    </w:lvl>
    <w:lvl w:ilvl="6" w:tplc="EF38B96C">
      <w:numFmt w:val="decimal"/>
      <w:lvlText w:val=""/>
      <w:lvlJc w:val="left"/>
    </w:lvl>
    <w:lvl w:ilvl="7" w:tplc="E1E6F68A">
      <w:numFmt w:val="decimal"/>
      <w:lvlText w:val=""/>
      <w:lvlJc w:val="left"/>
    </w:lvl>
    <w:lvl w:ilvl="8" w:tplc="BCE635AC">
      <w:numFmt w:val="decimal"/>
      <w:lvlText w:val=""/>
      <w:lvlJc w:val="left"/>
    </w:lvl>
  </w:abstractNum>
  <w:abstractNum w:abstractNumId="1" w15:restartNumberingAfterBreak="0">
    <w:nsid w:val="38820687"/>
    <w:multiLevelType w:val="hybridMultilevel"/>
    <w:tmpl w:val="55F2821E"/>
    <w:lvl w:ilvl="0" w:tplc="2102937C">
      <w:start w:val="1"/>
      <w:numFmt w:val="decimal"/>
      <w:lvlText w:val="%1."/>
      <w:lvlJc w:val="right"/>
      <w:pPr>
        <w:ind w:right="431" w:hanging="316"/>
      </w:pPr>
    </w:lvl>
    <w:lvl w:ilvl="1" w:tplc="AAF05BF2">
      <w:numFmt w:val="decimal"/>
      <w:lvlText w:val=""/>
      <w:lvlJc w:val="left"/>
    </w:lvl>
    <w:lvl w:ilvl="2" w:tplc="C6C4CCA0">
      <w:numFmt w:val="decimal"/>
      <w:lvlText w:val=""/>
      <w:lvlJc w:val="left"/>
    </w:lvl>
    <w:lvl w:ilvl="3" w:tplc="CE5E6302">
      <w:numFmt w:val="decimal"/>
      <w:lvlText w:val=""/>
      <w:lvlJc w:val="left"/>
    </w:lvl>
    <w:lvl w:ilvl="4" w:tplc="DBB8A578">
      <w:numFmt w:val="decimal"/>
      <w:lvlText w:val=""/>
      <w:lvlJc w:val="left"/>
    </w:lvl>
    <w:lvl w:ilvl="5" w:tplc="5460489A">
      <w:numFmt w:val="decimal"/>
      <w:lvlText w:val=""/>
      <w:lvlJc w:val="left"/>
    </w:lvl>
    <w:lvl w:ilvl="6" w:tplc="D4068600">
      <w:numFmt w:val="decimal"/>
      <w:lvlText w:val=""/>
      <w:lvlJc w:val="left"/>
    </w:lvl>
    <w:lvl w:ilvl="7" w:tplc="137602B4">
      <w:numFmt w:val="decimal"/>
      <w:lvlText w:val=""/>
      <w:lvlJc w:val="left"/>
    </w:lvl>
    <w:lvl w:ilvl="8" w:tplc="F4D657F8">
      <w:numFmt w:val="decimal"/>
      <w:lvlText w:val=""/>
      <w:lvlJc w:val="left"/>
    </w:lvl>
  </w:abstractNum>
  <w:abstractNum w:abstractNumId="2" w15:restartNumberingAfterBreak="0">
    <w:nsid w:val="407A55B6"/>
    <w:multiLevelType w:val="hybridMultilevel"/>
    <w:tmpl w:val="BB7AF16C"/>
    <w:lvl w:ilvl="0" w:tplc="61125BB8">
      <w:start w:val="1"/>
      <w:numFmt w:val="bullet"/>
      <w:lvlText w:val="●"/>
      <w:lvlJc w:val="left"/>
      <w:pPr>
        <w:ind w:left="720" w:hanging="360"/>
      </w:pPr>
    </w:lvl>
    <w:lvl w:ilvl="1" w:tplc="1288579E">
      <w:start w:val="1"/>
      <w:numFmt w:val="bullet"/>
      <w:lvlText w:val="○"/>
      <w:lvlJc w:val="left"/>
      <w:pPr>
        <w:ind w:left="1440" w:hanging="360"/>
      </w:pPr>
    </w:lvl>
    <w:lvl w:ilvl="2" w:tplc="A74A40FE">
      <w:start w:val="1"/>
      <w:numFmt w:val="bullet"/>
      <w:lvlText w:val="■"/>
      <w:lvlJc w:val="left"/>
      <w:pPr>
        <w:ind w:left="2160" w:hanging="360"/>
      </w:pPr>
    </w:lvl>
    <w:lvl w:ilvl="3" w:tplc="BA12DC58">
      <w:start w:val="1"/>
      <w:numFmt w:val="bullet"/>
      <w:lvlText w:val="●"/>
      <w:lvlJc w:val="left"/>
      <w:pPr>
        <w:ind w:left="2880" w:hanging="360"/>
      </w:pPr>
    </w:lvl>
    <w:lvl w:ilvl="4" w:tplc="BBDA1816">
      <w:start w:val="1"/>
      <w:numFmt w:val="bullet"/>
      <w:lvlText w:val="○"/>
      <w:lvlJc w:val="left"/>
      <w:pPr>
        <w:ind w:left="3600" w:hanging="360"/>
      </w:pPr>
    </w:lvl>
    <w:lvl w:ilvl="5" w:tplc="6BAC2E2C">
      <w:start w:val="1"/>
      <w:numFmt w:val="bullet"/>
      <w:lvlText w:val="■"/>
      <w:lvlJc w:val="left"/>
      <w:pPr>
        <w:ind w:left="4320" w:hanging="360"/>
      </w:pPr>
    </w:lvl>
    <w:lvl w:ilvl="6" w:tplc="CE04EEAE">
      <w:start w:val="1"/>
      <w:numFmt w:val="bullet"/>
      <w:lvlText w:val="●"/>
      <w:lvlJc w:val="left"/>
      <w:pPr>
        <w:ind w:left="5040" w:hanging="360"/>
      </w:pPr>
    </w:lvl>
    <w:lvl w:ilvl="7" w:tplc="0BF65190">
      <w:start w:val="1"/>
      <w:numFmt w:val="bullet"/>
      <w:lvlText w:val="●"/>
      <w:lvlJc w:val="left"/>
      <w:pPr>
        <w:ind w:left="5760" w:hanging="360"/>
      </w:pPr>
    </w:lvl>
    <w:lvl w:ilvl="8" w:tplc="509CEC6A">
      <w:start w:val="1"/>
      <w:numFmt w:val="bullet"/>
      <w:lvlText w:val="●"/>
      <w:lvlJc w:val="left"/>
      <w:pPr>
        <w:ind w:left="6480" w:hanging="360"/>
      </w:pPr>
    </w:lvl>
  </w:abstractNum>
  <w:abstractNum w:abstractNumId="3" w15:restartNumberingAfterBreak="0">
    <w:nsid w:val="6A9F1C39"/>
    <w:multiLevelType w:val="hybridMultilevel"/>
    <w:tmpl w:val="E3AA94DA"/>
    <w:lvl w:ilvl="0" w:tplc="E7B84066">
      <w:start w:val="1"/>
      <w:numFmt w:val="bullet"/>
      <w:lvlText w:val="•"/>
      <w:lvlJc w:val="right"/>
      <w:pPr>
        <w:ind w:right="431" w:hanging="316"/>
      </w:pPr>
    </w:lvl>
    <w:lvl w:ilvl="1" w:tplc="E8A839DA">
      <w:numFmt w:val="decimal"/>
      <w:lvlText w:val=""/>
      <w:lvlJc w:val="left"/>
    </w:lvl>
    <w:lvl w:ilvl="2" w:tplc="EFAE689E">
      <w:numFmt w:val="decimal"/>
      <w:lvlText w:val=""/>
      <w:lvlJc w:val="left"/>
    </w:lvl>
    <w:lvl w:ilvl="3" w:tplc="E7A2BB7A">
      <w:numFmt w:val="decimal"/>
      <w:lvlText w:val=""/>
      <w:lvlJc w:val="left"/>
    </w:lvl>
    <w:lvl w:ilvl="4" w:tplc="E054B5B4">
      <w:numFmt w:val="decimal"/>
      <w:lvlText w:val=""/>
      <w:lvlJc w:val="left"/>
    </w:lvl>
    <w:lvl w:ilvl="5" w:tplc="441A0E3C">
      <w:numFmt w:val="decimal"/>
      <w:lvlText w:val=""/>
      <w:lvlJc w:val="left"/>
    </w:lvl>
    <w:lvl w:ilvl="6" w:tplc="8B2A30F0">
      <w:numFmt w:val="decimal"/>
      <w:lvlText w:val=""/>
      <w:lvlJc w:val="left"/>
    </w:lvl>
    <w:lvl w:ilvl="7" w:tplc="C7E06254">
      <w:numFmt w:val="decimal"/>
      <w:lvlText w:val=""/>
      <w:lvlJc w:val="left"/>
    </w:lvl>
    <w:lvl w:ilvl="8" w:tplc="C010D4EE">
      <w:numFmt w:val="decimal"/>
      <w:lvlText w:val=""/>
      <w:lvlJc w:val="left"/>
    </w:lvl>
  </w:abstractNum>
  <w:num w:numId="1" w16cid:durableId="608774809">
    <w:abstractNumId w:val="2"/>
    <w:lvlOverride w:ilvl="0">
      <w:startOverride w:val="1"/>
    </w:lvlOverride>
  </w:num>
  <w:num w:numId="2" w16cid:durableId="2132941161">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06AD"/>
    <w:rsid w:val="00626F5F"/>
    <w:rsid w:val="00BA6F98"/>
    <w:rsid w:val="00F806AD"/>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ecimalSymbol w:val="."/>
  <w:listSeparator w:val=","/>
  <w14:docId w14:val="44C6C908"/>
  <w15:docId w15:val="{FF55819B-1937-F245-8198-828A644EE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rtl/>
        <w:lang w:val="en-IL" w:eastAsia="en-US" w:bidi="he-IL"/>
      </w:rPr>
    </w:rPrDefault>
    <w:pPrDefault>
      <w:pPr>
        <w:bidi/>
        <w:spacing w:line="300" w:lineRule="auto"/>
        <w:jc w:val="righ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F3864"/>
      <w:sz w:val="32"/>
      <w:szCs w:val="32"/>
    </w:rPr>
  </w:style>
  <w:style w:type="paragraph" w:styleId="Heading2">
    <w:name w:val="heading 2"/>
    <w:uiPriority w:val="9"/>
    <w:unhideWhenUsed/>
    <w:qFormat/>
    <w:pPr>
      <w:spacing w:before="280" w:after="120"/>
      <w:outlineLvl w:val="1"/>
    </w:pPr>
    <w:rPr>
      <w:b/>
      <w:bCs/>
      <w:color w:val="2E5496"/>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836</Words>
  <Characters>4767</Characters>
  <Application>Microsoft Office Word</Application>
  <DocSecurity>0</DocSecurity>
  <Lines>39</Lines>
  <Paragraphs>11</Paragraphs>
  <ScaleCrop>false</ScaleCrop>
  <Company/>
  <LinksUpToDate>false</LinksUpToDate>
  <CharactersWithSpaces>5592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Dima Fantalis</cp:lastModifiedBy>
  <cp:revision>2</cp:revision>
  <dcterms:created xsi:type="dcterms:W3CDTF">2026-09-09T12:11:00Z</dcterms:created>
  <dcterms:modified xsi:type="dcterms:W3CDTF">2026-09-09T13:34:00Z</dcterms:modified>
</cp:coreProperties>
</file>