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after="120" w:before="120" w:line="275.9999942779541" w:lineRule="auto"/>
        <w:ind w:left="0" w:firstLine="0"/>
        <w:rPr/>
      </w:pPr>
      <w:r w:rsidDel="00000000" w:rsidR="00000000" w:rsidRPr="00000000">
        <w:rPr>
          <w:rFonts w:ascii="Google Sans Text" w:cs="Google Sans Text" w:eastAsia="Google Sans Text" w:hAnsi="Google Sans Text"/>
          <w:color w:val="1b1c1d"/>
          <w:sz w:val="24"/>
          <w:szCs w:val="24"/>
          <w:rtl w:val="0"/>
        </w:rPr>
        <w:t xml:space="preserve">Subject: Weekly Market Digest: Volatility on the Horizon?</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Body: Welcome to this week’s market digest. The S&amp;P 500 showed mixed signals this week, with the tech sector continuing its robust rally while other sectors faced headwinds. There's growing concern among analysts about the potential impact of persistent inflation on the manufacturing industry, which could lead to supply chain disruptions and margin compression. Our team has published a new blog post that dives deep into these trends, exploring how a potential rise in market volatility could affect different asset classes. We’ve also included some insights and strategies for investors to help them navigate these uncertain times. We highly recommend giving it a read to better understand the current economic climate and position your portfolio accordingly.</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