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and the Formalization of Central Asia's Shadow Economy</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(2004–2022), deeper digital-financial-services (DFS) penetration is robustly associated with a smaller shadow economy in two-way fixed-effects models, conditional on income level.</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positive but statistically insignificant, and we find no significant DFS × institutions interaction, so we do not claim an institutional-complementarity effect.</w:t>
      </w:r>
    </w:p>
    <w:p w14:paraId="17AECFE4" w14:textId="77777777" w:rsidR="00F04928" w:rsidRPr="00C25708" w:rsidRDefault="00000000">
      <w:pPr>
        <w:pStyle w:val="a4"/>
        <w:numPr>
          <w:ilvl w:val="0"/>
          <w:numId w:val="2"/>
        </w:numPr>
        <w:spacing w:after="80" w:line="276" w:lineRule="auto"/>
        <w:rPr>
          <w:lang w:val="en-US"/>
        </w:rPr>
      </w:pPr>
      <w:r w:rsidRPr="00C25708">
        <w:rPr>
          <w:lang w:val="en-US"/>
        </w:rPr>
        <w:t>A cash-intensity (currency/broad-money) series was not available for the sample, so the cash channel is set out as a hypothesis to be tested rather than an established result.</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stable under Driscoll–Kraay errors and across subsamples, but is weaker and statistically insignificant under instrumental-variable and system-GMM estimation, so we interpret it as robust in association but only suggestive as to causation.</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Central Asia's economies carry some of the largest informal sectors among transition regions, constraining public revenue even as digital financial services (DFS)—mobile money, cards, and instant payments—rapidly diffuse. Drawing on institutional theory and the economics of tax evasion, we ask whether DFS diffusion is associated with a smaller shadow economy and a broader tax base. For statistical power we assemble an annual panel of eight post-Soviet transition economies (2011–2020; N = 80) as the primary empirical setting, within which the Central Asian republics are the focal region and are examined as a subsample. The shadow economy is measured with dynamic general-equilibrium (DGE) estimates and the DFS index by principal-component analysis of account ownership, digital-payment use, and ATM density. In two-way fixed-effects models, deeper DFS penetration is significantly associated with a smaller shadow economy once income is controlled (a one-standard-deviation rise in DFS corresponds to about −0.18 SD of informality), and this association is stable under Driscoll–Kraay errors and across subsamples. However, the association with tax revenue is positive but insignificant, the DFS × institutions interaction is insignificant, and the effect is weaker and insignificant under instrumental-variable and system-GMM estimation. We therefore read the evidence as a robust conditional association rather than clean causal proof, and we apply—rather than claim to extend—institutional-voids logic to the digital-finance context. Implications for tax administrations and financial-sector strategy are drawn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for the five Central Asian republics over 2004–2022 and constructs a composite DFS index that summarizes account ownership, digital-payment usage, and the density of card and electronic-payment infrastructure. It then relates this index to two outcomes—the estimated size of the shadow economy and tax revenue as a share of GDP—using two-way fixed-effects models, Driscoll–Kraay standard errors that are robust to cross-sectional dependence, and dynamic system-GMM estimators that address the endogeneity of financial development. Because the cross-sectional dimension of the core sample is small, the analysis is replicated on a wider panel of Europe and Central Asia (ECA) transition economies to establish external validity.</w:t>
      </w:r>
    </w:p>
    <w:p w14:paraId="677920C8" w14:textId="77777777" w:rsidR="00F04928" w:rsidRPr="00C25708" w:rsidRDefault="00000000">
      <w:pPr>
        <w:spacing w:after="200" w:line="480" w:lineRule="auto"/>
        <w:jc w:val="both"/>
        <w:rPr>
          <w:lang w:val="en-US"/>
        </w:rPr>
      </w:pPr>
      <w:r w:rsidRPr="00C25708">
        <w:rPr>
          <w:lang w:val="en-US"/>
        </w:rPr>
        <w:t xml:space="preserve">The study makes four contributions, three empirical and one theoretical. First, it provides the first focused, multi-country panel assessment of the DFS–informality nexus for Central Asia, </w:t>
      </w:r>
      <w:r w:rsidRPr="00C25708">
        <w:rPr>
          <w:lang w:val="en-US"/>
        </w:rPr>
        <w:lastRenderedPageBreak/>
        <w:t>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four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t>H2: Higher DFS penetration is associated with higher tax revenue (as a share of GDP), reflecting a broader tax base.</w:t>
      </w:r>
    </w:p>
    <w:p w14:paraId="01D867E0" w14:textId="77777777" w:rsidR="00F04928" w:rsidRPr="00C25708" w:rsidRDefault="00000000">
      <w:pPr>
        <w:spacing w:after="200" w:line="480" w:lineRule="auto"/>
        <w:jc w:val="both"/>
        <w:rPr>
          <w:lang w:val="en-US"/>
        </w:rPr>
      </w:pPr>
      <w:r w:rsidRPr="00C25708">
        <w:rPr>
          <w:lang w:val="en-US"/>
        </w:rPr>
        <w:t>H3: The reduction of cash intensity is a channel through which DFS relate to informality, consistent with the traceability mechanism.</w:t>
      </w:r>
    </w:p>
    <w:p w14:paraId="6615AF66" w14:textId="77777777" w:rsidR="00F04928" w:rsidRPr="00C25708" w:rsidRDefault="00000000">
      <w:pPr>
        <w:spacing w:after="200" w:line="480" w:lineRule="auto"/>
        <w:jc w:val="both"/>
        <w:rPr>
          <w:lang w:val="en-US"/>
        </w:rPr>
      </w:pPr>
      <w:r w:rsidRPr="00C25708">
        <w:rPr>
          <w:lang w:val="en-US"/>
        </w:rPr>
        <w:lastRenderedPageBreak/>
        <w:t>H4: The formalization effect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 xml:space="preserve">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To test the cash channel (H3), we use currency in circulation relative to broad money (CASH) as a proxy for cash intensity. </w:t>
      </w:r>
      <w:proofErr w:type="spellStart"/>
      <w:r>
        <w:t>Table</w:t>
      </w:r>
      <w:proofErr w:type="spellEnd"/>
      <w:r>
        <w:t xml:space="preserve"> 1 </w:t>
      </w:r>
      <w:proofErr w:type="spellStart"/>
      <w:r>
        <w:t>summarizes</w:t>
      </w:r>
      <w:proofErr w:type="spellEnd"/>
      <w:r>
        <w:t xml:space="preserve"> </w:t>
      </w:r>
      <w:proofErr w:type="spellStart"/>
      <w:r>
        <w:t>the</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their</w:t>
      </w:r>
      <w:proofErr w:type="spellEnd"/>
      <w:r>
        <w:t xml:space="preserve"> </w:t>
      </w:r>
      <w:proofErr w:type="spellStart"/>
      <w:r>
        <w:t>sources</w:t>
      </w:r>
      <w:proofErr w:type="spellEnd"/>
      <w:r>
        <w:t>.</w:t>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FB350F" w14:textId="77777777" w:rsidR="00F04928" w:rsidRPr="00C25708" w:rsidRDefault="00000000">
            <w:pPr>
              <w:spacing w:after="20"/>
              <w:rPr>
                <w:lang w:val="en-US"/>
              </w:rPr>
            </w:pPr>
            <w:r w:rsidRPr="00C25708">
              <w:rPr>
                <w:sz w:val="20"/>
                <w:szCs w:val="20"/>
                <w:lang w:val="en-US"/>
              </w:rPr>
              <w:t>PCA composite of account ownership, digital payment use, POS/ATM density, and cashless value (rescaled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1028B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D4817B"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81842" w14:textId="77777777" w:rsidR="00F04928" w:rsidRPr="00C25708" w:rsidRDefault="00000000">
            <w:pPr>
              <w:spacing w:after="20"/>
              <w:rPr>
                <w:lang w:val="en-US"/>
              </w:rPr>
            </w:pPr>
            <w:r w:rsidRPr="00C25708">
              <w:rPr>
                <w:sz w:val="20"/>
                <w:szCs w:val="20"/>
                <w:lang w:val="en-US"/>
              </w:rPr>
              <w:t>Currency in circulation / broad money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478E3D" w14:textId="77777777" w:rsidR="00F04928" w:rsidRDefault="00000000">
            <w:pPr>
              <w:spacing w:after="20"/>
            </w:pPr>
            <w:r>
              <w:rPr>
                <w:sz w:val="20"/>
                <w:szCs w:val="20"/>
              </w:rPr>
              <w:t xml:space="preserve">WDI; </w:t>
            </w:r>
            <w:proofErr w:type="spellStart"/>
            <w:r>
              <w:rPr>
                <w:sz w:val="20"/>
                <w:szCs w:val="20"/>
              </w:rPr>
              <w:t>central</w:t>
            </w:r>
            <w:proofErr w:type="spellEnd"/>
            <w:r>
              <w:rPr>
                <w:sz w:val="20"/>
                <w:szCs w:val="20"/>
              </w:rPr>
              <w:t xml:space="preserve"> </w:t>
            </w:r>
            <w:proofErr w:type="spellStart"/>
            <w:r>
              <w:rPr>
                <w:sz w:val="20"/>
                <w:szCs w:val="20"/>
              </w:rPr>
              <w:t>banks</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lastRenderedPageBreak/>
        <w:t>The institutional complementarity in H4 is tested by adding an interaction term DFSit × INSTit; a positive coefficient in the TAX equation (and a negative one in the SHADOW equation) indicates that stronger institutions amplify the formalization effect of DFS. To probe the cash channel in H3, we estimate a mediation-style specification in which CASH is first related to DFS and then entered alongside DFS in the outcome equations; attenuation of the DFS coefficient when CASH is included is consistent with cash intensity acting as a transmission channel.</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 xml:space="preserve">DFS penetration is potentially endogenous: reverse causality is possible if a shrinking informal sector encourages digital adoption, and omitted variables (for example, a modernization drive) may influence both DFS and the outcomes. We address this in three ways. First, all regressors enter with a one-year lag to mitigate simultaneity. Second, we estimate two-step system GMM (Blundell &amp; Bond, 1998) with Windmeijer-corrected standard errors, treating DFS and lagged outcomes as endogenous and using suitably lagged levels and differences as internal instruments. Because the core Central Asian panel has only five cross-sectional units, the number of moment conditions that can be credibly used is severely limited; we therefore report the system-GMM specification for the core panel as an exploratory cross-check rather than a primary identification strategy, restrict the instrument count accordingly, and treat the wider ECA panel—where the cross-sectional dimension is far larger—as the principal setting in which the system-GMM results should be interpreted with confidence. Instrument validity is assessed with the Hansen over-identification test and the Arellano–Bond </w:t>
      </w:r>
      <w:proofErr w:type="gramStart"/>
      <w:r w:rsidRPr="00C25708">
        <w:rPr>
          <w:lang w:val="en-US"/>
        </w:rPr>
        <w:t>AR(</w:t>
      </w:r>
      <w:proofErr w:type="gramEnd"/>
      <w:r w:rsidRPr="00C25708">
        <w:rPr>
          <w:lang w:val="en-US"/>
        </w:rPr>
        <w:t xml:space="preserve">2) test in both samples. Third, as an external instrument we use the rollout of mobile-network (3G/4G) coverage and fixed-broadband penetration, which plausibly drive DFS adoption but affect informality and tax revenue only through financial channels, and report two-stage least-squares </w:t>
      </w:r>
      <w:r w:rsidRPr="00C25708">
        <w:rPr>
          <w:lang w:val="en-US"/>
        </w:rPr>
        <w:lastRenderedPageBreak/>
        <w:t>estimates with first-stage diagnostics. Robustness checks include the alternative MIMIC-based shadow-economy series, the single DIGPAY indicator in place of the composite, the exclusion of Turkmenistan (for which data are sparsest), and the wider ECA validation panel.</w:t>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read as suggestive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 xml:space="preserve">Because DFS_INDEX is derived from principal-component analysis rather than observed directly, its construct validity should be established before it is used as a regressor. Table 4 reports the associated diagnostics: sampling adequacy (Kaiser–Meyer–Olkin statistic), </w:t>
      </w:r>
      <w:r w:rsidRPr="00C25708">
        <w:rPr>
          <w:lang w:val="en-US"/>
        </w:rPr>
        <w:lastRenderedPageBreak/>
        <w:t>Bartlett's test of sphericity, the eigenvalue and share of variance explained by the retained component, and the loading of each of the four underlying indicators on that component.</w:t>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The DFS–shadow association depends on conditioning: with no controls the within-country DFS coefficient is small and insignificant (column 1, +0.054), but once log GDP per capita and the remaining controls are included it turns negative and significant (column 2, −0.056, p &lt; .05). Because DFS and income are highly collinear (r ≈ 0.68), the formalization association is identified holding development constant rather than unconditionally. In magnitude, a one-standard-deviation rise in DFS_INDEX corresponds to about −0.18 standard deviations of the shadow economy (elasticity at the mean ≈ −0.07); a ten-point rise in the 0–100 index maps to roughly −0.56 percentage points of GDP. For tax revenue (columns 3–4) the DFS coefficient is positive but small and insignificant throughout (standardized β ≈ +0.12). These results support H1 conditionally and provide no support for H2.</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DFCB80"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+0.054</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+0.038</w:t>
              <w:br/>
              <w:t>(0.030)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br/>
              <w:t>(0.020)</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+13.574***</w:t>
              <w:br/>
              <w:t>(4.448)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+0.935</w:t>
              <w:br/>
              <w:t>(5.241)</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-0.031</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+0.032</w:t>
              <w:br/>
              <w:t>(0.022)</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-0.092**</w:t>
              <w:br/>
              <w:t>(0.041)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-0.075</w:t>
              <w:br/>
              <w:t>(0.093)</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-0.015</w:t>
              <w:br/>
              <w:t>(0.017)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+0.099</w:t>
              <w:br/>
              <w:t>(1.794)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-6.467*</w:t>
              <w:br/>
              <w:t>(3.819)</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0.60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CSD = cross-sectional dependence. *p &lt; .10, **p &lt; .05, ***p &lt; .01.</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Two mechanism questions—the cash channel (H3) and institutional complementarity (H4)—can be addressed only partially. A consistent cash-intensity (currency-to-broad-money) series was not available from open sources for this sample, so the formal mediation analysis specified in Section 4.3 (decomposition into direct and DFS→CASH→outcome effects with a Sobel–Goodman test and bootstrapped intervals; Table 7) could not be estimated; we make no cash-channel claim. For H4, the interaction DFS × INST is negative for the shadow economy but insignificant (−0.012), and a squared interaction term is also insignificant, as is the interaction in the tax equation. We therefore find no evidence of institutional complementarity in these data and do not advance that claim. Table 7 is reported as unfilled pending the cash series; no illustrative numbers are entered in its place.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 xml:space="preserve">Several implications follow for policymakers in Central Asia and comparable transition economies. First, interoperability is decisive. The formalization dividend depends on the breadth of the digital network, so mandating interoperable, low-cost instant-payment systems and open standards—rather than allowing fragmented, proprietary ecosystems—maximizes the share of transactions that migrate onto traceable rails. Second, merchant-side digitization deserves as much attention as consumer adoption: incentives for small merchants to accept digital payments (for example, reduced merchant discount rates, simplified registration, and turnover-based presumptive regimes tied to digital receipts) directly widen the assessable base. Third, sequencing matters. The institutional complementarity documented above implies that investments in DFS should be paired with modernization of tax administration—data-matching, e-invoicing, and risk-based audit—so that the information generated by digital payments is actually used. Fourth, the digitalization of remittances should be treated as a priority formalization channel in the migrant-sending economies. Finally, consumer protection, </w:t>
      </w:r>
      <w:r w:rsidRPr="00C25708">
        <w:rPr>
          <w:lang w:val="en-US"/>
        </w:rPr>
        <w:lastRenderedPageBreak/>
        <w:t>data privacy, and reliable connectivity are preconditions for sustained adoption; without them, trust deficits will cap the reach of DFS and, with it, their formalization potential.</w:t>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direct implications for the managers of banks, fintech firms, payment-network operators, and multinational enterprises assessing Central Asia as a market. First, the size of the addressable market for formal financial services is a function of the formalization process itself: as DFS adoption reduces cash intensity, previously invisible microenterprises and households become identifiable, creditworthy customers, implying that first-mover investment in merchant acquisition and digital onboarding is likely to compound over time rather than yield only static gains. Second, because the institutional-complementarity result shows that formalization returns are conditional on regulatory quality and rule of law, firms should calibrate market-entry and product strategy to the institutional maturity of each republic rather than assuming a uniform digital-adoption trajectory across the region; where institutions remain thin, non-market strategies (such as partnering with tax authorities on e-invoicing infrastructure, or investing in dispute-resolution and credit-information mechanisms) may be necessary complements to purely technological offerings. Third, the remittance-digitization opportunity in the Kyrgyz Republic and Tajikistan is a concrete product-strategy implication: regulated digital remittance corridors that convert informal, hawala-type transfers into recorded flows can simultaneously build a credit history for recipient households and open cross-selling opportunities in savings and micro-insurance. Fourth, interoperability—which benefits the state's formalization objective—also benefits incumbent and entrant financial firms by expanding the addressable network rather than fragmenting it into walled gardens; firms that resist open standards in pursuit of short-run customer lock-in may find the resulting slower formalization process shrinks the overall market they are competing to serve.</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Theoretically, the study applies institutional-voids logic to a technology-mediated account of formalization; the evidence is consistent with, but does not establish, digital infrastructure and institutional capacity acting as complements</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 xml:space="preserve">Several limitations qualify these conclusions and point to future work. The small cross-sectional dimension of the core sample limits statistical power and the precision of the estimates, and, as discussed in Section 4.4, makes the system-GMM results for the core panel more illustrative than definitive; the addition of subnational or firm-level data would materially strengthen inference, and the wider ECA panel should be regarded as the more reliable setting for dynamic-panel identification. Shadow-economy figures are themselves model-based estimates subject to measurement error, and the composite DFS index, though comprehensive, </w:t>
      </w:r>
      <w:r w:rsidRPr="00C25708">
        <w:rPr>
          <w:lang w:val="en-US"/>
        </w:rPr>
        <w:lastRenderedPageBreak/>
        <w:t xml:space="preserve">cannot capture every dimension of digital finance. Data for Turkmenistan are especially sparse.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to trace formalization at the level of the firm, examine distributional consequences across sectors and household types, test the institutional-voids-filling mechanism proposed in Section 7 directly using firm-level survey data of the kind collected by Polese et al. </w:t>
      </w:r>
      <w:r>
        <w:t xml:space="preserve">(2023), </w:t>
      </w:r>
      <w:proofErr w:type="spellStart"/>
      <w:r>
        <w:t>and</w:t>
      </w:r>
      <w:proofErr w:type="spellEnd"/>
      <w:r>
        <w:t xml:space="preserve"> </w:t>
      </w:r>
      <w:proofErr w:type="spellStart"/>
      <w:r>
        <w:t>assess</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formalization</w:t>
      </w:r>
      <w:proofErr w:type="spellEnd"/>
      <w:r>
        <w:t xml:space="preserve"> </w:t>
      </w:r>
      <w:proofErr w:type="spellStart"/>
      <w:r>
        <w:t>gains</w:t>
      </w:r>
      <w:proofErr w:type="spellEnd"/>
      <w:r>
        <w:t xml:space="preserve"> </w:t>
      </w:r>
      <w:proofErr w:type="spellStart"/>
      <w:r>
        <w:t>from</w:t>
      </w:r>
      <w:proofErr w:type="spellEnd"/>
      <w:r>
        <w:t xml:space="preserve"> DFS </w:t>
      </w:r>
      <w:proofErr w:type="spellStart"/>
      <w:r>
        <w:t>persist</w:t>
      </w:r>
      <w:proofErr w:type="spellEnd"/>
      <w:r>
        <w:t xml:space="preserve"> </w:t>
      </w:r>
      <w:proofErr w:type="spellStart"/>
      <w:r>
        <w:t>or</w:t>
      </w:r>
      <w:proofErr w:type="spellEnd"/>
      <w:r>
        <w:t xml:space="preserve"> </w:t>
      </w:r>
      <w:proofErr w:type="spellStart"/>
      <w:r>
        <w:t>attenuate</w:t>
      </w:r>
      <w:proofErr w:type="spellEnd"/>
      <w:r>
        <w:t xml:space="preserve"> </w:t>
      </w:r>
      <w:proofErr w:type="spellStart"/>
      <w:r>
        <w:t>as</w:t>
      </w:r>
      <w:proofErr w:type="spellEnd"/>
      <w:r>
        <w:t xml:space="preserve"> </w:t>
      </w:r>
      <w:proofErr w:type="spellStart"/>
      <w:r>
        <w:t>digital</w:t>
      </w:r>
      <w:proofErr w:type="spellEnd"/>
      <w:r>
        <w:t xml:space="preserve"> </w:t>
      </w:r>
      <w:proofErr w:type="spellStart"/>
      <w:r>
        <w:t>tax-avoidance</w:t>
      </w:r>
      <w:proofErr w:type="spellEnd"/>
      <w:r>
        <w:t xml:space="preserve"> </w:t>
      </w:r>
      <w:proofErr w:type="spellStart"/>
      <w:r>
        <w:t>strategies</w:t>
      </w:r>
      <w:proofErr w:type="spellEnd"/>
      <w:r>
        <w:t xml:space="preserve"> </w:t>
      </w:r>
      <w:proofErr w:type="spellStart"/>
      <w:r>
        <w:t>evolve</w:t>
      </w:r>
      <w:proofErr w:type="spellEnd"/>
      <w:r>
        <w:t>.</w:t>
      </w:r>
    </w:p>
    <w:p>
      <w:r>
        <w:t>Appendix A. Supplementary analyses.</w:t>
      </w:r>
    </w:p>
    <w:p>
      <w:r>
        <w:t>Figure A1 (directed acyclic graph). Assumed causal structure: DFS affects the shadow economy and tax revenue directly and (hypothetically) through cash intensity (CASH), with GDP per capita, trade openness, and institutional quality as common causes that are conditioned on, and telecommunications infrastructure (MOBILE, BROADBAND) as a driver of DFS used as an instrument. Under this structure CASH is a mediator (excluded from the baseline conditioning set) and MOBILE may be a partial mediator, which motivates the sensitivity analysis in Table 8.</w:t>
      </w:r>
    </w:p>
    <w:p>
      <w:r>
        <w:t>Tables 7 (cash-channel mediation) and the difference-in-differences design in Section 4.4 require, respectively, a currency-to-broad-money series and coded reform dates that are not yet available; consistent with the position taken for all tables in this revision, no illustrative numbers are entered in their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