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From Cash to Compliance: Digital Financial Services and the Formalization of Central Asia's Shadow Economy</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Across eight post-Soviet transition economies (2011–2020), deeper digital-payment usage—our primary measure of DFS penetration—is associated with a smaller shadow economy in two-way fixed-effects models, conditional on income.</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association with tax revenue is statistically insignificant, and the DFS × institutions interaction is insignificant, so we advance neither a tax-base nor an institutional-complementarity claim.</w:t>
      </w:r>
    </w:p>
    <w:p w14:paraId="17AECFE4" w14:textId="77777777" w:rsidR="00F04928" w:rsidRPr="00C25708" w:rsidRDefault="00000000">
      <w:pPr>
        <w:pStyle w:val="a4"/>
        <w:numPr>
          <w:ilvl w:val="0"/>
          <w:numId w:val="2"/>
        </w:numPr>
        <w:spacing w:after="80" w:line="276" w:lineRule="auto"/>
        <w:rPr>
          <w:lang w:val="en-US"/>
        </w:rPr>
      </w:pPr>
      <w:r w:rsidRPr="00C25708">
        <w:rPr>
          <w:lang w:val="en-US"/>
        </w:rPr>
        <w:t>The negative shadow-economy association is concentrated in the earlier part of the sample (2011–2015) and is not detectable in 2016–2020.</w:t>
      </w:r>
    </w:p>
    <w:p w14:paraId="286A13B4" w14:textId="77777777" w:rsidR="00F04928" w:rsidRPr="00C25708" w:rsidRDefault="00000000">
      <w:pPr>
        <w:pStyle w:val="a4"/>
        <w:numPr>
          <w:ilvl w:val="0"/>
          <w:numId w:val="2"/>
        </w:numPr>
        <w:spacing w:after="80" w:line="276" w:lineRule="auto"/>
        <w:rPr>
          <w:lang w:val="en-US"/>
        </w:rPr>
      </w:pPr>
      <w:r w:rsidRPr="00C25708">
        <w:rPr>
          <w:lang w:val="en-US"/>
        </w:rPr>
        <w:t>The association is stable in fixed-effects and Driscoll–Kraay models but is statistically insignificant under instrumental-variable and system-GMM estimation; we therefore interpret it as a robust conditional association without causal content.</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applies institutional-voids logic to digital finance and offers cautious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Central Asia's economies carry some of the largest informal sectors among transition regions, constraining public revenue even as digital financial services (DFS)–mobile money, cards, and instant payments–rapidly diffuse. Drawing on institutional theory and the economics of tax evasion, we ask whether DFS diffusion is associated with a smaller shadow economy. For statistical power we assemble an annual panel of eight post-Soviet transition economies (2011–2020; N = 80), within which the Central Asian republics are the focal region and are examined as a subsample. The shadow economy is measured with dynamic general-equilibrium (DGE) estimates, and DFS penetration primarily by the directly observed Global Findex indicator of digital-payment usage (DIGPAY), with a principal-component composite retained only as a robustness check. In two-way fixed-effects models, deeper digital-payment usage is significantly associated with a smaller shadow economy once income is controlled (a one-standard-deviation rise corresponds to about −0.14 SD of informality). However, this association is concentrated in the earlier part of the sample (2011–2015) and disappears in later years, is insignificant under instrumental-variable and system-GMM estimation, and does not extend to tax revenue; the DFS × institutions interaction is also insignificant. We therefore interpret the evidence as a conditional association that is robust in fixed-effects specifications but does not withstand estimators that more directly address endogeneity, and we advance no causal claim. We apply–rather than claim to extend–institutional-voids logic to the digital-finance context, and draw implications for tax administrations and financial-sector strategy cautiously.</w:t>
      </w:r>
      <w:r w:rsidRPr="00C25708">
        <w:rPr>
          <w:lang w:val="en-US"/>
        </w:rPr>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of eight post-Soviet transition economies over 2011–2020—the three Central Asian republics with model-based shadow-economy estimates (Kazakhstan, the Kyrgyz Republic, Tajikistan) together with five comparable transition economies (Armenia, Azerbaijan, Georgia, Belarus, Moldova)—and measures DFS penetration primarily by digital-payment usage, with a principal-component composite as a robustness check. It relates this to the estimated size of the shadow economy and to tax revenue using two-way fixed-effects, Driscoll–Kraay, instrumental-variable, and (exploratory) dynamic system-GMM estimators, with the Central Asian republics examined as a focused subsample.</w:t>
      </w:r>
    </w:p>
    <w:p w14:paraId="677920C8" w14:textId="77777777" w:rsidR="00F04928" w:rsidRPr="00C25708" w:rsidRDefault="00000000">
      <w:pPr>
        <w:spacing w:after="200" w:line="480" w:lineRule="auto"/>
        <w:jc w:val="both"/>
        <w:rPr>
          <w:lang w:val="en-US"/>
        </w:rPr>
      </w:pPr>
      <w:r w:rsidRPr="00C25708">
        <w:rPr>
          <w:lang w:val="en-US"/>
        </w:rPr>
        <w:t xml:space="preserve">The study makes four contributions, three empirical and one theoretical. First, it provides the first focused, multi-country panel assessment of the DFS–informality nexus for Central Asia, </w:t>
      </w:r>
      <w:r w:rsidRPr="00C25708">
        <w:rPr>
          <w:lang w:val="en-US"/>
        </w:rPr>
        <w:lastRenderedPageBreak/>
        <w:t>a region that is both highly informal and rapidly digitalizing yet under-represented in the empirical literature. Second, it treats formalization as a two-sided phenomenon, jointly modelling the contraction of the shadow economy and the expansion of tax revenue, rather than inferring one from the other. Third, it examines the institutional conditions under which DFS deliver formalization gains, showing that regulatory quality and the rule of law act as complements to digital finance rather than substitutes for it. Fourth, and most directly relevant to management scholarship, it extends institutional-voids theory (Khanna &amp; Palepu, 2010) from its usual application to firm entry and strategy toward a technology-mediated account of formalization, offering a theoretical bridge between the public-finance literature on tax capacity and the international-business literature on institutions in emerging markets. The remainder of the article proceeds as follows. Section 2 reviews the relevant literature, develops the conceptual framework, and states the hypotheses. Section 3 describes the Central Asian context. Section 4 sets out the data and methodology, Section 5 presents the results, and Section 6 discusses them. Section 7 draws out the study's theoretical contribution, Section 8 develops policy and managerial implications, and Sections 9 and 10 conclude with the study's limitations and directions for future research.</w:t>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 xml:space="preserve">Figure 1 summarizes the conceptual model. DFS operate through two proximate channels—a traceability channel that raises the observability of transactions and a financial-access channel that expands the availability of formal credit to previously informal actors—both of which feed </w:t>
      </w:r>
      <w:r w:rsidRPr="00C25708">
        <w:rPr>
          <w:lang w:val="en-US"/>
        </w:rPr>
        <w:lastRenderedPageBreak/>
        <w:t>into formalization, measured here as a smaller shadow economy and a broader tax base. Institutional quality is modelled as a moderator of the overall DFS–formalization relationship rather than as a separate, additive determinant, consistent with the institutional-voids logic that technology and institutions jointly, rather than independently, determine formalization outcomes.</w:t>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the following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r>
    </w:p>
    <w:p w14:paraId="01D867E0" w14:textId="77777777" w:rsidR="00F04928" w:rsidRPr="00C25708" w:rsidRDefault="00000000">
      <w:pPr>
        <w:spacing w:after="200" w:line="480" w:lineRule="auto"/>
        <w:jc w:val="both"/>
        <w:rPr>
          <w:lang w:val="en-US"/>
        </w:rPr>
      </w:pPr>
      <w:r w:rsidRPr="00C25708">
        <w:rPr>
          <w:lang w:val="en-US"/>
        </w:rPr>
      </w:r>
    </w:p>
    <w:p w14:paraId="6615AF66" w14:textId="77777777" w:rsidR="00F04928" w:rsidRPr="00C25708" w:rsidRDefault="00000000">
      <w:pPr>
        <w:spacing w:after="200" w:line="480" w:lineRule="auto"/>
        <w:jc w:val="both"/>
        <w:rPr>
          <w:lang w:val="en-US"/>
        </w:rPr>
      </w:pPr>
      <w:r w:rsidRPr="00C25708">
        <w:rPr>
          <w:lang w:val="en-US"/>
        </w:rPr>
        <w:t>H2: The formalization association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The primary estimation sample is an annual panel of eight post-Soviet transition economies with the most complete data—Kazakhstan, the Kyrgyz Republic, Tajikistan (the Central Asian focus), together with Armenia, Azerbaijan, Georgia, Belarus, and Moldova—over 2011–2020 (N = 80). The three Central Asian republics are analysed as a focused subsample (N = 30). Because the cross-sectional dimension is modest, dynamic system-GMM is reported only as an exploratory cross-check. Uzbekistan and Turkmenistan are omitted from the DGE-based analysis because model-based shadow-economy estimates are not available for them in the World Bank informal-economy database; a self-employment-based informality proxy that does cover them is used in a robustness check. Data are drawn from public sources: World Bank World Development Indicators and the Global Findex database; the World Bank informal-economy database (Elgin et al., 2021) for the DGE shadow-economy series; the IMF Financial Access Survey for payment infrastructure; and the Worldwide Governance Indicators for institutional quality.</w:t>
      </w:r>
      <w:r w:rsidRPr="00C25708">
        <w:rPr>
          <w:lang w:val="en-US"/>
        </w:rPr>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Control variables follow the informality and tax-capacity literatures: the natural logarithm of real GDP per capita (LGDPPC) and its square to allow for non-linearity; trade openness (exports plus imports over GDP); the unemployment rate; consumer-price inflation; the ratio of personal remittances to GDP; the urbanization rate; and mobile-cellular subscriptions per 100 people as a measure of enabling telecommunications infrastructure. Institutional quality is captured by the average of the WGI regulatory-quality and rule-of-law scores (INST). Table 1 summarizes the variables and their sources.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PCA composite of account ownership, digital-payment use, and ATM density (rescaled 0–100); used as a robustness check</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t>The institutional complementarity in H2 is tested by adding an interaction term DFSit × INSTit; a positive coefficient in the TAX equation (and a negative one in the SHADOW equation) would indicate that stronger institutions amplify the formalization association of DFS.</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DFS penetration is potentially endogenous: reverse causality is possible if a shrinking informal sector encourages digital adoption, and omitted variables may influence both DFS and the outcomes. We address this in three ways. First, all regressors enter with a one-year lag to mitigate simultaneity. Second, we estimate two-step system GMM (Blundell &amp; Bond, 1998) with Windmeijer-corrected standard errors; because the panel has only eight cross-sectional units, the number of credible moment conditions is severely limited, so the system-GMM specification is reported only as an exploratory cross-check rather than a primary identification strategy, with instrument validity assessed by the Hansen and Arellano–Bond AR(2) tests. Third, as external instruments we use the rollout of mobile-network (3G/4G) coverage and fixed-broadband penetration, which plausibly drive DFS adoption, and report two-stage least-squares estimates with first-stage diagnostics. Robustness checks include the single DIGPAY indicator and the composite DFS_INDEX, the exclusion of Kazakhstan, and the Central Asian subsample.</w:t>
      </w:r>
      <w:proofErr w:type="gramStart"/>
      <w:r w:rsidRPr="00C25708">
        <w:rPr>
          <w:lang w:val="en-US"/>
        </w:rPr>
      </w:r>
      <w:proofErr w:type="gramEnd"/>
      <w:r w:rsidRPr="00C25708">
        <w:rPr>
          <w:lang w:val="en-US"/>
        </w:rPr>
      </w:r>
      <w:r w:rsidRPr="00C25708">
        <w:rPr>
          <w:lang w:val="en-US"/>
        </w:rPr>
      </w:r>
    </w:p>
    <w:p>
      <w:r>
        <w:t>We report three further identification checks. First, on pre-trends: splitting the sample into an earlier (2011–2015) and a later (2016–2020) window shows the negative DFS–shadow association in the earlier window only, cautioning that it is not stable over time (Appendix Table A1). Second, a difference-in-differences design exploiting staggered payment-system reforms (e.g., Kazakhstan's super-app-led expansion; Uzbekistan's 2017 liberalization) is a natural extension but requires reform-timing coding we leave for future work. Third, the exclusion restriction for the telecommunications instruments is not beyond question—mobile and broadband rollout could affect informality through e-commerce or information channels—so the IV estimates are treated as exploratory and, as shown in Section 5.4, are in any case statistically insignificant.</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All estimation and construction were carried out in Python 3.11: the composite DFS index and its PCA diagnostics (Table 4) with numpy/scipy/factor_analyzer; correlations (Table 3) with scipy; two-way fixed-effects and Driscoll–Kraay (kernel) models with the linearmodels package (PanelOLS); instrumental-variable 2SLS with linearmodels (IV2SLS); and system-GMM with pydynpd. Missing Global Findex values between survey years were linearly interpolated within country and residual gaps imputed by multivariate imputation (scikit-learn IterativeImputer); all imputed cells are flagged in the replication dataset. The compiled dataset and code are available from the corresponding author on request.</w:t>
      </w:r>
      <w:r w:rsidRPr="00C25708">
        <w:rPr>
          <w:lang w:val="en-US"/>
        </w:rPr>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core Central Asian panel. Two features stand out. First, informality is large and dispersed: the mean shadow economy is roughly one-third of GDP, ranging from the mid-twenties in the most formalized country-years to the mid-forties at the other extreme. Second, DFS penetration is both low on average and highly variable, reflecting the sharp within-country acceleration over the sample and the large gap between Kazakhstan and its neighbours. Tax revenue averages under one-fifth of GDP, modest by international standards and consistent with a narrow assessable base.</w:t>
      </w:r>
    </w:p>
    <w:p w14:paraId="0C6D9879" w14:textId="77777777" w:rsidR="00F04928" w:rsidRDefault="00000000">
      <w:pPr>
        <w:spacing w:before="320" w:after="80"/>
      </w:pPr>
      <w:proofErr w:type="spellStart"/>
      <w:r>
        <w:rPr>
          <w:b/>
          <w:bCs/>
          <w:i/>
          <w:iCs/>
        </w:rPr>
        <w:t>Table</w:t>
      </w:r>
      <w:proofErr w:type="spellEnd"/>
      <w:r>
        <w:rPr>
          <w:b/>
          <w:bCs/>
          <w:i/>
          <w:iCs/>
        </w:rPr>
        <w:t xml:space="preserve"> 2. </w:t>
      </w:r>
      <w:proofErr w:type="spellStart"/>
      <w:r>
        <w:rPr>
          <w:b/>
          <w:bCs/>
          <w:i/>
          <w:iCs/>
        </w:rPr>
        <w:t>Descriptive</w:t>
      </w:r>
      <w:proofErr w:type="spellEnd"/>
      <w:r>
        <w:rPr>
          <w:b/>
          <w:bCs/>
          <w:i/>
          <w:iCs/>
        </w:rPr>
        <w:t xml:space="preserve"> </w:t>
      </w:r>
      <w:proofErr w:type="spellStart"/>
      <w:r>
        <w:rPr>
          <w:b/>
          <w:bCs/>
          <w:i/>
          <w:iCs/>
        </w:rPr>
        <w:t>statistics</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 xml:space="preserve"> (2004–2022).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SHADOW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33.2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61.6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TAX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100.0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SELFEMP (% of employment)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LGDPPC (log)</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6.70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9.30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OPEN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89.5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REMIT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MOBILE (per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119.7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INST (index)</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-0.40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-1.20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80</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used in the baseline specification (Table 5, column 1). INST is the average of the WGI regulatory-quality and rule-of-law scores (approximate range −2.5 to 2.5). Sample sizes vary marginally by variable due to missing country-years, particularly for Turkmenistan.</w:t>
      </w:r>
    </w:p>
    <w:p w14:paraId="082DA3E3" w14:textId="77777777" w:rsidR="00F04928" w:rsidRDefault="00000000">
      <w:pPr>
        <w:spacing w:after="200" w:line="480" w:lineRule="auto"/>
        <w:jc w:val="both"/>
      </w:pPr>
      <w:r w:rsidRPr="00C25708">
        <w:rPr>
          <w:lang w:val="en-US"/>
        </w:rPr>
        <w:t xml:space="preserve">Table 3 reports the pairwise correlation matrix for the core variables. Consistent with the hypotheses, DFS_INDEX is negatively correlated with SHADOW and CASH and positively correlated with TAX, LGDPPC, and INST. </w:t>
      </w:r>
      <w:proofErr w:type="spellStart"/>
      <w:r>
        <w:t>Variance-inflation</w:t>
      </w:r>
      <w:proofErr w:type="spellEnd"/>
      <w:r>
        <w:t xml:space="preserve"> </w:t>
      </w:r>
      <w:proofErr w:type="spellStart"/>
      <w:r>
        <w:t>factors</w:t>
      </w:r>
      <w:proofErr w:type="spellEnd"/>
      <w:r>
        <w:t xml:space="preserve"> </w:t>
      </w:r>
      <w:proofErr w:type="spellStart"/>
      <w:r>
        <w:t>for</w:t>
      </w:r>
      <w:proofErr w:type="spellEnd"/>
      <w:r>
        <w:t xml:space="preserve"> </w:t>
      </w:r>
      <w:proofErr w:type="spellStart"/>
      <w:r>
        <w:t>the</w:t>
      </w:r>
      <w:proofErr w:type="spellEnd"/>
      <w:r>
        <w:t xml:space="preserve"> </w:t>
      </w:r>
      <w:proofErr w:type="spellStart"/>
      <w:r>
        <w:t>regressors</w:t>
      </w:r>
      <w:proofErr w:type="spellEnd"/>
      <w:r>
        <w:t xml:space="preserve"> </w:t>
      </w:r>
      <w:proofErr w:type="spellStart"/>
      <w:r>
        <w:t>are</w:t>
      </w:r>
      <w:proofErr w:type="spellEnd"/>
      <w:r>
        <w:t xml:space="preserve"> </w:t>
      </w:r>
      <w:proofErr w:type="spellStart"/>
      <w:r>
        <w:t>below</w:t>
      </w:r>
      <w:proofErr w:type="spellEnd"/>
      <w:r>
        <w:t xml:space="preserve"> </w:t>
      </w:r>
      <w:proofErr w:type="spellStart"/>
      <w:r>
        <w:t>conventional</w:t>
      </w:r>
      <w:proofErr w:type="spellEnd"/>
      <w:r>
        <w:t xml:space="preserve"> </w:t>
      </w:r>
      <w:proofErr w:type="spellStart"/>
      <w:r>
        <w:t>thresholds</w:t>
      </w:r>
      <w:proofErr w:type="spellEnd"/>
      <w:r>
        <w:t xml:space="preserve">, </w:t>
      </w:r>
      <w:proofErr w:type="spellStart"/>
      <w:r>
        <w:t>and</w:t>
      </w:r>
      <w:proofErr w:type="spellEnd"/>
      <w:r>
        <w:t xml:space="preserve"> </w:t>
      </w:r>
      <w:proofErr w:type="spellStart"/>
      <w:r>
        <w:t>the</w:t>
      </w:r>
      <w:proofErr w:type="spellEnd"/>
      <w:r>
        <w:t xml:space="preserve"> GDP-</w:t>
      </w:r>
      <w:proofErr w:type="spellStart"/>
      <w:r>
        <w:t>per</w:t>
      </w:r>
      <w:proofErr w:type="spellEnd"/>
      <w:r>
        <w:t>-</w:t>
      </w:r>
      <w:proofErr w:type="spellStart"/>
      <w:r>
        <w:t>capita</w:t>
      </w:r>
      <w:proofErr w:type="spellEnd"/>
      <w:r>
        <w:t xml:space="preserve"> </w:t>
      </w:r>
      <w:proofErr w:type="spellStart"/>
      <w:r>
        <w:t>term</w:t>
      </w:r>
      <w:proofErr w:type="spellEnd"/>
      <w:r>
        <w:t xml:space="preserve">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control</w:t>
      </w:r>
      <w:proofErr w:type="spellEnd"/>
      <w:r>
        <w:t xml:space="preserve"> </w:t>
      </w:r>
      <w:proofErr w:type="spellStart"/>
      <w:r>
        <w:t>that</w:t>
      </w:r>
      <w:proofErr w:type="spellEnd"/>
      <w:r>
        <w:t xml:space="preserve"> </w:t>
      </w:r>
      <w:proofErr w:type="spellStart"/>
      <w:r>
        <w:t>approaches</w:t>
      </w:r>
      <w:proofErr w:type="spellEnd"/>
      <w:r>
        <w:t xml:space="preserve"> </w:t>
      </w:r>
      <w:proofErr w:type="spellStart"/>
      <w:r>
        <w:t>high</w:t>
      </w:r>
      <w:proofErr w:type="spellEnd"/>
      <w:r>
        <w:t xml:space="preserve"> </w:t>
      </w:r>
      <w:proofErr w:type="spellStart"/>
      <w:r>
        <w:t>collinearity</w:t>
      </w:r>
      <w:proofErr w:type="spellEnd"/>
      <w:r>
        <w:t xml:space="preserve">, </w:t>
      </w:r>
      <w:proofErr w:type="spellStart"/>
      <w:r>
        <w:t>which</w:t>
      </w:r>
      <w:proofErr w:type="spellEnd"/>
      <w:r>
        <w:t xml:space="preserve"> </w:t>
      </w:r>
      <w:proofErr w:type="spellStart"/>
      <w:r>
        <w:t>the</w:t>
      </w:r>
      <w:proofErr w:type="spellEnd"/>
      <w:r>
        <w:t xml:space="preserve"> </w:t>
      </w:r>
      <w:proofErr w:type="spellStart"/>
      <w:r>
        <w:t>fixed-effects</w:t>
      </w:r>
      <w:proofErr w:type="spellEnd"/>
      <w:r>
        <w:t xml:space="preserve"> </w:t>
      </w:r>
      <w:proofErr w:type="spellStart"/>
      <w:r>
        <w:t>specification</w:t>
      </w:r>
      <w:proofErr w:type="spellEnd"/>
      <w:r>
        <w:t xml:space="preserve"> </w:t>
      </w:r>
      <w:proofErr w:type="spellStart"/>
      <w:r>
        <w:t>helps</w:t>
      </w:r>
      <w:proofErr w:type="spellEnd"/>
      <w:r>
        <w:t xml:space="preserve"> </w:t>
      </w:r>
      <w:proofErr w:type="spellStart"/>
      <w:r>
        <w:t>absorb</w:t>
      </w:r>
      <w:proofErr w:type="spellEnd"/>
      <w:r>
        <w:t>.</w:t>
      </w:r>
    </w:p>
    <w:p w14:paraId="59F4F7A2" w14:textId="77777777" w:rsidR="00F04928" w:rsidRDefault="00000000">
      <w:pPr>
        <w:spacing w:before="320" w:after="80"/>
      </w:pPr>
      <w:proofErr w:type="spellStart"/>
      <w:r>
        <w:rPr>
          <w:b/>
          <w:bCs/>
          <w:i/>
          <w:iCs/>
        </w:rPr>
        <w:t>Table</w:t>
      </w:r>
      <w:proofErr w:type="spellEnd"/>
      <w:r>
        <w:rPr>
          <w:b/>
          <w:bCs/>
          <w:i/>
          <w:iCs/>
        </w:rPr>
        <w:t xml:space="preserve"> 3. </w:t>
      </w:r>
      <w:proofErr w:type="spellStart"/>
      <w:r>
        <w:rPr>
          <w:b/>
          <w:bCs/>
          <w:i/>
          <w:iCs/>
        </w:rPr>
        <w:t>Pairwise</w:t>
      </w:r>
      <w:proofErr w:type="spellEnd"/>
      <w:r>
        <w:rPr>
          <w:b/>
          <w:bCs/>
          <w:i/>
          <w:iCs/>
        </w:rPr>
        <w:t xml:space="preserve"> </w:t>
      </w:r>
      <w:proofErr w:type="spellStart"/>
      <w:r>
        <w:rPr>
          <w:b/>
          <w:bCs/>
          <w:i/>
          <w:iCs/>
        </w:rPr>
        <w:t>correlation</w:t>
      </w:r>
      <w:proofErr w:type="spellEnd"/>
      <w:r>
        <w:rPr>
          <w:b/>
          <w:bCs/>
          <w:i/>
          <w:iCs/>
        </w:rPr>
        <w:t xml:space="preserve"> </w:t>
      </w:r>
      <w:proofErr w:type="spellStart"/>
      <w:r>
        <w:rPr>
          <w:b/>
          <w:bCs/>
          <w:i/>
          <w:iCs/>
        </w:rPr>
        <w:t>matrix</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+0.78***</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estimated on the final eight-country transition panel (N = 80); *p &lt; .10, **p &lt; .05, ***p &lt; .01. CASH is reported as "n.a." because a consistent currency-to-broad-money series was not available from open sources. DFS_INDEX is the first principal component of account ownership, digital-payment use, and ATM density (Table 4). Note that these are raw (between-and-within) correlations; the fixed-effects estimates in Table 5 exploit within-country variation and can therefore differ in sign from the pooled correlations reported here.</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Because the composite index is constrained by data availability (only three indicators, KMO = 0.519), our primary specification uses the directly observed Global Findex indicator DIGPAY (percentage of adults using digital payments). This measure captures the behavioural dimension of DFS most closely tied to transaction traceability, and avoids the construct-validity limitations of the composite. The composite DFS_INDEX is retained as a robustness check (Table 6), where it yields results of the same sign and significance. Table 4 reports the PCA diagnostics for the composite.</w:t>
      </w:r>
      <w:r w:rsidRPr="00C25708">
        <w:rPr>
          <w:lang w:val="en-US"/>
        </w:rPr>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0.519</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346.47, df = 3, p &lt; .001</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2.514</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83.8</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0.977</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0.953</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0.807 (ATM density; POS unavailable)</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 (data unavailable)</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Principal-component analysis on the final eight-country panel (N = 80). Because open data on point-of-sale terminals and cashless-transaction value were unavailable, the composite uses three indicators—account ownership, digital-payment use, and ATM density; the cashless-value loading is "n.a." The KMO statistic (0.52) is modest, as is common with three indicators, but a single component with an eigenvalue of 2.51 explains 83.8% of the variance with uniformly high loadings, supporting DFS_INDEX as a coherent composite.</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Table 5 presents the two-way fixed-effects estimates with DIGPAY as the primary regressor. The association depends on conditioning: with no controls the within-country DIGPAY coefficient is small and insignificant (column 1, +0.063), but once log GDP per capita and the remaining controls are included it turns negative and significant (column 2, −0.051, p &lt; .05). Because digital-payment usage and income are correlated, the association is identified holding development constant rather than unconditionally. A one-standard-deviation rise in DIGPAY corresponds to about −0.14 standard deviations of the shadow economy. At the sample mean, the implied elasticity is −0.04: a 1% increase in digital-payment usage is associated with roughly a 0.04% decrease in the shadow economy. This modest elasticity underscores that, while the association is statistically significant, its economic magnitude is small. For tax revenue (columns 3–4) the DIGPAY coefficient is positive but insignificant in every specification; the tax hypothesis is therefore rejected. Estimates using the composite DFS_INDEX are of the same sign and significance (Table 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+0.063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-0.051**</w:t>
              <w:br/>
              <w:t>(0.023)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+0.040</w:t>
              <w:br/>
              <w:t>(0.028)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+0.013</w:t>
              <w:br/>
              <w:t>(0.032)</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+12.285***</w:t>
              <w:br/>
              <w:t>(3.967)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+1.765</w:t>
              <w:br/>
              <w:t>(5.813)</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-0.028</w:t>
              <w:br/>
              <w:t>(0.019)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+0.030</w:t>
              <w:br/>
              <w:t>(0.023)</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-0.103**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-0.071</w:t>
              <w:br/>
              <w:t>(0.095)</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-0.014</w:t>
              <w:b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-0.024</w:t>
              <w:br/>
              <w:t>(0.043)</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+0.195</w:t>
              <w:br/>
              <w:t>(1.789)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-6.492*</w:t>
              <w:br/>
              <w:t>(3.783)</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0.59</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0.20</w:t>
            </w:r>
          </w:p>
        </w:tc>
      </w:tr>
    </w:tbl>
    <w:p w14:paraId="0BAF9D1E" w14:textId="77777777" w:rsidR="00F04928" w:rsidRDefault="00000000">
      <w:pPr>
        <w:spacing w:before="100" w:after="260"/>
      </w:pPr>
      <w:r w:rsidRPr="00C25708">
        <w:rPr>
          <w:i/>
          <w:iCs/>
          <w:sz w:val="20"/>
          <w:szCs w:val="20"/>
          <w:lang w:val="en-US"/>
        </w:rPr>
        <w:t xml:space="preserve">Note. Dependent variables as indicated by column headers. Country-clustered standard errors in parentheses. </w:t>
      </w:r>
      <w:r>
        <w:rPr>
          <w:i/>
          <w:iCs/>
          <w:sz w:val="20"/>
          <w:szCs w:val="20"/>
        </w:rPr>
        <w:t xml:space="preserve">*p </w:t>
      </w:r>
      <w:proofErr w:type="gramStart"/>
      <w:r>
        <w:rPr>
          <w:i/>
          <w:iCs/>
          <w:sz w:val="20"/>
          <w:szCs w:val="20"/>
        </w:rPr>
        <w:t>&lt; .</w:t>
      </w:r>
      <w:proofErr w:type="gramEnd"/>
      <w:r>
        <w:rPr>
          <w:i/>
          <w:iCs/>
          <w:sz w:val="20"/>
          <w:szCs w:val="20"/>
        </w:rPr>
        <w:t xml:space="preserve">10, **p </w:t>
      </w:r>
      <w:proofErr w:type="gramStart"/>
      <w:r>
        <w:rPr>
          <w:i/>
          <w:iCs/>
          <w:sz w:val="20"/>
          <w:szCs w:val="20"/>
        </w:rPr>
        <w:t>&lt; .</w:t>
      </w:r>
      <w:proofErr w:type="gramEnd"/>
      <w:r>
        <w:rPr>
          <w:i/>
          <w:iCs/>
          <w:sz w:val="20"/>
          <w:szCs w:val="20"/>
        </w:rPr>
        <w:t xml:space="preserve">05, ***p </w:t>
      </w:r>
      <w:proofErr w:type="gramStart"/>
      <w:r>
        <w:rPr>
          <w:i/>
          <w:iCs/>
          <w:sz w:val="20"/>
          <w:szCs w:val="20"/>
        </w:rPr>
        <w:t>&lt; .</w:t>
      </w:r>
      <w:proofErr w:type="gramEnd"/>
      <w:r>
        <w:rPr>
          <w:i/>
          <w:iCs/>
          <w:sz w:val="20"/>
          <w:szCs w:val="20"/>
        </w:rPr>
        <w:t xml:space="preserve">01. </w:t>
      </w:r>
      <w:proofErr w:type="spellStart"/>
      <w:r>
        <w:rPr>
          <w:i/>
          <w:iCs/>
          <w:sz w:val="20"/>
          <w:szCs w:val="20"/>
        </w:rPr>
        <w:t>Coefficients</w:t>
      </w:r>
      <w:proofErr w:type="spellEnd"/>
      <w:r>
        <w:rPr>
          <w:i/>
          <w:iCs/>
          <w:sz w:val="20"/>
          <w:szCs w:val="20"/>
        </w:rPr>
        <w:t xml:space="preserve"> </w:t>
      </w:r>
      <w:proofErr w:type="spellStart"/>
      <w:r>
        <w:rPr>
          <w:i/>
          <w:iCs/>
          <w:sz w:val="20"/>
          <w:szCs w:val="20"/>
        </w:rPr>
        <w:t>on</w:t>
      </w:r>
      <w:proofErr w:type="spellEnd"/>
      <w:r>
        <w:rPr>
          <w:i/>
          <w:iCs/>
          <w:sz w:val="20"/>
          <w:szCs w:val="20"/>
        </w:rPr>
        <w:t xml:space="preserve"> UNEMP, URBAN, </w:t>
      </w:r>
      <w:proofErr w:type="spellStart"/>
      <w:r>
        <w:rPr>
          <w:i/>
          <w:iCs/>
          <w:sz w:val="20"/>
          <w:szCs w:val="20"/>
        </w:rPr>
        <w:t>and</w:t>
      </w:r>
      <w:proofErr w:type="spellEnd"/>
      <w:r>
        <w:rPr>
          <w:i/>
          <w:iCs/>
          <w:sz w:val="20"/>
          <w:szCs w:val="20"/>
        </w:rPr>
        <w:t xml:space="preserve"> MOBILE </w:t>
      </w:r>
      <w:proofErr w:type="spellStart"/>
      <w:r>
        <w:rPr>
          <w:i/>
          <w:iCs/>
          <w:sz w:val="20"/>
          <w:szCs w:val="20"/>
        </w:rPr>
        <w:t>are</w:t>
      </w:r>
      <w:proofErr w:type="spellEnd"/>
      <w:r>
        <w:rPr>
          <w:i/>
          <w:iCs/>
          <w:sz w:val="20"/>
          <w:szCs w:val="20"/>
        </w:rPr>
        <w:t xml:space="preserve"> </w:t>
      </w:r>
      <w:proofErr w:type="spellStart"/>
      <w:r>
        <w:rPr>
          <w:i/>
          <w:iCs/>
          <w:sz w:val="20"/>
          <w:szCs w:val="20"/>
        </w:rPr>
        <w:t>included</w:t>
      </w:r>
      <w:proofErr w:type="spellEnd"/>
      <w:r>
        <w:rPr>
          <w:i/>
          <w:iCs/>
          <w:sz w:val="20"/>
          <w:szCs w:val="20"/>
        </w:rPr>
        <w:t xml:space="preserve"> </w:t>
      </w:r>
      <w:proofErr w:type="spellStart"/>
      <w:r>
        <w:rPr>
          <w:i/>
          <w:iCs/>
          <w:sz w:val="20"/>
          <w:szCs w:val="20"/>
        </w:rPr>
        <w:t>in</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full</w:t>
      </w:r>
      <w:proofErr w:type="spellEnd"/>
      <w:r>
        <w:rPr>
          <w:i/>
          <w:iCs/>
          <w:sz w:val="20"/>
          <w:szCs w:val="20"/>
        </w:rPr>
        <w:t xml:space="preserve"> </w:t>
      </w:r>
      <w:proofErr w:type="spellStart"/>
      <w:r>
        <w:rPr>
          <w:i/>
          <w:iCs/>
          <w:sz w:val="20"/>
          <w:szCs w:val="20"/>
        </w:rPr>
        <w:t>specification</w:t>
      </w:r>
      <w:proofErr w:type="spellEnd"/>
      <w:r>
        <w:rPr>
          <w:i/>
          <w:iCs/>
          <w:sz w:val="20"/>
          <w:szCs w:val="20"/>
        </w:rPr>
        <w:t xml:space="preserve"> </w:t>
      </w:r>
      <w:proofErr w:type="spellStart"/>
      <w:r>
        <w:rPr>
          <w:i/>
          <w:iCs/>
          <w:sz w:val="20"/>
          <w:szCs w:val="20"/>
        </w:rPr>
        <w:t>but</w:t>
      </w:r>
      <w:proofErr w:type="spellEnd"/>
      <w:r>
        <w:rPr>
          <w:i/>
          <w:iCs/>
          <w:sz w:val="20"/>
          <w:szCs w:val="20"/>
        </w:rPr>
        <w:t xml:space="preserve"> </w:t>
      </w:r>
      <w:proofErr w:type="spellStart"/>
      <w:r>
        <w:rPr>
          <w:i/>
          <w:iCs/>
          <w:sz w:val="20"/>
          <w:szCs w:val="20"/>
        </w:rPr>
        <w:t>suppressed</w:t>
      </w:r>
      <w:proofErr w:type="spellEnd"/>
      <w:r>
        <w:rPr>
          <w:i/>
          <w:iCs/>
          <w:sz w:val="20"/>
          <w:szCs w:val="20"/>
        </w:rPr>
        <w:t xml:space="preserve"> </w:t>
      </w:r>
      <w:proofErr w:type="spellStart"/>
      <w:r>
        <w:rPr>
          <w:i/>
          <w:iCs/>
          <w:sz w:val="20"/>
          <w:szCs w:val="20"/>
        </w:rPr>
        <w:t>from</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table</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space</w:t>
      </w:r>
      <w:proofErr w:type="spellEnd"/>
      <w:r>
        <w:rPr>
          <w:i/>
          <w:iCs/>
          <w:sz w:val="20"/>
          <w:szCs w:val="20"/>
        </w:rPr>
        <w:t>.</w:t>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Table 6 summarizes the robustness and endogeneity analysis for the DFS coefficient. The negative shadow-economy association is stable under Driscoll–Kraay standard errors (−0.056, p &lt; .10), larger when Kazakhstan is excluded (−0.084, p &lt; .01), present in the Central Asian subsample (−0.026, p &lt; .05), and reproduced when the single DIGPAY indicator replaces the composite (−0.051, p &lt; .05). It is not, however, robust to estimators that target endogeneity: the instrumental-variables estimate (mobile-network and broadband rollout) is negative but insignificant (−0.018), and the system-GMM estimate is small, positive, and insignificant (+0.027). The GMM diagnostics are themselves unreliable—the Hansen statistic is degenerate (p = 1.00) because the instrument count (57) far exceeds the eight groups—which is exactly why, per Section 4.4, the dynamic-panel results are exploratory. Across the tax equations the DFS coefficient is insignificant under every estimator. The evidence is thus best described as a robust conditional association whose causal interpretation remains suggestive.</w:t>
      </w:r>
      <w:r w:rsidRPr="00C25708">
        <w:rPr>
          <w:lang w:val="en-US"/>
        </w:rPr>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p>
      <w:r>
        <w:t>Table A1 (pre-trends). Dependent variable: shadow economy (% of GDP). Earlier window 2011–2015: DFS_INDEX = −0.090 (SE 0.035, p &lt; .05; N = 40). Later window 2016–2020: DFS_INDEX = −0.008 (SE 0.019, n.s.; N = 40). Two-way fixed effects, full controls. The association is concentrated in the earlier window and is not stable over time—a caution rather than a clean placebo result.</w:t>
      </w:r>
    </w:p>
    <w:p>
      <w:r>
        <w:t>Table 8 (control-set sensitivity). Dependent variable: shadow economy; DFS_INDEX coefficient. Full controls −0.056 (p &lt; .05); adding MOBILE −0.055 (p &lt; .10); dropping REMIT −0.063 (p &lt; .05); dropping INFL −0.056 (p &lt; .05); parsimonious set (LGDPPC, OPEN, INST) plus MOBILE −0.063 (p &lt; .05). The coefficient is stable across control sets as long as GDP per capita is included; it is the inclusion of income—not of MOBILE, REMIT, or INFL—that matters. Because MOBILE, REMIT, and INFL may lie on the causal pathway between DFS and informality, the preferred specification is read with that caveat, and the assumed causal structure is set out as a directed acyclic graph in Appendix Figure A1.</w:t>
      </w:r>
    </w:p>
    <w:p>
      <w:r>
        <w:t>Figure 2 (marginal effects). The marginal effect of DFS on the shadow economy across the observed institutional range (INST ≈ −1.2 to +0.7) is negative throughout, but its 95% confidence interval includes zero over most of the range, consistent with the insignificant DFS × INST interaction; the marginal effect on tax revenue is indistinguishable from zero. The figure does not support an institutional-complementarity 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(baseline, full panel)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 = 80; within-country FE</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Driscoll–Kraay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CSD-robust standard errors</w:t>
            </w:r>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System GMM (exploratory — see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Hansen p = 1.00 (instrument proliferation, 57 instr./8 groups → unreliable); AR(2) p = .60</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IV (2SLS: mobile/broadband)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Effect insignificant under IV</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Excl. Kazakhstan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Drop largest economy</w:t>
            </w:r>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Central Asia subsample (N = 30)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Focus region</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*p &lt; .10, **p &lt; .05, ***p &lt; .01. Because the IV and system-GMM estimates are statistically insignificant, the fixed-effects results should be read as descriptive associations, not causal effects; the paper does not claim that DFS causes formalization.</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We originally hypothesised that reduced cash intensity mediates the DFS–informality association. However, a consistent currency-to-broad-money series was unavailable for this sample, so we do not test the mediation channel; it remains an important avenue for future research when data become available. For institutional complementarity (H2), the interaction DIGPAY × INST is negative for the shadow economy but statistically insignificant, and a squared interaction term is also insignificant, as is the interaction in the tax equation. We therefore find no evidence that stronger institutions amplify the association and advance no complementarity claim; Figure 2 confirms that the marginal effect of DFS is not distinguishable from zero over most of the observed institutional range.</w:t>
      </w:r>
      <w:r w:rsidRPr="00C25708">
        <w:rPr>
          <w:lang w:val="en-US"/>
        </w:rPr>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is consistent with digital financial services acting as a formalization technology, but it is more qualified than a strong reading would suggest. Deeper DFS penetration is robustly associated with a smaller shadow economy in fixed-effects and Driscoll–Kraay models and across subsamples, conditional on income. That association does not survive as a clean causal estimate: it is insignificant under instrumental-variable and dynamic-panel estimation, is concentrated in the earlier part of the sample, and does not extend to tax revenue. It is therefore best summarized as a robust conditional correlation with suggestive rather than conclusive causal content.</w:t>
      </w:r>
    </w:p>
    <w:p>
      <w:r>
        <w:t>A notable caveat is the temporal instability of the association. The negative DFS–shadow coefficient is present only in the 2011–2015 window and vanishes in 2016–2020. This suggests the effect may be period-specific—possibly reflecting early-stage digitalization, when the marginal informal-to-formal transition was largest, or confounding shocks such as commodity-price volatility. The absence of an effect in 2016–2020 cautions against interpreting DFS as a permanent or structural formalization driver, and longer panels are needed to test whether the pattern is replicated.</w:t>
      </w:r>
    </w:p>
    <w:p>
      <w:r>
        <w:t>When the sample is restricted to the three Central Asian republics with DGE estimates (Kazakhstan, the Kyrgyz Republic, Tajikistan), the negative DFS–shadow association remains statistically significant (−0.026, p &lt; .05), though smaller than in the full eight-country panel. The association therefore holds within the focal region, but its economic size is modest—plausibly reflecting narrower cross-country variation or the region's specific institutional and economic characteristics.</w:t>
      </w:r>
    </w:p>
    <w:p w14:paraId="55A108D8" w14:textId="77777777" w:rsidR="00F04928" w:rsidRPr="00C25708" w:rsidRDefault="00000000">
      <w:pPr>
        <w:spacing w:after="200" w:line="480" w:lineRule="auto"/>
        <w:jc w:val="both"/>
        <w:rPr>
          <w:lang w:val="en-US"/>
        </w:rPr>
      </w:pPr>
      <w:r w:rsidRPr="00C25708">
        <w:rPr>
          <w:lang w:val="en-US"/>
        </w:rPr>
        <w:t>The mechanism evidence is limited. The cash channel could not be tested for want of a cash-intensity series, and the DFS × institutions interaction that would indicate complementarity is statistically insignificant. We accordingly refrain from the stronger mechanism and complementarity claims and treat them as open questions. Two data limitations reinforce this caution: the shadow economy is model-based, so measurement error—if largely classical—attenuates coefficients toward zero and the true association may be somewhat larger than estimated; and DGE estimates are unavailable for Uzbekistan and Turkmenistan, so the analysis rests on eight economies with complete data, the three DGE-covered Central Asian republics being examined as a subsample.</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contribution to theory is to apply institutional-voids logic (Khanna &amp; Palepu, 2010; Meyer et al., 2009) to the digital-finance context rather than to claim a wholesale extension of it. The pattern we document—deeper shared payment infrastructure accompanying a smaller informal sector, conditional on income—is consistent with the idea that digital rails can partially substitute for firm-specific institutional bridging by generating verifiable information as a by-product of transacting. While our aggregate design cannot directly test this firm-level mechanism, the aggregate patterns are consistent with the institutional-voids-filling interpretation.</w:t>
      </w:r>
    </w:p>
    <w:p w14:paraId="6D190AB1" w14:textId="77777777" w:rsidR="00F04928" w:rsidRPr="00C25708" w:rsidRDefault="00000000">
      <w:pPr>
        <w:spacing w:after="200" w:line="480" w:lineRule="auto"/>
        <w:jc w:val="both"/>
        <w:rPr>
          <w:lang w:val="en-US"/>
        </w:rPr>
      </w:pPr>
      <w:r w:rsidRPr="00C25708">
        <w:rPr>
          <w:lang w:val="en-US"/>
        </w:rPr>
        <w:t>At the same time, we do not find the institutional-complementarity effect that a stronger version of the argument would predict: the DFS × institutions interaction is statistically insignificant in our data. Whether complementarity emerges with richer data, longer panels, or firm-level evidence is an open and testable question, and we flag it as a priority for future international-business research.</w:t>
      </w:r>
      <w:r w:rsidRPr="00C25708">
        <w:rPr>
          <w:lang w:val="en-US"/>
        </w:rPr>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Our results do not support the hypothesis that stronger institutions amplify the DFS–formalization association, and we find no evidence that DFS raises tax revenue. Consequently, policymakers should not assume that investments in DFS will automatically yield larger returns where institutions are better, or that they will mechanically broaden the tax base. The primary implications are narrower: (i) interoperability and merchant digitization may be important prerequisites for transaction traceability, though neither is directly tested in our data; (ii) consumer protection, data privacy, and reliable connectivity build the trust that sustains digital adoption; and (iii) remittance digitalization in migrant-sending economies offers a promising route to increase the financial visibility of previously cash-based flows. Because we do not find a tax-revenue effect, DFS is best treated as a source of information that tax administrations must independently pair with enforcement capacity to convert visibility into compliance.</w:t>
      </w:r>
      <w:r w:rsidRPr="00C25708">
        <w:rPr>
          <w:lang w:val="en-US"/>
        </w:rPr>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implications for banks, fintech firms, and payment-network operators. Although we find no evidence of institutional complementarity, firms should still calibrate market entry to local institutional conditions—not because institutions amplify the DFS effect, but because thin institutions affect overall business risk and payment-system reliability independently of DFS penetration. As DFS adoption reduces cash intensity, previously invisible microenterprises and households become more identifiable, which can expand the addressable market for formal financial services over time, and interoperable, open payment standards enlarge that market rather than fragmenting it. The remittance-digitization opportunity in the migrant-sending economies is a concrete product-strategy implication, converting informal transfers into recorded flows that can support household credit histories.</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rsidRPr="00C25708">
        <w:rPr>
          <w:lang w:val="en-US"/>
        </w:rPr>
        <w:t>This study asked whether the diffusion of digital financial services has accompanied a smaller shadow economy across post-Soviet transition economies, with Central Asia as the focal region. Using an annual panel of eight economies (2011–2020), digital-payment usage is robustly associated with a smaller informal sector in fixed-effects and Driscoll–Kraay models, conditional on income, but the association is concentrated in the earlier part of the sample, does not extend to tax revenue, and is statistically insignificant under instrumental-variable and system-GMM estimation. The evidence is consistent with a correlation, but the absence of robust IV/GMM results means we cannot rule out omitted-variable or reverse-causality explanations; no causal claim is advanced, and the formalization hypothesis remains to be tested with stronger identification. Theoretically, the study applies institutional-voids logic to a technology-mediated account of formalization; the evidence is consistent with, but does not establish, digital infrastructure and institutional capacity acting as complements—indeed we find no significant interaction between them.</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Several limitations qualify these conclusions and point to future work. The modest cross-sectional dimension (eight economies) limits statistical power and, as discussed in Section 4.4, makes the system-GMM results illustrative rather than definitive; the addition of subnational or firm-level data, or longer panels, would materially strengthen inference. Shadow-economy figures are themselves model-based estimates subject to measurement error, and DGE estimates are unavailable for Uzbekistan and Turkmenistan.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examine distributional consequences, test the institutional-voids mechanism directly with firm-level survey data (Polese et al., 2023), and assess whether the early-period association is replicated in longer panels.</w:t>
      </w:r>
      <w:r w:rsidRPr="00C25708">
        <w:rPr>
          <w:lang w:val="en-U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t>Appendix A. Supplementary analyses.</w:t>
      </w:r>
    </w:p>
    <w:p>
      <w:r>
        <w:t>Figure A1 (directed acyclic graph). Simplified causal diagram for the baseline specification: DFS → SHADOW; GDP per capita → DFS and GDP per capita → SHADOW; INST → SHADOW; OPEN → SHADOW. MOBILE, REMIT, and INFL are included as additional controls but are not assumed to lie on the primary causal pathway; consistent with this, Table 8 shows the DFS coefficient is essentially unchanged when they are added or removed.</w:t>
      </w:r>
    </w:p>
    <w:p>
      <w:r>
        <w:t>The difference-in-differences design outlined in Section 4.4 requires coded reform dates that are not yet available; consistent with the position taken throughout this revision, no illustrative numbers are reported in its place.</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