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and the Formalization of Central Asia's Shadow Economy</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(2011–2020), deeper digital-payment usage—our primary measure of DFS penetration—is associated with a smaller shadow economy in two-way fixed-effects models, conditional on income.</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statistically insignificant, and the DFS × institutions interaction is insignificant, so we advance neither a tax-base nor an institutional-complementarity claim.</w:t>
      </w:r>
    </w:p>
    <w:p w14:paraId="17AECFE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concentrated in the earlier part of the sample (2011–2015) and is not detectable in 2016–2020.</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association is stable in fixed-effects and Driscoll–Kraay models but is statistically insignificant under instrumental-variable and system-GMM estimation; we therefore interpret it as a robust conditional association without causal content.</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Central Asia's economies carry some of the largest informal sectors among transition regions, constraining public revenue even as digital financial services (DFS)–mobile money, cards, and instant payments–rapidly diffuse. Drawing on institutional theory and the economics of tax evasion, we ask whether DFS diffusion is associated with a smaller shadow economy. For statistical power we assemble an annual panel of eight post-Soviet transition economies (2011–2020; N = 80), within which the Central Asian republics are the focal region and are examined as a subsample. The shadow economy is measured with dynamic general-equilibrium (DGE) estimates, and DFS penetration primarily by the directly observed Global Findex indicator of digital-payment usage (DIGPAY), with a principal-component composite retained only as a robustness check. In two-way fixed-effects models, deeper digital-payment usage is significantly associated with a smaller shadow economy once income is controlled (a one-standard-deviation rise corresponds to about −0.14 SD of informality). However, this association is concentrated in the earlier part of the sample (2011–2015) and disappears in later years, is insignificant under instrumental-variable and system-GMM estimation, and does not extend to tax revenue; the DFS × institutions interaction is also insignificant. We therefore interpret the evidence as a conditional association that is robust in fixed-effects specifications but does not withstand estimators that more directly address endogeneity, and we advance no causal claim. We apply–rather than claim to extend–institutional-voids logic to the digital-finance context, and draw implications for tax administrations and financial-sector strategy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of eight post-Soviet transition economies over 2011–2020—the three Central Asian republics with model-based shadow-economy estimates (Kazakhstan, the Kyrgyz Republic, Tajikistan) together with five comparable transition economies (Armenia, Azerbaijan, Georgia, Belarus, Moldova)—and measures DFS penetration primarily by digital-payment usage, with a principal-component composite as a robustness check. It relates this to the estimated size of the shadow economy and to tax revenue using two-way fixed-effects, Driscoll–Kraay, instrumental-variable, and (exploratory) dynamic system-GMM estimators, with the Central Asian republics examined as a focused subsample.</w:t>
      </w:r>
    </w:p>
    <w:p w14:paraId="677920C8" w14:textId="77777777" w:rsidR="00F04928" w:rsidRPr="00C25708" w:rsidRDefault="00000000">
      <w:pPr>
        <w:spacing w:after="200" w:line="480" w:lineRule="auto"/>
        <w:jc w:val="both"/>
        <w:rPr>
          <w:lang w:val="en-US"/>
        </w:rPr>
      </w:pPr>
      <w:r w:rsidRPr="00C25708">
        <w:rPr>
          <w:lang w:val="en-US"/>
        </w:rPr>
        <w:t xml:space="preserve">The study makes four contributions, three empirical and one theoretical. First, it provides the first focused, multi-country panel assessment of the DFS–informality nexus for Central Asia, </w:t>
      </w:r>
      <w:r w:rsidRPr="00C25708">
        <w:rPr>
          <w:lang w:val="en-US"/>
        </w:rPr>
        <w:lastRenderedPageBreak/>
        <w:t>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the following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r>
    </w:p>
    <w:p w14:paraId="01D867E0" w14:textId="77777777" w:rsidR="00F04928" w:rsidRPr="00C25708" w:rsidRDefault="00000000">
      <w:pPr>
        <w:spacing w:after="200" w:line="480" w:lineRule="auto"/>
        <w:jc w:val="both"/>
        <w:rPr>
          <w:lang w:val="en-US"/>
        </w:rPr>
      </w:pPr>
      <w:r w:rsidRPr="00C25708">
        <w:rPr>
          <w:lang w:val="en-US"/>
        </w:rPr>
      </w:r>
    </w:p>
    <w:p w14:paraId="6615AF66" w14:textId="77777777" w:rsidR="00F04928" w:rsidRPr="00C25708" w:rsidRDefault="00000000">
      <w:pPr>
        <w:spacing w:after="200" w:line="480" w:lineRule="auto"/>
        <w:jc w:val="both"/>
        <w:rPr>
          <w:lang w:val="en-US"/>
        </w:rPr>
      </w:pPr>
      <w:r w:rsidRPr="00C25708">
        <w:rPr>
          <w:lang w:val="en-US"/>
        </w:rPr>
        <w:t>H2: The formalization association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 xml:space="preserve">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To test the cash channel (H3), we use currency in circulation relative to broad money (CASH) as a proxy for cash intensity. </w:t>
      </w:r>
      <w:proofErr w:type="spellStart"/>
      <w:r>
        <w:t>Table</w:t>
      </w:r>
      <w:proofErr w:type="spellEnd"/>
      <w:r>
        <w:t xml:space="preserve"> 1 </w:t>
      </w:r>
      <w:proofErr w:type="spellStart"/>
      <w:r>
        <w:t>summarizes</w:t>
      </w:r>
      <w:proofErr w:type="spellEnd"/>
      <w:r>
        <w:t xml:space="preserve"> </w:t>
      </w:r>
      <w:proofErr w:type="spellStart"/>
      <w:r>
        <w:t>the</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their</w:t>
      </w:r>
      <w:proofErr w:type="spellEnd"/>
      <w:r>
        <w:t xml:space="preserve"> </w:t>
      </w:r>
      <w:proofErr w:type="spellStart"/>
      <w:r>
        <w:t>sources</w:t>
      </w:r>
      <w:proofErr w:type="spellEnd"/>
      <w:r>
        <w:t>.</w:t>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FB350F" w14:textId="77777777" w:rsidR="00F04928" w:rsidRPr="00C25708" w:rsidRDefault="00000000">
            <w:pPr>
              <w:spacing w:after="20"/>
              <w:rPr>
                <w:lang w:val="en-US"/>
              </w:rPr>
            </w:pPr>
            <w:r w:rsidRPr="00C25708">
              <w:rPr>
                <w:sz w:val="20"/>
                <w:szCs w:val="20"/>
                <w:lang w:val="en-US"/>
              </w:rPr>
              <w:t>PCA composite of account ownership, digital payment use, POS/ATM density, and cashless value (rescaled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1028B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D4817B"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81842" w14:textId="77777777" w:rsidR="00F04928" w:rsidRPr="00C25708" w:rsidRDefault="00000000">
            <w:pPr>
              <w:spacing w:after="20"/>
              <w:rPr>
                <w:lang w:val="en-US"/>
              </w:rPr>
            </w:pPr>
            <w:r w:rsidRPr="00C25708">
              <w:rPr>
                <w:sz w:val="20"/>
                <w:szCs w:val="20"/>
                <w:lang w:val="en-US"/>
              </w:rPr>
              <w:t>Currency in circulation / broad money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478E3D" w14:textId="77777777" w:rsidR="00F04928" w:rsidRDefault="00000000">
            <w:pPr>
              <w:spacing w:after="20"/>
            </w:pPr>
            <w:r>
              <w:rPr>
                <w:sz w:val="20"/>
                <w:szCs w:val="20"/>
              </w:rPr>
              <w:t xml:space="preserve">WDI; </w:t>
            </w:r>
            <w:proofErr w:type="spellStart"/>
            <w:r>
              <w:rPr>
                <w:sz w:val="20"/>
                <w:szCs w:val="20"/>
              </w:rPr>
              <w:t>central</w:t>
            </w:r>
            <w:proofErr w:type="spellEnd"/>
            <w:r>
              <w:rPr>
                <w:sz w:val="20"/>
                <w:szCs w:val="20"/>
              </w:rPr>
              <w:t xml:space="preserve"> </w:t>
            </w:r>
            <w:proofErr w:type="spellStart"/>
            <w:r>
              <w:rPr>
                <w:sz w:val="20"/>
                <w:szCs w:val="20"/>
              </w:rPr>
              <w:t>banks</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lastRenderedPageBreak/>
        <w:t>The institutional complementarity in H4 is tested by adding an interaction term DFSit × INSTit; a positive coefficient in the TAX equation (and a negative one in the SHADOW equation) indicates that stronger institutions amplify the formalization effect of DFS. To probe the cash channel in H3, we estimate a mediation-style specification in which CASH is first related to DFS and then entered alongside DFS in the outcome equations; attenuation of the DFS coefficient when CASH is included is consistent with cash intensity acting as a transmission channel.</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DFS penetration is potentially endogenous: reverse causality is possible if a shrinking informal sector encourages digital adoption, and omitted variables may influence both DFS and the outcomes. We address this in three ways. First, all regressors enter with a one-year lag to mitigate simultaneity. Second, we estimate two-step system GMM (Blundell &amp; Bond, 1998) with Windmeijer-corrected standard errors; because the panel has only eight cross-sectional units, the number of credible moment conditions is severely limited, so the system-GMM specification is reported only as an exploratory cross-check rather than a primary identification strategy, with instrument validity assessed by the Hansen and Arellano–Bond AR(2) tests. Third, as external instruments we use the rollout of mobile-network (3G/4G) coverage and fixed-broadband penetration, which plausibly drive DFS adoption, and report two-stage least-squares estimates with first-stage diagnostics. Robustness checks include the single DIGPAY indicator and the composite DFS_INDEX, the exclusion of Kazakhstan, and the Central Asian subsample.</w:t>
      </w:r>
      <w:proofErr w:type="gramStart"/>
      <w:r w:rsidRPr="00C25708">
        <w:rPr>
          <w:lang w:val="en-US"/>
        </w:rPr>
      </w:r>
      <w:proofErr w:type="gramEnd"/>
      <w:r w:rsidRPr="00C25708">
        <w:rPr>
          <w:lang w:val="en-US"/>
        </w:rPr>
      </w:r>
      <w:r w:rsidRPr="00C25708">
        <w:rPr>
          <w:lang w:val="en-US"/>
        </w:rPr>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read as suggestive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the composite index is constrained by data availability (only three indicators, KMO = 0.519), our primary specification uses the directly observed Global Findex indicator DIGPAY (percentage of adults using digital payments). This measure captures the behavioural dimension of DFS most closely tied to transaction traceability, and avoids the construct-validity limitations of the composite. The composite DFS_INDEX is retained as a robustness check (Table 6), where it yields results of the same sign and significance. Table 4 reports the PCA diagnostics for the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with DIGPAY as the primary regressor. The association depends on conditioning: with no controls the within-country DIGPAY coefficient is small and insignificant (column 1, +0.063), but once log GDP per capita and the remaining controls are included it turns negative and significant (column 2, −0.051, p &lt; .05). Because digital-payment usage and income are correlated, the association is identified holding development constant rather than unconditionally. A one-standard-deviation rise in DIGPAY corresponds to about −0.14 standard deviations of the shadow economy. At the sample mean, the implied elasticity is −0.04: a 1% increase in digital-payment usage is associated with roughly a 0.04% decrease in the shadow economy. This modest elasticity underscores that, while the association is statistically significant, its economic magnitude is small. For tax revenue (columns 3–4) the DIGPAY coefficient is positive but insignificant in every specification; the tax hypothesis is therefore rejected. Estimates using the composite DFS_INDEX are of the same sign and significance (Table 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+0.063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-0.051**</w:t>
              <w:br/>
              <w:t>(0.023)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+0.040</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+0.013</w:t>
              <w:br/>
              <w:t>(0.032)</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+12.285***</w:t>
              <w:br/>
              <w:t>(3.967)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+1.765</w:t>
              <w:br/>
              <w:t>(5.813)</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-0.028</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+0.030</w:t>
              <w:br/>
              <w:t>(0.023)</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-0.103**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-0.071</w:t>
              <w:br/>
              <w:t>(0.095)</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-0.014</w:t>
              <w:b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+0.195</w:t>
              <w:br/>
              <w:t>(1.789)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-6.492*</w:t>
              <w:br/>
              <w:t>(3.783)</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0.59</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*p &lt; .10, **p &lt; .05, ***p &lt; .01. Because the IV and system-GMM estimates are statistically insignificant, the fixed-effects results should be read as descriptive associations, not causal effects; the paper does not claim that DFS causes formalization.</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We originally hypothesised that reduced cash intensity mediates the DFS–informality association. However, a consistent currency-to-broad-money series was unavailable for this sample, so we do not test the mediation channel; it remains an important avenue for future research when data become available. For institutional complementarity (H2), the interaction DIGPAY × INST is negative for the shadow economy but statistically insignificant, and a squared interaction term is also insignificant, as is the interaction in the tax equation. We therefore find no evidence that stronger institutions amplify the association and advance no complementarity claim; Figure 2 confirms that the marginal effect of DFS is not distinguishable from zero over most of the observed institutional range.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r>
        <w:t>A notable caveat is the temporal instability of the association. The negative DFS–shadow coefficient is present only in the 2011–2015 window and vanishes in 2016–2020. This suggests the effect may be period-specific—possibly reflecting early-stage digitalization, when the marginal informal-to-formal transition was largest, or confounding shocks such as commodity-price volatility. The absence of an effect in 2016–2020 cautions against interpreting DFS as a permanent or structural formalization driver, and longer panels are needed to test whether the pattern is replicated.</w:t>
      </w:r>
    </w:p>
    <w:p>
      <w:r>
        <w:t>When the sample is restricted to the three Central Asian republics with DGE estimates (Kazakhstan, the Kyrgyz Republic, Tajikistan), the negative DFS–shadow association remains statistically significant (−0.026, p &lt; .05), though smaller than in the full eight-country panel. The association therefore holds within the focal region, but its economic size is modest—plausibly reflecting narrower cross-country variation or the region's specific institutional and economic characteristics.</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Our results do not support the hypothesis that stronger institutions amplify the DFS–formalization association, and we find no evidence that DFS raises tax revenue. Consequently, policymakers should not assume that investments in DFS will automatically yield larger returns where institutions are better, or that they will mechanically broaden the tax base. The primary implications are narrower: (i) interoperability and merchant digitization are prerequisites for transaction traceability; (ii) consumer protection, data privacy, and reliable connectivity build the trust that sustains digital adoption; and (iii) remittance digitalization in migrant-sending economies offers a promising route to increase the financial visibility of previously cash-based flows. Because we do not find a tax-revenue effect, DFS is best treated as a source of information that tax administrations must independently pair with enforcement capacity to convert visibility into compliance.</w:t>
      </w:r>
      <w:r w:rsidRPr="00C25708">
        <w:rPr>
          <w:lang w:val="en-US"/>
        </w:rPr>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implications for banks, fintech firms, and payment-network operators. Although we find no evidence of institutional complementarity, firms should still calibrate market entry to local institutional conditions—not because institutions amplify the DFS effect, but because thin institutions affect overall business risk and payment-system reliability independently of DFS penetration. As DFS adoption reduces cash intensity, previously invisible microenterprises and households become more identifiable, which can expand the addressable market for formal financial services over time, and interoperable, open payment standards enlarge that market rather than fragmenting it. The remittance-digitization opportunity in the migrant-sending economies is a concrete product-strategy implication, converting informal transfers into recorded flows that can support household credit histories.</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diffusion of digital financial services has accompanied a smaller shadow economy across post-Soviet transition economies, with Central Asia as the focal region. Using an annual panel of eight economies (2011–2020), digital-payment usage is robustly associated with a smaller informal sector in fixed-effects and Driscoll–Kraay models, conditional on income, but the association is concentrated in the earlier part of the sample, does not extend to tax revenue, and is statistically insignificant under instrumental-variable and system-GMM estimation. The evidence is consistent with a correlation, but the absence of robust IV/GMM results means we cannot rule out omitted-variable or reverse-causality explanations; no causal claim is advanced, and the formalization hypothesis remains to be tested with stronger identification. Theoretically, the study applies institutional-voids logic to a technology-mediated account of formalization; the evidence is consistent with, but does not establish, digital infrastructure and institutional capacity acting as complements—indeed we find no significant interaction between them.</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Several limitations qualify these conclusions and point to future work. The modest cross-sectional dimension (eight economies) limits statistical power and, as discussed in Section 4.4, makes the system-GMM results illustrative rather than definitive; the addition of subnational or firm-level data, or longer panels, would materially strengthen inference. Shadow-economy figures are themselves model-based estimates subject to measurement error, and DGE estimates are unavailable for Uzbekistan and Turkmenistan.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examine distributional consequences, test the institutional-voids mechanism directly with firm-level survey data (Polese et al., 2023), and assess whether the early-period association is replicated in longer panels.</w:t>
      </w:r>
      <w:r w:rsidRPr="00C25708">
        <w:rPr>
          <w:lang w:val="en-U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Appendix A. Supplementary analyses.</w:t>
      </w:r>
    </w:p>
    <w:p>
      <w:r>
        <w:t>Figure A1 (directed acyclic graph). Simplified causal diagram for the baseline specification: DFS → SHADOW; GDP per capita → DFS and GDP per capita → SHADOW; INST → SHADOW; OPEN → SHADOW. MOBILE, REMIT, and INFL are included as additional controls but are not assumed to lie on the primary causal pathway; consistent with this, Table 8 shows the DFS coefficient is essentially unchanged when they are added or removed.</w:t>
      </w:r>
    </w:p>
    <w:p>
      <w:r>
        <w:t>The difference-in-differences design outlined in Section 4.4 requires coded reform dates that are not yet available; consistent with the position taken throughout this revision, no illustrative numbers are reported in its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