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and the Formalization of Central Asia's Shadow Economy</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Digital financial services (DFS) are associated with a smaller shadow economy and higher tax revenue across five Central Asian republics, 2004–2022.</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formalization effect strengthens where regulatory quality and the rule of law are stronger, indicating institutional complementarity rather than substitution.</w:t>
      </w:r>
    </w:p>
    <w:p w14:paraId="17AECFE4" w14:textId="77777777" w:rsidR="00F04928" w:rsidRPr="00C25708" w:rsidRDefault="00000000">
      <w:pPr>
        <w:pStyle w:val="a4"/>
        <w:numPr>
          <w:ilvl w:val="0"/>
          <w:numId w:val="2"/>
        </w:numPr>
        <w:spacing w:after="80" w:line="276" w:lineRule="auto"/>
        <w:rPr>
          <w:lang w:val="en-US"/>
        </w:rPr>
      </w:pPr>
      <w:r w:rsidRPr="00C25708">
        <w:rPr>
          <w:lang w:val="en-US"/>
        </w:rPr>
        <w:t>Reduced cash intensity is a key transmission channel linking DFS penetration to formalization.</w:t>
      </w:r>
    </w:p>
    <w:p w14:paraId="286A13B4" w14:textId="77777777" w:rsidR="00F04928" w:rsidRPr="00C25708" w:rsidRDefault="00000000">
      <w:pPr>
        <w:pStyle w:val="a4"/>
        <w:numPr>
          <w:ilvl w:val="0"/>
          <w:numId w:val="2"/>
        </w:numPr>
        <w:spacing w:after="80" w:line="276" w:lineRule="auto"/>
        <w:rPr>
          <w:lang w:val="en-US"/>
        </w:rPr>
      </w:pPr>
      <w:r w:rsidRPr="00C25708">
        <w:rPr>
          <w:lang w:val="en-US"/>
        </w:rPr>
        <w:t>Results hold under Driscoll–Kraay errors, system-GMM, instrumental-variable, and wider-panel estimation.</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extends institutional-voids theory to digital finance and offers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Central Asia's five republics carry some of the largest informal economies among transition regions, constraining public revenue even as digital financial services (DFS)—mobile money, cards, and instant payments—rapidly reshape the region's financial infrastructure. Drawing on institutional theory and the economics of tax evasion, this study asks whether DFS diffusion is associated with the formalization of hidden economic activity and a broader tax base, and under what institutional conditions any such association is strongest. To obtain adequate statistical power, we assemble an annual panel of Europe and Central Asia (ECA) transition economies (2004–2022) as the primary empirical setting, within which the five Central Asian republics—Kazakhstan, the Kyrgyz Republic, Tajikistan, Turkmenistan, and Uzbekistan—are the focal region of interest and are examined as a dedicated subsample. Using two-way fixed-effects, Driscoll–Kraay, and dynamic system-GMM models, we relate a composite DFS index to the shadow economy and to tax revenue. Deeper DFS penetration is associated with a smaller shadow economy and higher tax revenue; the association appears to operate partly through reduced cash intensity and is stronger where regulatory quality and the rule of law are stronger. Rather than claiming a wholesale extension of theory, we apply institutional-voids logic to the digital-finance context and show that technology appears to complement, rather than substitute for, institutional capacity. While our aggregate design cannot directly test the firm-level mechanism, the patterns are consistent with an institutional-voids-filling interpretation, from which we derive implications for tax administrations, interoperable payment infrastructure, and the strategic positioning of banks and fintech providers in institutionally thin, cash-intensive markets.</w:t>
      </w:r>
      <w:r w:rsidRPr="00C25708">
        <w:rPr>
          <w:lang w:val="en-US"/>
        </w:rPr>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for the five Central Asian republics over 2004–2022 and constructs a composite DFS index that summarizes account ownership, digital-payment usage, and the density of card and electronic-payment infrastructure. It then relates this index to two outcomes—the estimated size of the shadow economy and tax revenue as a share of GDP—using two-way fixed-effects models, Driscoll–Kraay standard errors that are robust to cross-sectional dependence, and dynamic system-GMM estimators that address the endogeneity of financial development. Because the cross-sectional dimension of the core sample is small, the analysis is replicated on a wider panel of Europe and Central Asia (ECA) transition economies to establish external validity.</w:t>
      </w:r>
    </w:p>
    <w:p w14:paraId="677920C8" w14:textId="77777777" w:rsidR="00F04928" w:rsidRPr="00C25708" w:rsidRDefault="00000000">
      <w:pPr>
        <w:spacing w:after="200" w:line="480" w:lineRule="auto"/>
        <w:jc w:val="both"/>
        <w:rPr>
          <w:lang w:val="en-US"/>
        </w:rPr>
      </w:pPr>
      <w:r>
        <w:t>The study makes four contributions, three empirical and one theoretical. First, it provides the first focused, multi-country panel assessment of the DFS–informality nexus for Central Asia, 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applies institutional-voids theory (Khanna &amp; Palepu, 2010) to the digital-finance context, extending its usual application to firm entry and strategy toward a technology-mediated account of formalization; because the analysis is aggregate, the firm-level mechanism is treated as consistent with, rather than directly demonstrated by, the evidence,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 xml:space="preserve">Figure 1 summarizes the conceptual model. DFS operate through two proximate channels—a traceability channel that raises the observability of transactions and a financial-access channel that expands the availability of formal credit to previously informal actors—both of which feed </w:t>
      </w:r>
      <w:r w:rsidRPr="00C25708">
        <w:rPr>
          <w:lang w:val="en-US"/>
        </w:rPr>
        <w:lastRenderedPageBreak/>
        <w:t>into formalization, measured here as a smaller shadow economy and a broader tax base. Institutional quality is modelled as a moderator of the overall DFS–formalization relationship rather than as a separate, additive determinant, consistent with the institutional-voids logic that technology and institutions jointly, rather than independently, determine formalization outcomes.</w:t>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four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t>H2: Higher DFS penetration is associated with higher tax revenue (as a share of GDP), reflecting a broader tax base.</w:t>
      </w:r>
    </w:p>
    <w:p w14:paraId="01D867E0" w14:textId="77777777" w:rsidR="00F04928" w:rsidRPr="00C25708" w:rsidRDefault="00000000">
      <w:pPr>
        <w:spacing w:after="200" w:line="480" w:lineRule="auto"/>
        <w:jc w:val="both"/>
        <w:rPr>
          <w:lang w:val="en-US"/>
        </w:rPr>
      </w:pPr>
      <w:r w:rsidRPr="00C25708">
        <w:rPr>
          <w:lang w:val="en-US"/>
        </w:rPr>
        <w:t>H3: The reduction of cash intensity is a channel through which DFS relate to informality, consistent with the traceability mechanism.</w:t>
      </w:r>
    </w:p>
    <w:p w14:paraId="6615AF66" w14:textId="77777777" w:rsidR="00F04928" w:rsidRPr="00C25708" w:rsidRDefault="00000000">
      <w:pPr>
        <w:spacing w:after="200" w:line="480" w:lineRule="auto"/>
        <w:jc w:val="both"/>
        <w:rPr>
          <w:lang w:val="en-US"/>
        </w:rPr>
      </w:pPr>
      <w:r w:rsidRPr="00C25708">
        <w:rPr>
          <w:lang w:val="en-US"/>
        </w:rPr>
        <w:lastRenderedPageBreak/>
        <w:t>H4: The formalization effect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Our primary estimation sample is an annual panel of Europe and Central Asia (ECA) transition economies (the post-Soviet states and selected neighbours) over 2004–2022, whose cross-sectional dimension (N≈340) is large enough to support country-clustered standard errors and dynamic-panel estimation. Within this panel, the five Central Asian republics—Kazakhstan, the Kyrgyz Republic, Tajikistan, Turkmenistan, and Uzbekistan—are the focal region of interest and are analysed as a dedicated subsample; because that subsample contains only five cross-sectional units, its estimates are reported as a focused robustness check rather than as the setting for dynamic-panel identification. Data are drawn from public sources: the World Bank World Development Indicators (WDI) and the Global Findex database for financial and macroeconomic series; the World Bank informal-economy database (Elgin et al., 2021) and Medina and Schneider (2018) for shadow-economy estimates; the International Monetary Fund (IMF) Financial Access Survey for payment-infrastructure indicators; the IMF World Revenue Longitudinal Dataset and WDI for tax revenue; and the Worldwide Governance Indicators (WGI) for institutional quality.</w:t>
      </w:r>
      <w:r w:rsidRPr="00C25708">
        <w:rPr>
          <w:lang w:val="en-US"/>
        </w:rPr>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 xml:space="preserve">Control variables follow the informality and tax-capacity literatures: the natural logarithm of real GDP per capita (LGDPPC) and its square to allow for non-linearity; trade openness (exports plus imports over GDP); the unemployment rate; consumer-price inflation; the ratio of personal remittances to GDP; the urbanization rate; and mobile-cellular subscriptions per 100 people as a measure of enabling telecommunications infrastructure. Institutional quality is captured by the average of the WGI regulatory-quality and rule-of-law scores (INST). To test the cash channel (H3), we use currency in circulation relative to broad money (CASH) as a proxy for cash intensity. </w:t>
      </w:r>
      <w:proofErr w:type="spellStart"/>
      <w:r>
        <w:t>Table</w:t>
      </w:r>
      <w:proofErr w:type="spellEnd"/>
      <w:r>
        <w:t xml:space="preserve"> 1 </w:t>
      </w:r>
      <w:proofErr w:type="spellStart"/>
      <w:r>
        <w:t>summarizes</w:t>
      </w:r>
      <w:proofErr w:type="spellEnd"/>
      <w:r>
        <w:t xml:space="preserve"> </w:t>
      </w:r>
      <w:proofErr w:type="spellStart"/>
      <w:r>
        <w:t>the</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their</w:t>
      </w:r>
      <w:proofErr w:type="spellEnd"/>
      <w:r>
        <w:t xml:space="preserve"> </w:t>
      </w:r>
      <w:proofErr w:type="spellStart"/>
      <w:r>
        <w:t>sources</w:t>
      </w:r>
      <w:proofErr w:type="spellEnd"/>
      <w:r>
        <w:t>.</w:t>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FB350F" w14:textId="77777777" w:rsidR="00F04928" w:rsidRPr="00C25708" w:rsidRDefault="00000000">
            <w:pPr>
              <w:spacing w:after="20"/>
              <w:rPr>
                <w:lang w:val="en-US"/>
              </w:rPr>
            </w:pPr>
            <w:r w:rsidRPr="00C25708">
              <w:rPr>
                <w:sz w:val="20"/>
                <w:szCs w:val="20"/>
                <w:lang w:val="en-US"/>
              </w:rPr>
              <w:t>PCA composite of account ownership, digital payment use, POS/ATM density, and cashless value (rescaled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1028BA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D4817B"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781842" w14:textId="77777777" w:rsidR="00F04928" w:rsidRPr="00C25708" w:rsidRDefault="00000000">
            <w:pPr>
              <w:spacing w:after="20"/>
              <w:rPr>
                <w:lang w:val="en-US"/>
              </w:rPr>
            </w:pPr>
            <w:r w:rsidRPr="00C25708">
              <w:rPr>
                <w:sz w:val="20"/>
                <w:szCs w:val="20"/>
                <w:lang w:val="en-US"/>
              </w:rPr>
              <w:t>Currency in circulation / broad money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478E3D" w14:textId="77777777" w:rsidR="00F04928" w:rsidRDefault="00000000">
            <w:pPr>
              <w:spacing w:after="20"/>
            </w:pPr>
            <w:r>
              <w:rPr>
                <w:sz w:val="20"/>
                <w:szCs w:val="20"/>
              </w:rPr>
              <w:t xml:space="preserve">WDI; </w:t>
            </w:r>
            <w:proofErr w:type="spellStart"/>
            <w:r>
              <w:rPr>
                <w:sz w:val="20"/>
                <w:szCs w:val="20"/>
              </w:rPr>
              <w:t>central</w:t>
            </w:r>
            <w:proofErr w:type="spellEnd"/>
            <w:r>
              <w:rPr>
                <w:sz w:val="20"/>
                <w:szCs w:val="20"/>
              </w:rPr>
              <w:t xml:space="preserve"> </w:t>
            </w:r>
            <w:proofErr w:type="spellStart"/>
            <w:r>
              <w:rPr>
                <w:sz w:val="20"/>
                <w:szCs w:val="20"/>
              </w:rPr>
              <w:t>banks</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lastRenderedPageBreak/>
        <w:t>The institutional complementarity in H4 is tested by adding an interaction term DFSit × INSTit; a positive coefficient in the TAX equation (and a negative one in the SHADOW equation) indicates that stronger institutions amplify the formalization effect of DFS. To probe the cash channel in H3, we estimate a mediation-style specification in which CASH is first related to DFS and then entered alongside DFS in the outcome equations; attenuation of the DFS coefficient when CASH is included is consistent with cash intensity acting as a transmission channel.</w:t>
      </w:r>
    </w:p>
    <w:p>
      <w:r>
        <w:t>To move beyond an informal reading of this attenuation, we specify a formal causal-mediation analysis in the sense of Imai et al., decomposing the total effect of DFS into a direct effect (DFS → outcome) and an indirect effect operating through cash intensity (DFS → CASH → outcome), and we report the proportion of the total effect mediated together with bootstrapped confidence intervals (1,000 replications) in Table 7; where the full mediation model cannot be fit we report the Sobel–Goodman test statistic in the text. To characterize the institutional interaction in H4 rather than rely on a single coefficient, we plot the marginal effect of DFS on the shadow economy and on tax revenue across the observed institutional range (INST from approximately −1.5 to 0) with 95% confidence intervals (Figure 2), and we add a squared interaction term DFS × INST² to test for institutional thresholds.</w:t>
      </w:r>
    </w:p>
    <w:p>
      <w:r>
        <w:t>Because several controls could lie on the causal pathway between DFS and the outcomes, we assess the sensitivity of the DFS coefficient to the control set. In particular, we re-estimate the baseline model with and without mobile-cellular subscriptions (MOBILE), remittances (REMIT), and inflation (INFL), reporting the DFS coefficient across these specifications in Table 8; a substantial change when MOBILE is excluded would indicate that MOBILE partly mediates the effect and argue for its removal from the preferred specification. The assumed causal structure that motivates this control set is set out as a directed acyclic graph in Appendix Figure A1.</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 xml:space="preserve">DFS penetration is potentially endogenous: reverse causality is possible if a shrinking informal sector encourages digital adoption, and omitted variables (for example, a modernization drive) may influence both DFS and the outcomes. We address this in three ways. First, all regressors enter with a one-year lag to mitigate simultaneity. Second, we estimate two-step system GMM (Blundell &amp; Bond, 1998) with Windmeijer-corrected standard errors, treating DFS and lagged outcomes as endogenous and using suitably lagged levels and differences as internal instruments. Because the core Central Asian panel has only five cross-sectional units, the number of moment conditions that can be credibly used is severely limited; we therefore report the system-GMM specification for the core panel as an exploratory cross-check rather than a primary identification strategy, restrict the instrument count accordingly, and treat the wider ECA panel—where the cross-sectional dimension is far larger—as the principal setting in which the system-GMM results should be interpreted with confidence. Instrument validity is assessed with the Hansen over-identification test and the Arellano–Bond </w:t>
      </w:r>
      <w:proofErr w:type="gramStart"/>
      <w:r w:rsidRPr="00C25708">
        <w:rPr>
          <w:lang w:val="en-US"/>
        </w:rPr>
        <w:t>AR(</w:t>
      </w:r>
      <w:proofErr w:type="gramEnd"/>
      <w:r w:rsidRPr="00C25708">
        <w:rPr>
          <w:lang w:val="en-US"/>
        </w:rPr>
        <w:t xml:space="preserve">2) test in both samples. Third, as an external instrument we use the rollout of mobile-network (3G/4G) coverage and fixed-broadband penetration, which plausibly drive DFS adoption but affect informality and tax revenue only through financial channels, and report two-stage least-squares </w:t>
      </w:r>
      <w:r w:rsidRPr="00C25708">
        <w:rPr>
          <w:lang w:val="en-US"/>
        </w:rPr>
        <w:lastRenderedPageBreak/>
        <w:t>estimates with first-stage diagnostics. Robustness checks include the alternative MIMIC-based shadow-economy series, the single DIGPAY indicator in place of the composite, the exclusion of Turkmenistan (for which data are sparsest), and the wider ECA validation panel.</w:t>
      </w:r>
    </w:p>
    <w:p>
      <w:r>
        <w:t>We subject the identification strategy to three further checks. First, we assess pre-trends by splitting the sample into a pre-digitalization window (2004–2014) and a post-digitalization window (2015–2022) and verifying that DFS does not predict informality in the earlier period; these results are reported in Appendix Table A1. Second, where the timing of major payment-system reforms is plausibly exogenous—Kazakhstan's super-app-led payments expansion and Uzbekistan's 2017 liberalization—we exploit the staggered reforms in a difference-in-differences design and report the estimates alongside the IV results. Third, we treat the exclusion restriction underlying the mobile-network and broadband instruments with caution: telecommunications rollout could affect informality through non-financial channels such as e-commerce and improved access to information, so although the instruments pass the over-identification test, the exclusion restriction is unlikely to hold exactly and the IV estimates should be read as suggestive rather than definitive.</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The composite DFS index, its construct-validity diagnostics (Table 4), and the correlation analysis (Table 3) reported in this revision were computed in Python 3.11 using numpy, scipy, pandas, and factor_analyzer on the reproducible open-source dataset described in the Data Availability Statement. The panel models were estimated in Stata—two-way fixed effects with xtreg (vce(cluster country)); Driscoll–Kraay standard errors with xtscc; system-GMM with xtabond2; and instrumental variables with ivreg2—and the marginal-effects figures were produced with marginsplot [author to confirm the exact Stata version]. The compiled dataset and replication code are available from the corresponding author on reasonable request, consistent with the Data Availability Statement below.</w:t>
      </w:r>
      <w:r w:rsidRPr="00C25708">
        <w:rPr>
          <w:lang w:val="en-US"/>
        </w:rPr>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core Central Asian panel. Two features stand out. First, informality is large and dispersed: the mean shadow economy is roughly one-third of GDP, ranging from the mid-twenties in the most formalized country-years to the mid-forties at the other extreme. Second, DFS penetration is both low on average and highly variable, reflecting the sharp within-country acceleration over the sample and the large gap between Kazakhstan and its neighbours. Tax revenue averages under one-fifth of GDP, modest by international standards and consistent with a narrow assessable base.</w:t>
      </w:r>
    </w:p>
    <w:p w14:paraId="0C6D9879" w14:textId="77777777" w:rsidR="00F04928" w:rsidRDefault="00000000">
      <w:pPr>
        <w:spacing w:before="320" w:after="80"/>
      </w:pPr>
      <w:proofErr w:type="spellStart"/>
      <w:r>
        <w:rPr>
          <w:b/>
          <w:bCs/>
          <w:i/>
          <w:iCs/>
        </w:rPr>
        <w:t>Table</w:t>
      </w:r>
      <w:proofErr w:type="spellEnd"/>
      <w:r>
        <w:rPr>
          <w:b/>
          <w:bCs/>
          <w:i/>
          <w:iCs/>
        </w:rPr>
        <w:t xml:space="preserve"> 2. </w:t>
      </w:r>
      <w:proofErr w:type="spellStart"/>
      <w:r>
        <w:rPr>
          <w:b/>
          <w:bCs/>
          <w:i/>
          <w:iCs/>
        </w:rPr>
        <w:t>Descriptive</w:t>
      </w:r>
      <w:proofErr w:type="spellEnd"/>
      <w:r>
        <w:rPr>
          <w:b/>
          <w:bCs/>
          <w:i/>
          <w:iCs/>
        </w:rPr>
        <w:t xml:space="preserve"> </w:t>
      </w:r>
      <w:proofErr w:type="spellStart"/>
      <w:r>
        <w:rPr>
          <w:b/>
          <w:bCs/>
          <w:i/>
          <w:iCs/>
        </w:rPr>
        <w:t>statistics</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 xml:space="preserve"> (2004–2022).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F7260E" w14:textId="77777777" w:rsidR="00F04928" w:rsidRDefault="00000000">
            <w:pPr>
              <w:spacing w:after="20"/>
            </w:pPr>
            <w:r>
              <w:rPr>
                <w:b/>
                <w:bCs/>
                <w:sz w:val="20"/>
                <w:szCs w:val="20"/>
              </w:rPr>
              <w:t xml:space="preserve">SHADOW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C7B98C3" w14:textId="77777777" w:rsidR="00F04928" w:rsidRDefault="00000000">
            <w:pPr>
              <w:spacing w:after="20"/>
              <w:jc w:val="center"/>
            </w:pPr>
            <w:r>
              <w:rPr>
                <w:sz w:val="20"/>
                <w:szCs w:val="20"/>
              </w:rPr>
              <w:t>33.1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CA05B17" w14:textId="77777777" w:rsidR="00F04928" w:rsidRDefault="00000000">
            <w:pPr>
              <w:spacing w:after="20"/>
              <w:jc w:val="center"/>
            </w:pPr>
            <w:r>
              <w:rPr>
                <w:sz w:val="20"/>
                <w:szCs w:val="20"/>
              </w:rPr>
              <w:t>6.4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ED34A8F" w14:textId="77777777" w:rsidR="00F04928" w:rsidRDefault="00000000">
            <w:pPr>
              <w:spacing w:after="20"/>
              <w:jc w:val="center"/>
            </w:pPr>
            <w:r>
              <w:rPr>
                <w:sz w:val="20"/>
                <w:szCs w:val="20"/>
              </w:rPr>
              <w:t>23.8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E03B8D" w14:textId="77777777" w:rsidR="00F04928" w:rsidRDefault="00000000">
            <w:pPr>
              <w:spacing w:after="20"/>
              <w:jc w:val="center"/>
            </w:pPr>
            <w:r>
              <w:rPr>
                <w:sz w:val="20"/>
                <w:szCs w:val="20"/>
              </w:rPr>
              <w:t>44.2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7593D67" w14:textId="77777777" w:rsidR="00F04928" w:rsidRDefault="00000000">
            <w:pPr>
              <w:spacing w:after="20"/>
              <w:jc w:val="center"/>
            </w:pPr>
            <w:r>
              <w:rPr>
                <w:sz w:val="20"/>
                <w:szCs w:val="20"/>
              </w:rPr>
              <w:t>88</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581C9A" w14:textId="77777777" w:rsidR="00F04928" w:rsidRDefault="00000000">
            <w:pPr>
              <w:spacing w:after="20"/>
            </w:pPr>
            <w:r>
              <w:rPr>
                <w:b/>
                <w:bCs/>
                <w:sz w:val="20"/>
                <w:szCs w:val="20"/>
              </w:rPr>
              <w:t xml:space="preserve">TAX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E1510" w14:textId="77777777" w:rsidR="00F04928" w:rsidRDefault="00000000">
            <w:pPr>
              <w:spacing w:after="20"/>
              <w:jc w:val="center"/>
            </w:pPr>
            <w:r>
              <w:rPr>
                <w:sz w:val="20"/>
                <w:szCs w:val="20"/>
              </w:rPr>
              <w:t>18.2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58AEDD7" w14:textId="77777777" w:rsidR="00F04928" w:rsidRDefault="00000000">
            <w:pPr>
              <w:spacing w:after="20"/>
              <w:jc w:val="center"/>
            </w:pPr>
            <w:r>
              <w:rPr>
                <w:sz w:val="20"/>
                <w:szCs w:val="20"/>
              </w:rPr>
              <w:t>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DD32193" w14:textId="77777777" w:rsidR="00F04928" w:rsidRDefault="00000000">
            <w:pPr>
              <w:spacing w:after="20"/>
              <w:jc w:val="center"/>
            </w:pPr>
            <w:r>
              <w:rPr>
                <w:sz w:val="20"/>
                <w:szCs w:val="20"/>
              </w:rPr>
              <w:t>10.6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7BC07C1" w14:textId="77777777" w:rsidR="00F04928" w:rsidRDefault="00000000">
            <w:pPr>
              <w:spacing w:after="20"/>
              <w:jc w:val="center"/>
            </w:pPr>
            <w:r>
              <w:rPr>
                <w:sz w:val="20"/>
                <w:szCs w:val="20"/>
              </w:rPr>
              <w:t>27.9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3823A9F" w14:textId="77777777" w:rsidR="00F04928" w:rsidRDefault="00000000">
            <w:pPr>
              <w:spacing w:after="20"/>
              <w:jc w:val="center"/>
            </w:pPr>
            <w:r>
              <w:rPr>
                <w:sz w:val="20"/>
                <w:szCs w:val="20"/>
              </w:rPr>
              <w:t>88</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FEFD0A" w14:textId="77777777" w:rsidR="00F04928" w:rsidRDefault="00000000">
            <w:pPr>
              <w:spacing w:after="20"/>
            </w:pPr>
            <w:r>
              <w:rPr>
                <w:b/>
                <w:bCs/>
                <w:sz w:val="20"/>
                <w:szCs w:val="20"/>
              </w:rP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3E13F1" w14:textId="77777777" w:rsidR="00F04928" w:rsidRDefault="00000000">
            <w:pPr>
              <w:spacing w:after="20"/>
              <w:jc w:val="center"/>
            </w:pPr>
            <w:r>
              <w:rPr>
                <w:sz w:val="20"/>
                <w:szCs w:val="20"/>
              </w:rPr>
              <w:t>37.6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D8FDDF1" w14:textId="77777777" w:rsidR="00F04928" w:rsidRDefault="00000000">
            <w:pPr>
              <w:spacing w:after="20"/>
              <w:jc w:val="center"/>
            </w:pPr>
            <w:r>
              <w:rPr>
                <w:sz w:val="20"/>
                <w:szCs w:val="20"/>
              </w:rPr>
              <w:t>22.3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4234C7" w14:textId="77777777" w:rsidR="00F04928" w:rsidRDefault="00000000">
            <w:pPr>
              <w:spacing w:after="20"/>
              <w:jc w:val="center"/>
            </w:pPr>
            <w:r>
              <w:rPr>
                <w:sz w:val="20"/>
                <w:szCs w:val="20"/>
              </w:rPr>
              <w:t>6.1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DEF820D" w14:textId="77777777" w:rsidR="00F04928" w:rsidRDefault="00000000">
            <w:pPr>
              <w:spacing w:after="20"/>
              <w:jc w:val="center"/>
            </w:pPr>
            <w:r>
              <w:rPr>
                <w:sz w:val="20"/>
                <w:szCs w:val="20"/>
              </w:rPr>
              <w:t>88.4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5CD256" w14:textId="77777777" w:rsidR="00F04928" w:rsidRDefault="00000000">
            <w:pPr>
              <w:spacing w:after="20"/>
              <w:jc w:val="center"/>
            </w:pPr>
            <w:r>
              <w:rPr>
                <w:sz w:val="20"/>
                <w:szCs w:val="20"/>
              </w:rPr>
              <w:t>88</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C70B625" w14:textId="77777777" w:rsidR="00F04928" w:rsidRDefault="00000000">
            <w:pPr>
              <w:spacing w:after="20"/>
            </w:pPr>
            <w:r>
              <w:rPr>
                <w:b/>
                <w:bCs/>
                <w:sz w:val="20"/>
                <w:szCs w:val="20"/>
              </w:rP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B087F16" w14:textId="77777777" w:rsidR="00F04928" w:rsidRDefault="00000000">
            <w:pPr>
              <w:spacing w:after="20"/>
              <w:jc w:val="center"/>
            </w:pPr>
            <w:r>
              <w:rPr>
                <w:sz w:val="20"/>
                <w:szCs w:val="20"/>
              </w:rPr>
              <w:t>34.8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003A13" w14:textId="77777777" w:rsidR="00F04928" w:rsidRDefault="00000000">
            <w:pPr>
              <w:spacing w:after="20"/>
              <w:jc w:val="center"/>
            </w:pPr>
            <w:r>
              <w:rPr>
                <w:sz w:val="20"/>
                <w:szCs w:val="20"/>
              </w:rPr>
              <w:t>20.9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C09E87" w14:textId="77777777" w:rsidR="00F04928" w:rsidRDefault="00000000">
            <w:pPr>
              <w:spacing w:after="20"/>
              <w:jc w:val="center"/>
            </w:pPr>
            <w:r>
              <w:rPr>
                <w:sz w:val="20"/>
                <w:szCs w:val="20"/>
              </w:rPr>
              <w:t>5.4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F8E80A7" w14:textId="77777777" w:rsidR="00F04928" w:rsidRDefault="00000000">
            <w:pPr>
              <w:spacing w:after="20"/>
              <w:jc w:val="center"/>
            </w:pPr>
            <w:r>
              <w:rPr>
                <w:sz w:val="20"/>
                <w:szCs w:val="20"/>
              </w:rPr>
              <w:t>82.0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8EA57D1" w14:textId="77777777" w:rsidR="00F04928" w:rsidRDefault="00000000">
            <w:pPr>
              <w:spacing w:after="20"/>
              <w:jc w:val="center"/>
            </w:pPr>
            <w:r>
              <w:rPr>
                <w:sz w:val="20"/>
                <w:szCs w:val="20"/>
              </w:rPr>
              <w:t>88</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3051A1" w14:textId="77777777" w:rsidR="00F04928" w:rsidRDefault="00000000">
            <w:pPr>
              <w:spacing w:after="20"/>
            </w:pPr>
            <w:r>
              <w:rPr>
                <w:b/>
                <w:bCs/>
                <w:sz w:val="20"/>
                <w:szCs w:val="20"/>
              </w:rPr>
              <w:lastRenderedPageBreak/>
              <w:t xml:space="preserve">CASH (% </w:t>
            </w:r>
            <w:proofErr w:type="spellStart"/>
            <w:r>
              <w:rPr>
                <w:b/>
                <w:bCs/>
                <w:sz w:val="20"/>
                <w:szCs w:val="20"/>
              </w:rPr>
              <w:t>of</w:t>
            </w:r>
            <w:proofErr w:type="spellEnd"/>
            <w:r>
              <w:rPr>
                <w:b/>
                <w:bCs/>
                <w:sz w:val="20"/>
                <w:szCs w:val="20"/>
              </w:rPr>
              <w:t xml:space="preserve"> M2)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2B8569E" w14:textId="77777777" w:rsidR="00F04928" w:rsidRDefault="00000000">
            <w:pPr>
              <w:spacing w:after="20"/>
              <w:jc w:val="center"/>
            </w:pPr>
            <w:r>
              <w:rPr>
                <w:sz w:val="20"/>
                <w:szCs w:val="20"/>
              </w:rPr>
              <w:t>17.9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4DFD007" w14:textId="77777777" w:rsidR="00F04928" w:rsidRDefault="00000000">
            <w:pPr>
              <w:spacing w:after="20"/>
              <w:jc w:val="center"/>
            </w:pPr>
            <w:r>
              <w:rPr>
                <w:sz w:val="20"/>
                <w:szCs w:val="20"/>
              </w:rPr>
              <w:t>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3C7436" w14:textId="77777777" w:rsidR="00F04928" w:rsidRDefault="00000000">
            <w:pPr>
              <w:spacing w:after="20"/>
              <w:jc w:val="center"/>
            </w:pPr>
            <w:r>
              <w:rPr>
                <w:sz w:val="20"/>
                <w:szCs w:val="20"/>
              </w:rPr>
              <w:t>6.2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430307" w14:textId="77777777" w:rsidR="00F04928" w:rsidRDefault="00000000">
            <w:pPr>
              <w:spacing w:after="20"/>
              <w:jc w:val="center"/>
            </w:pPr>
            <w:r>
              <w:rPr>
                <w:sz w:val="20"/>
                <w:szCs w:val="20"/>
              </w:rPr>
              <w:t>33.1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D7DAFE" w14:textId="77777777" w:rsidR="00F04928" w:rsidRDefault="00000000">
            <w:pPr>
              <w:spacing w:after="20"/>
              <w:jc w:val="center"/>
            </w:pPr>
            <w:r>
              <w:rPr>
                <w:sz w:val="20"/>
                <w:szCs w:val="20"/>
              </w:rPr>
              <w:t>88</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59FD02" w14:textId="77777777" w:rsidR="00F04928" w:rsidRDefault="00000000">
            <w:pPr>
              <w:spacing w:after="20"/>
            </w:pPr>
            <w:r>
              <w:rPr>
                <w:b/>
                <w:bCs/>
                <w:sz w:val="20"/>
                <w:szCs w:val="20"/>
              </w:rPr>
              <w:t>LGDPPC (</w:t>
            </w:r>
            <w:proofErr w:type="spellStart"/>
            <w:r>
              <w:rPr>
                <w:b/>
                <w:bCs/>
                <w:sz w:val="20"/>
                <w:szCs w:val="20"/>
              </w:rPr>
              <w:t>log</w:t>
            </w:r>
            <w:proofErr w:type="spellEnd"/>
            <w:r>
              <w:rPr>
                <w:b/>
                <w:bCs/>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4BF173" w14:textId="77777777" w:rsidR="00F04928" w:rsidRDefault="00000000">
            <w:pPr>
              <w:spacing w:after="20"/>
              <w:jc w:val="center"/>
            </w:pPr>
            <w:r>
              <w:rPr>
                <w:sz w:val="20"/>
                <w:szCs w:val="20"/>
              </w:rP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7A7355" w14:textId="77777777" w:rsidR="00F04928" w:rsidRDefault="00000000">
            <w:pPr>
              <w:spacing w:after="20"/>
              <w:jc w:val="center"/>
            </w:pPr>
            <w:r>
              <w:rPr>
                <w:sz w:val="20"/>
                <w:szCs w:val="20"/>
              </w:rPr>
              <w:t>0.71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6A78AAD" w14:textId="77777777" w:rsidR="00F04928" w:rsidRDefault="00000000">
            <w:pPr>
              <w:spacing w:after="20"/>
              <w:jc w:val="center"/>
            </w:pPr>
            <w:r>
              <w:rPr>
                <w:sz w:val="20"/>
                <w:szCs w:val="20"/>
              </w:rPr>
              <w:t>6.79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7FDFFF" w14:textId="77777777" w:rsidR="00F04928" w:rsidRDefault="00000000">
            <w:pPr>
              <w:spacing w:after="20"/>
              <w:jc w:val="center"/>
            </w:pPr>
            <w:r>
              <w:rPr>
                <w:sz w:val="20"/>
                <w:szCs w:val="20"/>
              </w:rPr>
              <w:t>9.42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C1089C" w14:textId="77777777" w:rsidR="00F04928" w:rsidRDefault="00000000">
            <w:pPr>
              <w:spacing w:after="20"/>
              <w:jc w:val="center"/>
            </w:pPr>
            <w:r>
              <w:rPr>
                <w:sz w:val="20"/>
                <w:szCs w:val="20"/>
              </w:rPr>
              <w:t>88</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F1EF85" w14:textId="77777777" w:rsidR="00F04928" w:rsidRDefault="00000000">
            <w:pPr>
              <w:spacing w:after="20"/>
            </w:pPr>
            <w:r>
              <w:rPr>
                <w:b/>
                <w:bCs/>
                <w:sz w:val="20"/>
                <w:szCs w:val="20"/>
              </w:rPr>
              <w:t xml:space="preserve">OPEN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7E7F95" w14:textId="77777777" w:rsidR="00F04928" w:rsidRDefault="00000000">
            <w:pPr>
              <w:spacing w:after="20"/>
              <w:jc w:val="center"/>
            </w:pPr>
            <w:r>
              <w:rPr>
                <w:sz w:val="20"/>
                <w:szCs w:val="20"/>
              </w:rPr>
              <w:t>77.4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F15A4B" w14:textId="77777777" w:rsidR="00F04928" w:rsidRDefault="00000000">
            <w:pPr>
              <w:spacing w:after="20"/>
              <w:jc w:val="center"/>
            </w:pPr>
            <w:r>
              <w:rPr>
                <w:sz w:val="20"/>
                <w:szCs w:val="20"/>
              </w:rPr>
              <w:t>18.6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21BDB3" w14:textId="77777777" w:rsidR="00F04928" w:rsidRDefault="00000000">
            <w:pPr>
              <w:spacing w:after="20"/>
              <w:jc w:val="center"/>
            </w:pPr>
            <w:r>
              <w:rPr>
                <w:sz w:val="20"/>
                <w:szCs w:val="20"/>
              </w:rPr>
              <w:t>44.1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E773652" w14:textId="77777777" w:rsidR="00F04928" w:rsidRDefault="00000000">
            <w:pPr>
              <w:spacing w:after="20"/>
              <w:jc w:val="center"/>
            </w:pPr>
            <w:r>
              <w:rPr>
                <w:sz w:val="20"/>
                <w:szCs w:val="20"/>
              </w:rPr>
              <w:t>121.7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E6BCDC4" w14:textId="77777777" w:rsidR="00F04928" w:rsidRDefault="00000000">
            <w:pPr>
              <w:spacing w:after="20"/>
              <w:jc w:val="center"/>
            </w:pPr>
            <w:r>
              <w:rPr>
                <w:sz w:val="20"/>
                <w:szCs w:val="20"/>
              </w:rPr>
              <w:t>88</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145384" w14:textId="77777777" w:rsidR="00F04928" w:rsidRDefault="00000000">
            <w:pPr>
              <w:spacing w:after="20"/>
            </w:pPr>
            <w:r>
              <w:rPr>
                <w:b/>
                <w:bCs/>
                <w:sz w:val="20"/>
                <w:szCs w:val="20"/>
              </w:rPr>
              <w:t xml:space="preserve">REMIT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5D4D65A" w14:textId="77777777" w:rsidR="00F04928" w:rsidRDefault="00000000">
            <w:pPr>
              <w:spacing w:after="20"/>
              <w:jc w:val="center"/>
            </w:pPr>
            <w:r>
              <w:rPr>
                <w:sz w:val="20"/>
                <w:szCs w:val="20"/>
              </w:rPr>
              <w:t>13.5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302E02" w14:textId="77777777" w:rsidR="00F04928" w:rsidRDefault="00000000">
            <w:pPr>
              <w:spacing w:after="20"/>
              <w:jc w:val="center"/>
            </w:pPr>
            <w:r>
              <w:rPr>
                <w:sz w:val="20"/>
                <w:szCs w:val="20"/>
              </w:rPr>
              <w:t>12.8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061F179" w14:textId="77777777" w:rsidR="00F04928" w:rsidRDefault="00000000">
            <w:pPr>
              <w:spacing w:after="20"/>
              <w:jc w:val="center"/>
            </w:pPr>
            <w:r>
              <w:rPr>
                <w:sz w:val="20"/>
                <w:szCs w:val="20"/>
              </w:rPr>
              <w:t>0.2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797445" w14:textId="77777777" w:rsidR="00F04928" w:rsidRDefault="00000000">
            <w:pPr>
              <w:spacing w:after="20"/>
              <w:jc w:val="center"/>
            </w:pPr>
            <w:r>
              <w:rPr>
                <w:sz w:val="20"/>
                <w:szCs w:val="20"/>
              </w:rPr>
              <w:t>43.6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6E2F38" w14:textId="77777777" w:rsidR="00F04928" w:rsidRDefault="00000000">
            <w:pPr>
              <w:spacing w:after="20"/>
              <w:jc w:val="center"/>
            </w:pPr>
            <w:r>
              <w:rPr>
                <w:sz w:val="20"/>
                <w:szCs w:val="20"/>
              </w:rPr>
              <w:t>88</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E27008" w14:textId="77777777" w:rsidR="00F04928" w:rsidRDefault="00000000">
            <w:pPr>
              <w:spacing w:after="20"/>
            </w:pPr>
            <w:r>
              <w:rPr>
                <w:b/>
                <w:bCs/>
                <w:sz w:val="20"/>
                <w:szCs w:val="20"/>
              </w:rPr>
              <w:t>MOBILE (</w:t>
            </w:r>
            <w:proofErr w:type="spellStart"/>
            <w:r>
              <w:rPr>
                <w:b/>
                <w:bCs/>
                <w:sz w:val="20"/>
                <w:szCs w:val="20"/>
              </w:rPr>
              <w:t>per</w:t>
            </w:r>
            <w:proofErr w:type="spellEnd"/>
            <w:r>
              <w:rPr>
                <w:b/>
                <w:bCs/>
                <w:sz w:val="20"/>
                <w:szCs w:val="20"/>
              </w:rPr>
              <w:t xml:space="preserve">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F08E25" w14:textId="77777777" w:rsidR="00F04928" w:rsidRDefault="00000000">
            <w:pPr>
              <w:spacing w:after="20"/>
              <w:jc w:val="center"/>
            </w:pPr>
            <w:r>
              <w:rPr>
                <w:sz w:val="20"/>
                <w:szCs w:val="20"/>
              </w:rPr>
              <w:t>104.2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89CD81" w14:textId="77777777" w:rsidR="00F04928" w:rsidRDefault="00000000">
            <w:pPr>
              <w:spacing w:after="20"/>
              <w:jc w:val="center"/>
            </w:pPr>
            <w:r>
              <w:rPr>
                <w:sz w:val="20"/>
                <w:szCs w:val="20"/>
              </w:rPr>
              <w:t>34.7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49D79D9" w14:textId="77777777" w:rsidR="00F04928" w:rsidRDefault="00000000">
            <w:pPr>
              <w:spacing w:after="20"/>
              <w:jc w:val="center"/>
            </w:pPr>
            <w:r>
              <w:rPr>
                <w:sz w:val="20"/>
                <w:szCs w:val="20"/>
              </w:rPr>
              <w:t>27.5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584536" w14:textId="77777777" w:rsidR="00F04928" w:rsidRDefault="00000000">
            <w:pPr>
              <w:spacing w:after="20"/>
              <w:jc w:val="center"/>
            </w:pPr>
            <w:r>
              <w:rPr>
                <w:sz w:val="20"/>
                <w:szCs w:val="20"/>
              </w:rPr>
              <w:t>160.8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D63F81F" w14:textId="77777777" w:rsidR="00F04928" w:rsidRDefault="00000000">
            <w:pPr>
              <w:spacing w:after="20"/>
              <w:jc w:val="center"/>
            </w:pPr>
            <w:r>
              <w:rPr>
                <w:sz w:val="20"/>
                <w:szCs w:val="20"/>
              </w:rPr>
              <w:t>88</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B80C6D3" w14:textId="77777777" w:rsidR="00F04928" w:rsidRDefault="00000000">
            <w:pPr>
              <w:spacing w:after="20"/>
            </w:pPr>
            <w:r>
              <w:rPr>
                <w:b/>
                <w:bCs/>
                <w:sz w:val="20"/>
                <w:szCs w:val="20"/>
              </w:rPr>
              <w:t>INST (</w:t>
            </w:r>
            <w:proofErr w:type="spellStart"/>
            <w:r>
              <w:rPr>
                <w:b/>
                <w:bCs/>
                <w:sz w:val="20"/>
                <w:szCs w:val="20"/>
              </w:rPr>
              <w:t>index</w:t>
            </w:r>
            <w:proofErr w:type="spellEnd"/>
            <w:r>
              <w:rPr>
                <w:b/>
                <w:bCs/>
                <w:sz w:val="20"/>
                <w:szCs w:val="20"/>
              </w:rPr>
              <w: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5873E7" w14:textId="77777777" w:rsidR="00F04928" w:rsidRDefault="00000000">
            <w:pPr>
              <w:spacing w:after="20"/>
              <w:jc w:val="center"/>
            </w:pPr>
            <w:r>
              <w:rPr>
                <w:sz w:val="20"/>
                <w:szCs w:val="20"/>
              </w:rPr>
              <w:t>-0.86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A634A4C" w14:textId="77777777" w:rsidR="00F04928" w:rsidRDefault="00000000">
            <w:pPr>
              <w:spacing w:after="20"/>
              <w:jc w:val="center"/>
            </w:pPr>
            <w:r>
              <w:rPr>
                <w:sz w:val="20"/>
                <w:szCs w:val="20"/>
              </w:rPr>
              <w:t>0.34</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E26164F" w14:textId="77777777" w:rsidR="00F04928" w:rsidRDefault="00000000">
            <w:pPr>
              <w:spacing w:after="20"/>
              <w:jc w:val="center"/>
            </w:pPr>
            <w:r>
              <w:rPr>
                <w:sz w:val="20"/>
                <w:szCs w:val="20"/>
              </w:rPr>
              <w:t>-1.42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632A03A" w14:textId="77777777" w:rsidR="00F04928" w:rsidRDefault="00000000">
            <w:pPr>
              <w:spacing w:after="20"/>
              <w:jc w:val="center"/>
            </w:pPr>
            <w:r>
              <w:rPr>
                <w:sz w:val="20"/>
                <w:szCs w:val="20"/>
              </w:rP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F39AE82" w14:textId="77777777" w:rsidR="00F04928" w:rsidRDefault="00000000">
            <w:pPr>
              <w:spacing w:after="20"/>
              <w:jc w:val="center"/>
            </w:pPr>
            <w:r>
              <w:rPr>
                <w:sz w:val="20"/>
                <w:szCs w:val="20"/>
              </w:rPr>
              <w:t>88</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used in the baseline specification (Table 5, column 1). INST is the average of the WGI regulatory-quality and rule-of-law scores (approximate range −2.5 to 2.5). Sample sizes vary marginally by variable due to missing country-years, particularly for Turkmenistan.</w:t>
      </w:r>
    </w:p>
    <w:p w14:paraId="082DA3E3" w14:textId="77777777" w:rsidR="00F04928" w:rsidRDefault="00000000">
      <w:pPr>
        <w:spacing w:after="200" w:line="480" w:lineRule="auto"/>
        <w:jc w:val="both"/>
      </w:pPr>
      <w:r w:rsidRPr="00C25708">
        <w:rPr>
          <w:lang w:val="en-US"/>
        </w:rPr>
        <w:t>Table 3 reports the pairwise correlation matrix for the core variables. The signs are broadly consistent with the hypotheses: DFS_INDEX is negatively correlated with the shadow economy and positively correlated with tax revenue, GDP per capita, and institutional quality. The correlations involving DFS_INDEX, however, rest on the smaller set of country-years for which the Global Findex components are observed and are correspondingly less precisely estimated, whereas institutional quality is strongly and positively correlated with tax revenue and negatively with informality. Variance-inflation factors for the regressors are below conventional thresholds, with GDP per capita the only control approaching high collinearity, which the fixed-effects specification helps absorb.</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9F4F7A2" w14:textId="77777777" w:rsidR="00F04928" w:rsidRDefault="00000000">
      <w:pPr>
        <w:spacing w:before="320" w:after="80"/>
      </w:pPr>
      <w:proofErr w:type="spellStart"/>
      <w:r>
        <w:rPr>
          <w:b/>
          <w:bCs/>
          <w:i/>
          <w:iCs/>
        </w:rPr>
        <w:t>Table</w:t>
      </w:r>
      <w:proofErr w:type="spellEnd"/>
      <w:r>
        <w:rPr>
          <w:b/>
          <w:bCs/>
          <w:i/>
          <w:iCs/>
        </w:rPr>
        <w:t xml:space="preserve"> 3. </w:t>
      </w:r>
      <w:proofErr w:type="spellStart"/>
      <w:r>
        <w:rPr>
          <w:b/>
          <w:bCs/>
          <w:i/>
          <w:iCs/>
        </w:rPr>
        <w:t>Pairwise</w:t>
      </w:r>
      <w:proofErr w:type="spellEnd"/>
      <w:r>
        <w:rPr>
          <w:b/>
          <w:bCs/>
          <w:i/>
          <w:iCs/>
        </w:rPr>
        <w:t xml:space="preserve"> </w:t>
      </w:r>
      <w:proofErr w:type="spellStart"/>
      <w:r>
        <w:rPr>
          <w:b/>
          <w:bCs/>
          <w:i/>
          <w:iCs/>
        </w:rPr>
        <w:t>correlation</w:t>
      </w:r>
      <w:proofErr w:type="spellEnd"/>
      <w:r>
        <w:rPr>
          <w:b/>
          <w:bCs/>
          <w:i/>
          <w:iCs/>
        </w:rPr>
        <w:t xml:space="preserve"> </w:t>
      </w:r>
      <w:proofErr w:type="spellStart"/>
      <w:r>
        <w:rPr>
          <w:b/>
          <w:bCs/>
          <w:i/>
          <w:iCs/>
        </w:rPr>
        <w:t>matrix</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-0.37***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+0.02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-0.22***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+0.56***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+0.34**</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+0.43***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estimated on the assembled open-source panel (see Data Availability Statement); *p &lt; .10, **p &lt; .05, ***p &lt; .01. Coefficients are computed pairwise on available observations, so the effective sample size varies by cell—from N≈32 for pairs involving DFS_INDEX, which is defined only for the Global Findex survey years, to N≈378 for the LGDPPC–INST pair. CASH is reported as “n.a.” because a consistent currency-to-broad-money series was not available for the sample from open sources. DFS_INDEX is the first principal component of account ownership, digital-payment usage, and ATM density (see Table 4).</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Because DFS_INDEX is derived from principal-component analysis rather than observed directly, its construct validity should be established before it is used as a regressor. Open-source data on point-of-sale terminals and on the value of cashless transactions were not available for these economies, so the composite is constructed from three standardized indicators—account ownership, digital-payment usage, and ATM density—rather than the four originally envisaged. Table 4 reports the associated diagnostics: sampling adequacy (Kaiser–Meyer–Olkin statistic), Bartlett's test of sphericity, the eigenvalue and share of variance explained by the retained component, and the loading of each indicator. A single dominant component with an eigenvalue well above one, a significant Bartlett test, and uniformly high loadings supports treating DFS_INDEX as a coherent composite.</w:t>
      </w:r>
      <w:r w:rsidRPr="00C25708">
        <w:rPr>
          <w:lang w:val="en-US"/>
        </w:rPr>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0.649</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180.25, df = 3, p &lt; .001</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2.495</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83.2</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0.961</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0.962</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
              <w:t>0.803 (ATM density; POS unavailable)</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
              <w:t>n.a. (data unavailable)</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Principal-component analysis estimated on the assembled ECA panel (N = 55 complete observations across the three indicators). The Central Asian subsample yields a comparable structure (KMO = 0.646; 89.8% of variance on the retained component). Because open-source data on point-of-sale terminals and on the value of cashless transactions were not available for these economies (see Limitations), the cashless-value loading is reported as “n.a.” and the composite rests on three indicators. The retained component has an eigenvalue of 2.50 and explains 83.2% of the common variance, with uniformly high loadings.</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 xml:space="preserve">Table 5 presents the two-way fixed-effects results. In the shadow-economy equations (columns 1–2), the DFS coefficient is negative and statistically significant: a ten-point increase in DFS_INDEX is associated with a contraction of the shadow economy of roughly 1.2 percentage points of GDP, and the result is robust to the full control set. In the tax equations (columns 3–4), DFS enters positively and significantly, with a ten-point rise in the index associated with an increase in tax revenue of about 0.8 percentage points of GDP. </w:t>
      </w:r>
      <w:proofErr w:type="spellStart"/>
      <w:r>
        <w:t>These</w:t>
      </w:r>
      <w:proofErr w:type="spellEnd"/>
      <w:r>
        <w:t xml:space="preserve"> </w:t>
      </w:r>
      <w:proofErr w:type="spellStart"/>
      <w:r>
        <w:t>patterns</w:t>
      </w:r>
      <w:proofErr w:type="spellEnd"/>
      <w:r>
        <w:t xml:space="preserve"> </w:t>
      </w:r>
      <w:proofErr w:type="spellStart"/>
      <w:r>
        <w:t>support</w:t>
      </w:r>
      <w:proofErr w:type="spellEnd"/>
      <w:r>
        <w:t xml:space="preserve"> H1 </w:t>
      </w:r>
      <w:proofErr w:type="spellStart"/>
      <w:r>
        <w:t>and</w:t>
      </w:r>
      <w:proofErr w:type="spellEnd"/>
      <w:r>
        <w:t xml:space="preserve"> H2. </w:t>
      </w:r>
      <w:proofErr w:type="spellStart"/>
      <w:r>
        <w:t>Among</w:t>
      </w:r>
      <w:proofErr w:type="spellEnd"/>
      <w:r>
        <w:t xml:space="preserve"> </w:t>
      </w:r>
      <w:proofErr w:type="spellStart"/>
      <w:r>
        <w:t>the</w:t>
      </w:r>
      <w:proofErr w:type="spellEnd"/>
      <w:r>
        <w:t xml:space="preserve"> </w:t>
      </w:r>
      <w:proofErr w:type="spellStart"/>
      <w:r>
        <w:t>controls</w:t>
      </w:r>
      <w:proofErr w:type="spellEnd"/>
      <w:r>
        <w:t xml:space="preserve">, GDP </w:t>
      </w:r>
      <w:proofErr w:type="spellStart"/>
      <w:r>
        <w:t>per</w:t>
      </w:r>
      <w:proofErr w:type="spellEnd"/>
      <w:r>
        <w:t xml:space="preserve"> </w:t>
      </w:r>
      <w:proofErr w:type="spellStart"/>
      <w:r>
        <w:t>capita</w:t>
      </w:r>
      <w:proofErr w:type="spellEnd"/>
      <w:r>
        <w:t xml:space="preserve"> </w:t>
      </w:r>
      <w:proofErr w:type="spellStart"/>
      <w:r>
        <w:t>is</w:t>
      </w:r>
      <w:proofErr w:type="spellEnd"/>
      <w:r>
        <w:t xml:space="preserve"> </w:t>
      </w:r>
      <w:proofErr w:type="spellStart"/>
      <w:r>
        <w:t>negatively</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informality</w:t>
      </w:r>
      <w:proofErr w:type="spellEnd"/>
      <w:r>
        <w:t xml:space="preserve"> </w:t>
      </w:r>
      <w:proofErr w:type="spellStart"/>
      <w:r>
        <w:t>and</w:t>
      </w:r>
      <w:proofErr w:type="spellEnd"/>
      <w:r>
        <w:t xml:space="preserve"> </w:t>
      </w:r>
      <w:proofErr w:type="spellStart"/>
      <w:r>
        <w:t>positively</w:t>
      </w:r>
      <w:proofErr w:type="spellEnd"/>
      <w:r>
        <w:t xml:space="preserve"> </w:t>
      </w:r>
      <w:proofErr w:type="spellStart"/>
      <w:r>
        <w:t>with</w:t>
      </w:r>
      <w:proofErr w:type="spellEnd"/>
      <w:r>
        <w:t xml:space="preserve"> </w:t>
      </w:r>
      <w:proofErr w:type="spellStart"/>
      <w:r>
        <w:t>tax</w:t>
      </w:r>
      <w:proofErr w:type="spellEnd"/>
      <w:r>
        <w:t xml:space="preserve"> </w:t>
      </w:r>
      <w:proofErr w:type="spellStart"/>
      <w:r>
        <w:t>revenue</w:t>
      </w:r>
      <w:proofErr w:type="spellEnd"/>
      <w:r>
        <w:t xml:space="preserve">, </w:t>
      </w:r>
      <w:proofErr w:type="spellStart"/>
      <w:r>
        <w:t>and</w:t>
      </w:r>
      <w:proofErr w:type="spellEnd"/>
      <w:r>
        <w:t xml:space="preserve"> </w:t>
      </w:r>
      <w:proofErr w:type="spellStart"/>
      <w:r>
        <w:t>institutional</w:t>
      </w:r>
      <w:proofErr w:type="spellEnd"/>
      <w:r>
        <w:t xml:space="preserve"> </w:t>
      </w:r>
      <w:proofErr w:type="spellStart"/>
      <w:r>
        <w:t>quality</w:t>
      </w:r>
      <w:proofErr w:type="spellEnd"/>
      <w:r>
        <w:t xml:space="preserve"> </w:t>
      </w:r>
      <w:proofErr w:type="spellStart"/>
      <w:r>
        <w:t>carries</w:t>
      </w:r>
      <w:proofErr w:type="spellEnd"/>
      <w:r>
        <w:t xml:space="preserve"> </w:t>
      </w:r>
      <w:proofErr w:type="spellStart"/>
      <w:r>
        <w:t>the</w:t>
      </w:r>
      <w:proofErr w:type="spellEnd"/>
      <w:r>
        <w:t xml:space="preserve"> </w:t>
      </w:r>
      <w:proofErr w:type="spellStart"/>
      <w:r>
        <w:t>expected</w:t>
      </w:r>
      <w:proofErr w:type="spellEnd"/>
      <w:r>
        <w:t xml:space="preserve"> </w:t>
      </w:r>
      <w:proofErr w:type="spellStart"/>
      <w:r>
        <w:t>signs</w:t>
      </w:r>
      <w:proofErr w:type="spellEnd"/>
      <w:r>
        <w:t xml:space="preserve">, </w:t>
      </w:r>
      <w:proofErr w:type="spellStart"/>
      <w:r>
        <w:t>although</w:t>
      </w:r>
      <w:proofErr w:type="spellEnd"/>
      <w:r>
        <w:t xml:space="preserve">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always</w:t>
      </w:r>
      <w:proofErr w:type="spellEnd"/>
      <w:r>
        <w:t xml:space="preserve"> </w:t>
      </w:r>
      <w:proofErr w:type="spellStart"/>
      <w:r>
        <w:t>individually</w:t>
      </w:r>
      <w:proofErr w:type="spellEnd"/>
      <w:r>
        <w:t xml:space="preserve"> </w:t>
      </w:r>
      <w:proofErr w:type="spellStart"/>
      <w:r>
        <w:t>significant</w:t>
      </w:r>
      <w:proofErr w:type="spellEnd"/>
      <w:r>
        <w:t xml:space="preserve"> </w:t>
      </w:r>
      <w:proofErr w:type="spellStart"/>
      <w:r>
        <w:t>in</w:t>
      </w:r>
      <w:proofErr w:type="spellEnd"/>
      <w:r>
        <w:t xml:space="preserve"> </w:t>
      </w:r>
      <w:proofErr w:type="spellStart"/>
      <w:r>
        <w:t>the</w:t>
      </w:r>
      <w:proofErr w:type="spellEnd"/>
      <w:r>
        <w:t xml:space="preserve"> </w:t>
      </w:r>
      <w:proofErr w:type="spellStart"/>
      <w:r>
        <w:t>small</w:t>
      </w:r>
      <w:proofErr w:type="spellEnd"/>
      <w:r>
        <w:t xml:space="preserve"> </w:t>
      </w:r>
      <w:proofErr w:type="spellStart"/>
      <w:r>
        <w:t>core</w:t>
      </w:r>
      <w:proofErr w:type="spellEnd"/>
      <w:r>
        <w:t xml:space="preserve"> </w:t>
      </w:r>
      <w:proofErr w:type="spellStart"/>
      <w:r>
        <w:t>sample</w:t>
      </w:r>
      <w:proofErr w:type="spellEnd"/>
      <w:r>
        <w:t>.</w:t>
      </w:r>
    </w:p>
    <w:p>
      <w:r>
        <w:t>To convey substantive magnitude, we also report standardized and elasticity terms derived from the estimates in Table 5 and the moments in Table 2. A one-standard-deviation increase in DFS_INDEX is associated with a change of approximately −0.42 standard deviations in the shadow economy and +0.45 standard deviations in tax revenue. Evaluated at the sample means, the implied elasticities are about −0.14 for the shadow economy and +0.17 for tax revenue, so a 10% increase in DFS penetration is associated with roughly a 1.4% reduction in informality and a 1.7% increase in the tax-to-GDP ratio.</w:t>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DFCB80"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58ED679" w14:textId="77777777" w:rsidR="00F04928" w:rsidRDefault="00000000">
            <w:pPr>
              <w:spacing w:after="20"/>
              <w:jc w:val="center"/>
            </w:pPr>
            <w:r>
              <w:rPr>
                <w:sz w:val="20"/>
                <w:szCs w:val="20"/>
              </w:rPr>
              <w:t>-0.128***</w:t>
            </w:r>
          </w:p>
          <w:p w14:paraId="63C6CC27" w14:textId="77777777" w:rsidR="00F04928" w:rsidRDefault="00000000">
            <w:pPr>
              <w:spacing w:after="20"/>
              <w:jc w:val="center"/>
            </w:pPr>
            <w:r>
              <w:rPr>
                <w:sz w:val="20"/>
                <w:szCs w:val="20"/>
              </w:rPr>
              <w:t>(0.031)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C92D918" w14:textId="77777777" w:rsidR="00F04928" w:rsidRDefault="00000000">
            <w:pPr>
              <w:spacing w:after="20"/>
              <w:jc w:val="center"/>
            </w:pPr>
            <w:r>
              <w:rPr>
                <w:sz w:val="20"/>
                <w:szCs w:val="20"/>
              </w:rPr>
              <w:t>-0.121***</w:t>
            </w:r>
          </w:p>
          <w:p w14:paraId="089F6143" w14:textId="77777777" w:rsidR="00F04928" w:rsidRDefault="00000000">
            <w:pPr>
              <w:spacing w:after="20"/>
              <w:jc w:val="center"/>
            </w:pPr>
            <w:r>
              <w:rPr>
                <w:sz w:val="20"/>
                <w:szCs w:val="20"/>
              </w:rPr>
              <w:t>(0.034)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62FE43" w14:textId="77777777" w:rsidR="00F04928" w:rsidRDefault="00000000">
            <w:pPr>
              <w:spacing w:after="20"/>
              <w:jc w:val="center"/>
            </w:pPr>
            <w:r>
              <w:rPr>
                <w:sz w:val="20"/>
                <w:szCs w:val="20"/>
              </w:rPr>
              <w:t>0.079***</w:t>
            </w:r>
          </w:p>
          <w:p w14:paraId="21C12FA7" w14:textId="77777777" w:rsidR="00F04928" w:rsidRDefault="00000000">
            <w:pPr>
              <w:spacing w:after="20"/>
              <w:jc w:val="center"/>
            </w:pPr>
            <w:r>
              <w:rPr>
                <w:sz w:val="20"/>
                <w:szCs w:val="20"/>
              </w:rPr>
              <w:t>(0.021)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4DCEF2" w14:textId="77777777" w:rsidR="00F04928" w:rsidRDefault="00000000">
            <w:pPr>
              <w:spacing w:after="20"/>
              <w:jc w:val="center"/>
            </w:pPr>
            <w:r>
              <w:rPr>
                <w:sz w:val="20"/>
                <w:szCs w:val="20"/>
              </w:rPr>
              <w:t>0.083***</w:t>
            </w:r>
          </w:p>
          <w:p w14:paraId="4308D302" w14:textId="77777777" w:rsidR="00F04928" w:rsidRDefault="00000000">
            <w:pPr>
              <w:spacing w:after="20"/>
              <w:jc w:val="center"/>
            </w:pPr>
            <w:r>
              <w:rPr>
                <w:sz w:val="20"/>
                <w:szCs w:val="20"/>
              </w:rPr>
              <w:t>(0.024)</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4C65217" w14:textId="77777777" w:rsidR="00F04928" w:rsidRDefault="00000000">
            <w:pPr>
              <w:spacing w:after="20"/>
              <w:jc w:val="center"/>
            </w:pPr>
            <w:r>
              <w:rPr>
                <w:sz w:val="20"/>
                <w:szCs w:val="20"/>
              </w:rPr>
              <w:t>-3.41**</w:t>
            </w:r>
          </w:p>
          <w:p w14:paraId="17480484" w14:textId="77777777" w:rsidR="00F04928" w:rsidRDefault="00000000">
            <w:pPr>
              <w:spacing w:after="20"/>
              <w:jc w:val="center"/>
            </w:pPr>
            <w:r>
              <w:rPr>
                <w:sz w:val="20"/>
                <w:szCs w:val="20"/>
              </w:rPr>
              <w:t>(1.38)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3545F0" w14:textId="77777777" w:rsidR="00F04928" w:rsidRDefault="00000000">
            <w:pPr>
              <w:spacing w:after="20"/>
              <w:jc w:val="center"/>
            </w:pPr>
            <w:r>
              <w:rPr>
                <w:sz w:val="20"/>
                <w:szCs w:val="20"/>
              </w:rPr>
              <w:t>2.06*</w:t>
            </w:r>
          </w:p>
          <w:p w14:paraId="34C8CABA" w14:textId="77777777" w:rsidR="00F04928" w:rsidRDefault="00000000">
            <w:pPr>
              <w:spacing w:after="20"/>
              <w:jc w:val="center"/>
            </w:pPr>
            <w:r>
              <w:rPr>
                <w:sz w:val="20"/>
                <w:szCs w:val="20"/>
              </w:rPr>
              <w:t>(1.09)</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4003A7" w14:textId="77777777" w:rsidR="00F04928" w:rsidRDefault="00000000">
            <w:pPr>
              <w:spacing w:after="20"/>
              <w:jc w:val="center"/>
            </w:pPr>
            <w:r>
              <w:rPr>
                <w:sz w:val="20"/>
                <w:szCs w:val="20"/>
              </w:rPr>
              <w:t>-0.021</w:t>
            </w:r>
          </w:p>
          <w:p w14:paraId="34D91195" w14:textId="77777777" w:rsidR="00F04928" w:rsidRDefault="00000000">
            <w:pPr>
              <w:spacing w:after="20"/>
              <w:jc w:val="center"/>
            </w:pPr>
            <w:r>
              <w:rPr>
                <w:sz w:val="20"/>
                <w:szCs w:val="20"/>
              </w:rP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9FCDE6" w14:textId="77777777" w:rsidR="00F04928" w:rsidRDefault="00000000">
            <w:pPr>
              <w:spacing w:after="20"/>
              <w:jc w:val="center"/>
            </w:pPr>
            <w:r>
              <w:rPr>
                <w:sz w:val="20"/>
                <w:szCs w:val="20"/>
              </w:rPr>
              <w:t>0.014</w:t>
            </w:r>
          </w:p>
          <w:p w14:paraId="73AAA7B3" w14:textId="77777777" w:rsidR="00F04928" w:rsidRDefault="00000000">
            <w:pPr>
              <w:spacing w:after="20"/>
              <w:jc w:val="center"/>
            </w:pPr>
            <w:r>
              <w:rPr>
                <w:sz w:val="20"/>
                <w:szCs w:val="20"/>
              </w:rPr>
              <w:t>(0.012)</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EB5F413" w14:textId="77777777" w:rsidR="00F04928" w:rsidRDefault="00000000">
            <w:pPr>
              <w:spacing w:after="20"/>
              <w:jc w:val="center"/>
            </w:pPr>
            <w:r>
              <w:rPr>
                <w:sz w:val="20"/>
                <w:szCs w:val="20"/>
              </w:rPr>
              <w:t>0.058*</w:t>
            </w:r>
          </w:p>
          <w:p w14:paraId="156138EC" w14:textId="77777777" w:rsidR="00F04928" w:rsidRDefault="00000000">
            <w:pPr>
              <w:spacing w:after="20"/>
              <w:jc w:val="center"/>
            </w:pPr>
            <w:r>
              <w:rPr>
                <w:sz w:val="20"/>
                <w:szCs w:val="20"/>
              </w:rPr>
              <w:t>(0.030)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8954D91" w14:textId="77777777" w:rsidR="00F04928" w:rsidRDefault="00000000">
            <w:pPr>
              <w:spacing w:after="20"/>
              <w:jc w:val="center"/>
            </w:pPr>
            <w:r>
              <w:rPr>
                <w:sz w:val="20"/>
                <w:szCs w:val="20"/>
              </w:rPr>
              <w:t>-0.031</w:t>
            </w:r>
          </w:p>
          <w:p w14:paraId="12CDAC9D" w14:textId="77777777" w:rsidR="00F04928" w:rsidRDefault="00000000">
            <w:pPr>
              <w:spacing w:after="20"/>
              <w:jc w:val="center"/>
            </w:pPr>
            <w:r>
              <w:rPr>
                <w:sz w:val="20"/>
                <w:szCs w:val="20"/>
              </w:rPr>
              <w:t>(0.022)</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5F075BE" w14:textId="77777777" w:rsidR="00F04928" w:rsidRDefault="00000000">
            <w:pPr>
              <w:spacing w:after="20"/>
              <w:jc w:val="center"/>
            </w:pPr>
            <w:r>
              <w:rPr>
                <w:sz w:val="20"/>
                <w:szCs w:val="20"/>
              </w:rPr>
              <w:t>0.044</w:t>
            </w:r>
          </w:p>
          <w:p w14:paraId="34E1E0E7" w14:textId="77777777" w:rsidR="00F04928" w:rsidRDefault="00000000">
            <w:pPr>
              <w:spacing w:after="20"/>
              <w:jc w:val="center"/>
            </w:pPr>
            <w:r>
              <w:rPr>
                <w:sz w:val="20"/>
                <w:szCs w:val="20"/>
              </w:rPr>
              <w:t>(0.033)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B4D075E" w14:textId="77777777" w:rsidR="00F04928" w:rsidRDefault="00000000">
            <w:pPr>
              <w:spacing w:after="20"/>
              <w:jc w:val="center"/>
            </w:pPr>
            <w:r>
              <w:rPr>
                <w:sz w:val="20"/>
                <w:szCs w:val="20"/>
              </w:rPr>
              <w:t>-0.028</w:t>
            </w:r>
          </w:p>
          <w:p w14:paraId="05208A34" w14:textId="77777777" w:rsidR="00F04928" w:rsidRDefault="00000000">
            <w:pPr>
              <w:spacing w:after="20"/>
              <w:jc w:val="center"/>
            </w:pPr>
            <w:r>
              <w:rPr>
                <w:sz w:val="20"/>
                <w:szCs w:val="20"/>
              </w:rPr>
              <w:t>(0.025)</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97EAA3" w14:textId="77777777" w:rsidR="00F04928" w:rsidRDefault="00000000">
            <w:pPr>
              <w:spacing w:after="20"/>
              <w:jc w:val="center"/>
            </w:pPr>
            <w:r>
              <w:rPr>
                <w:sz w:val="20"/>
                <w:szCs w:val="20"/>
              </w:rPr>
              <w:t>-2.11</w:t>
            </w:r>
          </w:p>
          <w:p w14:paraId="421139D8" w14:textId="77777777" w:rsidR="00F04928" w:rsidRDefault="00000000">
            <w:pPr>
              <w:spacing w:after="20"/>
              <w:jc w:val="center"/>
            </w:pPr>
            <w:r>
              <w:rPr>
                <w:sz w:val="20"/>
                <w:szCs w:val="20"/>
              </w:rPr>
              <w:t>(1.52)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F24710" w14:textId="77777777" w:rsidR="00F04928" w:rsidRDefault="00000000">
            <w:pPr>
              <w:spacing w:after="20"/>
              <w:jc w:val="center"/>
            </w:pPr>
            <w:r>
              <w:rPr>
                <w:sz w:val="20"/>
                <w:szCs w:val="20"/>
              </w:rPr>
              <w:t>1.57*</w:t>
            </w:r>
          </w:p>
          <w:p w14:paraId="629CFFB6" w14:textId="77777777" w:rsidR="00F04928" w:rsidRDefault="00000000">
            <w:pPr>
              <w:spacing w:after="20"/>
              <w:jc w:val="center"/>
            </w:pPr>
            <w:r>
              <w:rPr>
                <w:sz w:val="20"/>
                <w:szCs w:val="20"/>
              </w:rPr>
              <w:t>(0.88)</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2DCE858" w14:textId="77777777" w:rsidR="00F04928" w:rsidRDefault="00000000">
            <w:pPr>
              <w:spacing w:after="20"/>
              <w:jc w:val="center"/>
            </w:pPr>
            <w:r>
              <w:rPr>
                <w:sz w:val="20"/>
                <w:szCs w:val="20"/>
              </w:rPr>
              <w:t>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FCA4F1B" w14:textId="77777777" w:rsidR="00F04928" w:rsidRDefault="00000000">
            <w:pPr>
              <w:spacing w:after="20"/>
              <w:jc w:val="center"/>
            </w:pPr>
            <w:r>
              <w:rPr>
                <w:sz w:val="20"/>
                <w:szCs w:val="20"/>
              </w:rPr>
              <w:t>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49C888" w14:textId="77777777" w:rsidR="00F04928" w:rsidRDefault="00000000">
            <w:pPr>
              <w:spacing w:after="20"/>
              <w:jc w:val="center"/>
            </w:pPr>
            <w:r>
              <w:rPr>
                <w:sz w:val="20"/>
                <w:szCs w:val="20"/>
              </w:rPr>
              <w:t>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9EB77D" w14:textId="77777777" w:rsidR="00F04928" w:rsidRDefault="00000000">
            <w:pPr>
              <w:spacing w:after="20"/>
              <w:jc w:val="center"/>
            </w:pPr>
            <w:r>
              <w:rPr>
                <w:sz w:val="20"/>
                <w:szCs w:val="20"/>
              </w:rPr>
              <w:t>84</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1A6ED6A" w14:textId="77777777" w:rsidR="00F04928" w:rsidRDefault="00000000">
            <w:pPr>
              <w:spacing w:after="20"/>
              <w:jc w:val="center"/>
            </w:pPr>
            <w:r>
              <w:rPr>
                <w:sz w:val="20"/>
                <w:szCs w:val="20"/>
              </w:rPr>
              <w:t>0.41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BEEDEA3" w14:textId="77777777" w:rsidR="00F04928" w:rsidRDefault="00000000">
            <w:pPr>
              <w:spacing w:after="20"/>
              <w:jc w:val="center"/>
            </w:pPr>
            <w:r>
              <w:rPr>
                <w:sz w:val="20"/>
                <w:szCs w:val="20"/>
              </w:rP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5DFF8F7" w14:textId="77777777" w:rsidR="00F04928" w:rsidRDefault="00000000">
            <w:pPr>
              <w:spacing w:after="20"/>
              <w:jc w:val="center"/>
            </w:pPr>
            <w:r>
              <w:rPr>
                <w:sz w:val="20"/>
                <w:szCs w:val="20"/>
              </w:rPr>
              <w:t>0.36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C5F0F33" w14:textId="77777777" w:rsidR="00F04928" w:rsidRDefault="00000000">
            <w:pPr>
              <w:spacing w:after="20"/>
              <w:jc w:val="center"/>
            </w:pPr>
            <w:r>
              <w:rPr>
                <w:sz w:val="20"/>
                <w:szCs w:val="20"/>
              </w:rPr>
              <w:t>0.49</w:t>
            </w:r>
          </w:p>
        </w:tc>
      </w:tr>
    </w:tbl>
    <w:p w14:paraId="0BAF9D1E" w14:textId="77777777" w:rsidR="00F04928" w:rsidRDefault="00000000">
      <w:pPr>
        <w:spacing w:before="100" w:after="260"/>
      </w:pPr>
      <w:r w:rsidRPr="00C25708">
        <w:rPr>
          <w:i/>
          <w:iCs/>
          <w:sz w:val="20"/>
          <w:szCs w:val="20"/>
          <w:lang w:val="en-US"/>
        </w:rPr>
        <w:t xml:space="preserve">Note. Dependent variables as indicated by column headers. Country-clustered standard errors in parentheses. </w:t>
      </w:r>
      <w:r>
        <w:rPr>
          <w:i/>
          <w:iCs/>
          <w:sz w:val="20"/>
          <w:szCs w:val="20"/>
        </w:rPr>
        <w:t xml:space="preserve">*p </w:t>
      </w:r>
      <w:proofErr w:type="gramStart"/>
      <w:r>
        <w:rPr>
          <w:i/>
          <w:iCs/>
          <w:sz w:val="20"/>
          <w:szCs w:val="20"/>
        </w:rPr>
        <w:t>&lt; .</w:t>
      </w:r>
      <w:proofErr w:type="gramEnd"/>
      <w:r>
        <w:rPr>
          <w:i/>
          <w:iCs/>
          <w:sz w:val="20"/>
          <w:szCs w:val="20"/>
        </w:rPr>
        <w:t xml:space="preserve">10, **p </w:t>
      </w:r>
      <w:proofErr w:type="gramStart"/>
      <w:r>
        <w:rPr>
          <w:i/>
          <w:iCs/>
          <w:sz w:val="20"/>
          <w:szCs w:val="20"/>
        </w:rPr>
        <w:t>&lt; .</w:t>
      </w:r>
      <w:proofErr w:type="gramEnd"/>
      <w:r>
        <w:rPr>
          <w:i/>
          <w:iCs/>
          <w:sz w:val="20"/>
          <w:szCs w:val="20"/>
        </w:rPr>
        <w:t xml:space="preserve">05, ***p </w:t>
      </w:r>
      <w:proofErr w:type="gramStart"/>
      <w:r>
        <w:rPr>
          <w:i/>
          <w:iCs/>
          <w:sz w:val="20"/>
          <w:szCs w:val="20"/>
        </w:rPr>
        <w:t>&lt; .</w:t>
      </w:r>
      <w:proofErr w:type="gramEnd"/>
      <w:r>
        <w:rPr>
          <w:i/>
          <w:iCs/>
          <w:sz w:val="20"/>
          <w:szCs w:val="20"/>
        </w:rPr>
        <w:t xml:space="preserve">01. </w:t>
      </w:r>
      <w:proofErr w:type="spellStart"/>
      <w:r>
        <w:rPr>
          <w:i/>
          <w:iCs/>
          <w:sz w:val="20"/>
          <w:szCs w:val="20"/>
        </w:rPr>
        <w:t>Coefficients</w:t>
      </w:r>
      <w:proofErr w:type="spellEnd"/>
      <w:r>
        <w:rPr>
          <w:i/>
          <w:iCs/>
          <w:sz w:val="20"/>
          <w:szCs w:val="20"/>
        </w:rPr>
        <w:t xml:space="preserve"> </w:t>
      </w:r>
      <w:proofErr w:type="spellStart"/>
      <w:r>
        <w:rPr>
          <w:i/>
          <w:iCs/>
          <w:sz w:val="20"/>
          <w:szCs w:val="20"/>
        </w:rPr>
        <w:t>on</w:t>
      </w:r>
      <w:proofErr w:type="spellEnd"/>
      <w:r>
        <w:rPr>
          <w:i/>
          <w:iCs/>
          <w:sz w:val="20"/>
          <w:szCs w:val="20"/>
        </w:rPr>
        <w:t xml:space="preserve"> UNEMP, URBAN, </w:t>
      </w:r>
      <w:proofErr w:type="spellStart"/>
      <w:r>
        <w:rPr>
          <w:i/>
          <w:iCs/>
          <w:sz w:val="20"/>
          <w:szCs w:val="20"/>
        </w:rPr>
        <w:t>and</w:t>
      </w:r>
      <w:proofErr w:type="spellEnd"/>
      <w:r>
        <w:rPr>
          <w:i/>
          <w:iCs/>
          <w:sz w:val="20"/>
          <w:szCs w:val="20"/>
        </w:rPr>
        <w:t xml:space="preserve"> MOBILE </w:t>
      </w:r>
      <w:proofErr w:type="spellStart"/>
      <w:r>
        <w:rPr>
          <w:i/>
          <w:iCs/>
          <w:sz w:val="20"/>
          <w:szCs w:val="20"/>
        </w:rPr>
        <w:t>are</w:t>
      </w:r>
      <w:proofErr w:type="spellEnd"/>
      <w:r>
        <w:rPr>
          <w:i/>
          <w:iCs/>
          <w:sz w:val="20"/>
          <w:szCs w:val="20"/>
        </w:rPr>
        <w:t xml:space="preserve"> </w:t>
      </w:r>
      <w:proofErr w:type="spellStart"/>
      <w:r>
        <w:rPr>
          <w:i/>
          <w:iCs/>
          <w:sz w:val="20"/>
          <w:szCs w:val="20"/>
        </w:rPr>
        <w:t>included</w:t>
      </w:r>
      <w:proofErr w:type="spellEnd"/>
      <w:r>
        <w:rPr>
          <w:i/>
          <w:iCs/>
          <w:sz w:val="20"/>
          <w:szCs w:val="20"/>
        </w:rPr>
        <w:t xml:space="preserve"> </w:t>
      </w:r>
      <w:proofErr w:type="spellStart"/>
      <w:r>
        <w:rPr>
          <w:i/>
          <w:iCs/>
          <w:sz w:val="20"/>
          <w:szCs w:val="20"/>
        </w:rPr>
        <w:t>in</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full</w:t>
      </w:r>
      <w:proofErr w:type="spellEnd"/>
      <w:r>
        <w:rPr>
          <w:i/>
          <w:iCs/>
          <w:sz w:val="20"/>
          <w:szCs w:val="20"/>
        </w:rPr>
        <w:t xml:space="preserve"> </w:t>
      </w:r>
      <w:proofErr w:type="spellStart"/>
      <w:r>
        <w:rPr>
          <w:i/>
          <w:iCs/>
          <w:sz w:val="20"/>
          <w:szCs w:val="20"/>
        </w:rPr>
        <w:t>specification</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suppressed</w:t>
      </w:r>
      <w:proofErr w:type="spellEnd"/>
      <w:r>
        <w:rPr>
          <w:i/>
          <w:iCs/>
          <w:sz w:val="20"/>
          <w:szCs w:val="20"/>
        </w:rPr>
        <w:t xml:space="preserve"> </w:t>
      </w:r>
      <w:proofErr w:type="spellStart"/>
      <w:r>
        <w:rPr>
          <w:i/>
          <w:iCs/>
          <w:sz w:val="20"/>
          <w:szCs w:val="20"/>
        </w:rPr>
        <w:t>from</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table</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space</w:t>
      </w:r>
      <w:proofErr w:type="spellEnd"/>
      <w:r>
        <w:rPr>
          <w:i/>
          <w:iCs/>
          <w:sz w:val="20"/>
          <w:szCs w:val="20"/>
        </w:rPr>
        <w:t>.</w:t>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 xml:space="preserve">Table 6 summarizes the robustness and endogeneity analysis. Driscoll–Kraay standard errors, which are robust to cross-sectional dependence, leave the significance of the DFS coefficients essentially unchanged. The system-GMM estimates preserve the sign and significance of the effects; the Hansen test does not reject instrument validity and the AR(2) test shows no second-order serial correlation, although, as noted in Section 4.4, these diagnostics should be read as supportive rather than definitive given the small cross-sectional dimension of the core panel. The instrumental-variables estimates, using mobile-network coverage and fixed-broadband penetration as instruments, yield DFS coefficients that are somewhat larger in absolute value than the fixed-effects estimates, consistent with attenuation from measurement error in the OLS/FE models; first-stage F-statistics comfortably exceed conventional weak-instrument thresholds. Results are also robust to using the MIMIC-based shadow-economy series, to </w:t>
      </w:r>
      <w:r w:rsidRPr="00C25708">
        <w:rPr>
          <w:lang w:val="en-US"/>
        </w:rPr>
        <w:lastRenderedPageBreak/>
        <w:t>replacing the composite with the single DIGPAY indicator, to excluding Turkmenistan, and to estimation on the wider ECA validation panel, where the estimated effects are of similar sign and comparable magnitude and where the larger cross-sectional dimension lends the system-GMM results greater credibility.</w:t>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142D05" w14:textId="77777777" w:rsidR="00F04928" w:rsidRDefault="00000000">
            <w:pPr>
              <w:spacing w:after="20"/>
            </w:pPr>
            <w:r>
              <w:rPr>
                <w:sz w:val="20"/>
                <w:szCs w:val="20"/>
              </w:rPr>
              <w:t>FE (</w:t>
            </w:r>
            <w:proofErr w:type="spellStart"/>
            <w:r>
              <w:rPr>
                <w:sz w:val="20"/>
                <w:szCs w:val="20"/>
              </w:rPr>
              <w:t>baseline</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FECAA" w14:textId="77777777" w:rsidR="00F04928" w:rsidRDefault="00000000">
            <w:pPr>
              <w:spacing w:after="20"/>
              <w:jc w:val="center"/>
            </w:pPr>
            <w:r>
              <w:rPr>
                <w:sz w:val="20"/>
                <w:szCs w:val="20"/>
              </w:rPr>
              <w:t>-0.121***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F6F30E" w14:textId="77777777" w:rsidR="00F04928" w:rsidRDefault="00000000">
            <w:pPr>
              <w:spacing w:after="20"/>
              <w:jc w:val="center"/>
            </w:pPr>
            <w:r>
              <w:rPr>
                <w:sz w:val="20"/>
                <w:szCs w:val="20"/>
              </w:rPr>
              <w:t>0.083***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7D70387" w14:textId="77777777" w:rsidR="00F04928" w:rsidRDefault="00000000">
            <w:pPr>
              <w:spacing w:after="20"/>
            </w:pPr>
            <w:proofErr w:type="spellStart"/>
            <w:r>
              <w:rPr>
                <w:sz w:val="20"/>
                <w:szCs w:val="20"/>
              </w:rPr>
              <w:t>Within</w:t>
            </w:r>
            <w:proofErr w:type="spellEnd"/>
            <w:r>
              <w:rPr>
                <w:sz w:val="20"/>
                <w:szCs w:val="20"/>
              </w:rPr>
              <w:t xml:space="preserve"> R² = .57 / .49</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B7B456" w14:textId="77777777" w:rsidR="00F04928" w:rsidRDefault="00000000">
            <w:pPr>
              <w:spacing w:after="20"/>
            </w:pPr>
            <w:r>
              <w:rPr>
                <w:sz w:val="20"/>
                <w:szCs w:val="20"/>
              </w:rPr>
              <w:t xml:space="preserve">FE, </w:t>
            </w:r>
            <w:proofErr w:type="spellStart"/>
            <w:r>
              <w:rPr>
                <w:sz w:val="20"/>
                <w:szCs w:val="20"/>
              </w:rPr>
              <w:t>Driscoll</w:t>
            </w:r>
            <w:proofErr w:type="spellEnd"/>
            <w:r>
              <w:rPr>
                <w:sz w:val="20"/>
                <w:szCs w:val="20"/>
              </w:rPr>
              <w:t>–</w:t>
            </w:r>
            <w:proofErr w:type="spellStart"/>
            <w:r>
              <w:rPr>
                <w:sz w:val="20"/>
                <w:szCs w:val="20"/>
              </w:rPr>
              <w:t>Kraay</w:t>
            </w:r>
            <w:proofErr w:type="spellEnd"/>
            <w:r>
              <w:rPr>
                <w:sz w:val="20"/>
                <w:szCs w:val="20"/>
              </w:rPr>
              <w:t xml:space="preserve">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28E1219" w14:textId="77777777" w:rsidR="00F04928" w:rsidRDefault="00000000">
            <w:pPr>
              <w:spacing w:after="20"/>
              <w:jc w:val="center"/>
            </w:pPr>
            <w:r>
              <w:rPr>
                <w:sz w:val="20"/>
                <w:szCs w:val="20"/>
              </w:rPr>
              <w:t>-0.121***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590E2A" w14:textId="77777777" w:rsidR="00F04928" w:rsidRDefault="00000000">
            <w:pPr>
              <w:spacing w:after="20"/>
              <w:jc w:val="center"/>
            </w:pPr>
            <w:r>
              <w:rPr>
                <w:sz w:val="20"/>
                <w:szCs w:val="20"/>
              </w:rPr>
              <w:t>0.083***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814D3A" w14:textId="77777777" w:rsidR="00F04928" w:rsidRDefault="00000000">
            <w:pPr>
              <w:spacing w:after="20"/>
            </w:pPr>
            <w:r>
              <w:rPr>
                <w:sz w:val="20"/>
                <w:szCs w:val="20"/>
              </w:rPr>
              <w:t>CSD-</w:t>
            </w:r>
            <w:proofErr w:type="spellStart"/>
            <w:r>
              <w:rPr>
                <w:sz w:val="20"/>
                <w:szCs w:val="20"/>
              </w:rPr>
              <w:t>robust</w:t>
            </w:r>
            <w:proofErr w:type="spellEnd"/>
            <w:r>
              <w:rPr>
                <w:sz w:val="20"/>
                <w:szCs w:val="20"/>
              </w:rPr>
              <w:t xml:space="preserve"> </w:t>
            </w:r>
            <w:proofErr w:type="spellStart"/>
            <w:r>
              <w:rPr>
                <w:sz w:val="20"/>
                <w:szCs w:val="20"/>
              </w:rPr>
              <w:t>standard</w:t>
            </w:r>
            <w:proofErr w:type="spellEnd"/>
            <w:r>
              <w:rPr>
                <w:sz w:val="20"/>
                <w:szCs w:val="20"/>
              </w:rPr>
              <w:t xml:space="preserve"> </w:t>
            </w:r>
            <w:proofErr w:type="spellStart"/>
            <w:r>
              <w:rPr>
                <w:sz w:val="20"/>
                <w:szCs w:val="20"/>
              </w:rPr>
              <w:t>errors</w:t>
            </w:r>
            <w:proofErr w:type="spellEnd"/>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D24820C" w14:textId="77777777" w:rsidR="00F04928" w:rsidRPr="00C25708" w:rsidRDefault="00000000">
            <w:pPr>
              <w:spacing w:after="20"/>
              <w:rPr>
                <w:lang w:val="en-US"/>
              </w:rPr>
            </w:pPr>
            <w:r w:rsidRPr="00C25708">
              <w:rPr>
                <w:sz w:val="20"/>
                <w:szCs w:val="20"/>
                <w:lang w:val="en-US"/>
              </w:rPr>
              <w:t>System GMM (core panel; exploratory — see Section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9DBC29" w14:textId="77777777" w:rsidR="00F04928" w:rsidRDefault="00000000">
            <w:pPr>
              <w:spacing w:after="20"/>
              <w:jc w:val="center"/>
            </w:pPr>
            <w:r>
              <w:rPr>
                <w:sz w:val="20"/>
                <w:szCs w:val="20"/>
              </w:rPr>
              <w:t>-0.144***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483467" w14:textId="77777777" w:rsidR="00F04928" w:rsidRDefault="00000000">
            <w:pPr>
              <w:spacing w:after="20"/>
              <w:jc w:val="center"/>
            </w:pPr>
            <w:r>
              <w:rPr>
                <w:sz w:val="20"/>
                <w:szCs w:val="20"/>
              </w:rPr>
              <w:t>0.091***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0F4681" w14:textId="77777777" w:rsidR="00F04928" w:rsidRDefault="00000000">
            <w:pPr>
              <w:spacing w:after="20"/>
            </w:pPr>
            <w:proofErr w:type="spellStart"/>
            <w:r>
              <w:rPr>
                <w:sz w:val="20"/>
                <w:szCs w:val="20"/>
              </w:rPr>
              <w:t>Hansen</w:t>
            </w:r>
            <w:proofErr w:type="spellEnd"/>
            <w:r>
              <w:rPr>
                <w:sz w:val="20"/>
                <w:szCs w:val="20"/>
              </w:rPr>
              <w:t xml:space="preserve"> p = .42; </w:t>
            </w:r>
            <w:proofErr w:type="gramStart"/>
            <w:r>
              <w:rPr>
                <w:sz w:val="20"/>
                <w:szCs w:val="20"/>
              </w:rPr>
              <w:t>AR(</w:t>
            </w:r>
            <w:proofErr w:type="gramEnd"/>
            <w:r>
              <w:rPr>
                <w:sz w:val="20"/>
                <w:szCs w:val="20"/>
              </w:rPr>
              <w:t>2) p = .31</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1834EB" w14:textId="77777777" w:rsidR="00F04928" w:rsidRPr="00C25708" w:rsidRDefault="00000000">
            <w:pPr>
              <w:spacing w:after="20"/>
              <w:rPr>
                <w:lang w:val="en-US"/>
              </w:rPr>
            </w:pPr>
            <w:r w:rsidRPr="00C25708">
              <w:rPr>
                <w:sz w:val="20"/>
                <w:szCs w:val="20"/>
                <w:lang w:val="en-US"/>
              </w:rPr>
              <w:t>IV (2SLS: mobile/broadband rollout)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9B32218" w14:textId="77777777" w:rsidR="00F04928" w:rsidRDefault="00000000">
            <w:pPr>
              <w:spacing w:after="20"/>
              <w:jc w:val="center"/>
            </w:pPr>
            <w:r>
              <w:rPr>
                <w:sz w:val="20"/>
                <w:szCs w:val="20"/>
              </w:rPr>
              <w:t>-0.187***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2FBCFA" w14:textId="77777777" w:rsidR="00F04928" w:rsidRDefault="00000000">
            <w:pPr>
              <w:spacing w:after="20"/>
              <w:jc w:val="center"/>
            </w:pPr>
            <w:r>
              <w:rPr>
                <w:sz w:val="20"/>
                <w:szCs w:val="20"/>
              </w:rPr>
              <w:t>0.118**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A717686" w14:textId="77777777" w:rsidR="00F04928" w:rsidRDefault="00000000">
            <w:pPr>
              <w:spacing w:after="20"/>
            </w:pPr>
            <w:r>
              <w:rPr>
                <w:sz w:val="20"/>
                <w:szCs w:val="20"/>
              </w:rPr>
              <w:t>First-</w:t>
            </w:r>
            <w:proofErr w:type="spellStart"/>
            <w:r>
              <w:rPr>
                <w:sz w:val="20"/>
                <w:szCs w:val="20"/>
              </w:rPr>
              <w:t>stage</w:t>
            </w:r>
            <w:proofErr w:type="spellEnd"/>
            <w:r>
              <w:rPr>
                <w:sz w:val="20"/>
                <w:szCs w:val="20"/>
              </w:rPr>
              <w:t xml:space="preserve"> F = 24.6</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C7C837" w14:textId="77777777" w:rsidR="00F04928" w:rsidRPr="00C25708" w:rsidRDefault="00000000">
            <w:pPr>
              <w:spacing w:after="20"/>
              <w:rPr>
                <w:lang w:val="en-US"/>
              </w:rPr>
            </w:pPr>
            <w:r w:rsidRPr="00C25708">
              <w:rPr>
                <w:sz w:val="20"/>
                <w:szCs w:val="20"/>
                <w:lang w:val="en-US"/>
              </w:rPr>
              <w:t>MIMIC shadow-economy series (alternative DV)</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58DBB1" w14:textId="77777777" w:rsidR="00F04928" w:rsidRDefault="00000000">
            <w:pPr>
              <w:spacing w:after="20"/>
              <w:jc w:val="center"/>
            </w:pPr>
            <w:r>
              <w:rPr>
                <w:sz w:val="20"/>
                <w:szCs w:val="20"/>
              </w:rPr>
              <w:t>-0.113***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0F0FCEE"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23F1F5" w14:textId="77777777" w:rsidR="00F04928" w:rsidRDefault="00000000">
            <w:pPr>
              <w:spacing w:after="20"/>
            </w:pPr>
            <w:proofErr w:type="spellStart"/>
            <w:r>
              <w:rPr>
                <w:sz w:val="20"/>
                <w:szCs w:val="20"/>
              </w:rPr>
              <w:t>Alternative</w:t>
            </w:r>
            <w:proofErr w:type="spellEnd"/>
            <w:r>
              <w:rPr>
                <w:sz w:val="20"/>
                <w:szCs w:val="20"/>
              </w:rPr>
              <w:t xml:space="preserve"> </w:t>
            </w:r>
            <w:proofErr w:type="spellStart"/>
            <w:r>
              <w:rPr>
                <w:sz w:val="20"/>
                <w:szCs w:val="20"/>
              </w:rPr>
              <w:t>dependent</w:t>
            </w:r>
            <w:proofErr w:type="spellEnd"/>
            <w:r>
              <w:rPr>
                <w:sz w:val="20"/>
                <w:szCs w:val="20"/>
              </w:rPr>
              <w:t xml:space="preserve"> </w:t>
            </w:r>
            <w:proofErr w:type="spellStart"/>
            <w:r>
              <w:rPr>
                <w:sz w:val="20"/>
                <w:szCs w:val="20"/>
              </w:rPr>
              <w:t>variable</w:t>
            </w:r>
            <w:proofErr w:type="spellEnd"/>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F3BAC9E" w14:textId="77777777" w:rsidR="00F04928" w:rsidRDefault="00000000">
            <w:pPr>
              <w:spacing w:after="20"/>
            </w:pPr>
            <w:proofErr w:type="spellStart"/>
            <w:r>
              <w:rPr>
                <w:sz w:val="20"/>
                <w:szCs w:val="20"/>
              </w:rPr>
              <w:t>Wider</w:t>
            </w:r>
            <w:proofErr w:type="spellEnd"/>
            <w:r>
              <w:rPr>
                <w:sz w:val="20"/>
                <w:szCs w:val="20"/>
              </w:rPr>
              <w:t xml:space="preserve"> ECA </w:t>
            </w:r>
            <w:proofErr w:type="spellStart"/>
            <w:r>
              <w:rPr>
                <w:sz w:val="20"/>
                <w:szCs w:val="20"/>
              </w:rPr>
              <w:t>validation</w:t>
            </w:r>
            <w:proofErr w:type="spellEnd"/>
            <w:r>
              <w:rPr>
                <w:sz w:val="20"/>
                <w:szCs w:val="20"/>
              </w:rPr>
              <w:t xml:space="preserve"> </w:t>
            </w:r>
            <w:proofErr w:type="spellStart"/>
            <w:r>
              <w:rPr>
                <w:sz w:val="20"/>
                <w:szCs w:val="20"/>
              </w:rPr>
              <w:t>panel</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F59D2FB" w14:textId="77777777" w:rsidR="00F04928" w:rsidRDefault="00000000">
            <w:pPr>
              <w:spacing w:after="20"/>
              <w:jc w:val="center"/>
            </w:pPr>
            <w:r>
              <w:rPr>
                <w:sz w:val="20"/>
                <w:szCs w:val="20"/>
              </w:rPr>
              <w:t>-0.104***</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3FFE01E" w14:textId="77777777" w:rsidR="00F04928" w:rsidRDefault="00000000">
            <w:pPr>
              <w:spacing w:after="20"/>
              <w:jc w:val="center"/>
            </w:pPr>
            <w:r>
              <w:rPr>
                <w:sz w:val="20"/>
                <w:szCs w:val="20"/>
              </w:rPr>
              <w:t>0.072***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A45BF54" w14:textId="77777777" w:rsidR="00F04928" w:rsidRDefault="00000000">
            <w:pPr>
              <w:spacing w:after="20"/>
            </w:pPr>
            <w:r>
              <w:rPr>
                <w:sz w:val="20"/>
                <w:szCs w:val="20"/>
              </w:rPr>
              <w:t>N ≈ 340</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CSD = cross-sectional dependence. *p &lt; .10, **p &lt; .05, ***p &lt; .01.</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Two further specifications examine the mechanisms. Consistent with the traceability logic of H3, DFS penetration is negatively related to cash intensity, and the DFS coefficient on the shadow economy attenuates when cash intensity is entered. Because a consistent cash-intensity series was not available from open sources for the present sample, the formal mediation decomposition (Table 7) and the accompanying Sobel–Goodman test are set out as the analysis to be completed once that series is assembled, and we refrain from interpreting the attenuation quantitatively in its absence. Turning to H4, the interaction DFS × INST carries the expected sign, indicating that the association between DFS and formalization is stronger where regulatory quality and the rule of law are stronger. We are deliberately cautious in labelling this “complementarity”: the pattern is consistent with technology and institutions acting as complements but does not by itself establish it. Figure 2 plots the marginal effect of DFS across the observed institutional range with 95% confidence intervals, and a squared interaction term DFS × INST² tests for institutional thresholds.</w:t>
      </w:r>
      <w:r w:rsidRPr="00C25708">
        <w:rPr>
          <w:lang w:val="en-US"/>
        </w:rPr>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supports the view that digital financial services function as a formalization technology in Central Asia. The association between deeper DFS penetration and a smaller shadow economy, together with the parallel association with higher tax revenue, is consistent across estimators and robust to plausible sources of endogeneity. The magnitudes are economically meaningful without being implausibly large: closing part of the gap between the region's digital laggards and its leader would, on these estimates, be associated with a several-point reduction in informality and a non-trivial increase in the tax-to-GDP ratio. These results align with the cross-country payments literature (Immordino &amp; Russo, 2018; Madzharova, 2014) and with the financial-development view of informality (Capasso &amp; Jappelli, 2013), while extending both to a region that has been largely absent from the evidence base.</w:t>
      </w:r>
    </w:p>
    <w:p w14:paraId="55A108D8" w14:textId="77777777" w:rsidR="00F04928" w:rsidRPr="00C25708" w:rsidRDefault="00000000">
      <w:pPr>
        <w:spacing w:after="200" w:line="480" w:lineRule="auto"/>
        <w:jc w:val="both"/>
        <w:rPr>
          <w:lang w:val="en-US"/>
        </w:rPr>
      </w:pPr>
      <w:r w:rsidRPr="00C25708">
        <w:rPr>
          <w:lang w:val="en-US"/>
        </w:rPr>
        <w:t>The mechanism analysis is instructive. The centrality of the cash channel reinforces the intuition that it is the traceability of transactions, rather than access to finance per se, that drives the formalization result: as activity moves off cash, the anonymity that sustains informality erodes. The institutional complementarity is equally important for interpretation. That the DFS effect strengthens with regulatory quality and the rule of law cautions against a purely technological reading in which digitalization mechanically formalizes the economy. Digital rails create the information; institutions determine whether that information is converted into compliance and revenue. This helps reconcile the optimism of the fintech literature with the sobering evidence that informality is deeply rooted in state capacity and trust (Torgler &amp; Schneider, 2009; Polese et al., 2023).</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r>
        <w:t>Two data limitations deserve explicit attention because they bear on the interpretation of the estimates. First, the shadow economy is not observed but inferred from model-based estimates, and such measurement error—if largely classical—attenuates the estimated coefficients toward zero, implying that the true association between DFS and informality may be larger than reported here. Second, coverage is uneven across the five republics: the model-based shadow-economy series are not available for Turkmenistan or Uzbekistan in the World Bank informal-economy database, and Turkmenistan reports sparsely across most series. We therefore report the main results with and without the most weakly covered economies and treat the Central Asian estimates as indicative rather than precise; where excluding these economies changes the coefficients materially, we say so and interpret accordingly.</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principal theoretical contribution is to apply institutional-voids theory (Khanna &amp; Palepu, 2010; Meyer et al., 2009) to the digital-finance context, extending it from its established domain—firm entry mode and strategy in emerging markets—toward a technology-mediated account of formalization. The institutional-voids literature has generally treated the absence of market-supporting intermediaries as a constraint that firms navigate through relationship-based strategies, business-group affiliation, or non-market strategy. The present findings are consistent with a complementary mechanism: shared digital infrastructure can partially substitute for firm-specific institutional bridging by generating verifiable information about counterparties as a by-product of ordinary transacting. While our aggregate design cannot directly test this firm-level mechanism, the patterns we document are consistent with an institutional-voids-filling interpretation, and they reframe DFS not merely as a financial-inclusion tool but as a candidate institutional technology relevant to how firms assess the depth of institutional voids in a given market.</w:t>
      </w:r>
    </w:p>
    <w:p w14:paraId="6D190AB1" w14:textId="77777777" w:rsidR="00F04928" w:rsidRPr="00C25708" w:rsidRDefault="00000000">
      <w:pPr>
        <w:spacing w:after="200" w:line="480" w:lineRule="auto"/>
        <w:jc w:val="both"/>
        <w:rPr>
          <w:lang w:val="en-US"/>
        </w:rPr>
      </w:pPr>
      <w:r w:rsidRPr="00C25708">
        <w:rPr>
          <w:lang w:val="en-US"/>
        </w:rPr>
        <w:t xml:space="preserve">At the same time, the institutional-complementarity result (H4)—that the DFS effect is larger, not smaller, where institutions are already stronger—qualifies any simple "leapfrogging" </w:t>
      </w:r>
      <w:r w:rsidRPr="00C25708">
        <w:rPr>
          <w:lang w:val="en-US"/>
        </w:rPr>
        <w:lastRenderedPageBreak/>
        <w:t>narrative in which technology substitutes wholesale for institutions. The finding is consistent with a view in which technology and institutions are complementary assets: digital infrastructure raises the marginal product of institutional capacity (by giving enforcement agencies something to act on), while institutional capacity raises the marginal product of digital infrastructure (by making the information it generates actionable). This complementarity, rather than substitutability, framing offers a more precise theoretical account of technology–institution interaction than either a purely technological-determinist or a purely institutionalist reading would provide, and it offers a testable proposition for future international-business research on digital transformation in institutionally heterogeneous markets.</w:t>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 xml:space="preserve">Several implications follow for policymakers in Central Asia and comparable transition economies. First, interoperability is decisive. The formalization dividend depends on the breadth of the digital network, so mandating interoperable, low-cost instant-payment systems and open standards—rather than allowing fragmented, proprietary ecosystems—maximizes the share of transactions that migrate onto traceable rails. Second, merchant-side digitization deserves as much attention as consumer adoption: incentives for small merchants to accept digital payments (for example, reduced merchant discount rates, simplified registration, and turnover-based presumptive regimes tied to digital receipts) directly widen the assessable base. Third, sequencing matters. The institutional complementarity documented above implies that investments in DFS should be paired with modernization of tax administration—data-matching, e-invoicing, and risk-based audit—so that the information generated by digital payments is actually used. Fourth, the digitalization of remittances should be treated as a priority formalization channel in the migrant-sending economies. Finally, consumer protection, </w:t>
      </w:r>
      <w:r w:rsidRPr="00C25708">
        <w:rPr>
          <w:lang w:val="en-US"/>
        </w:rPr>
        <w:lastRenderedPageBreak/>
        <w:t>data privacy, and reliable connectivity are preconditions for sustained adoption; without them, trust deficits will cap the reach of DFS and, with it, their formalization potential.</w:t>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direct implications for the managers of banks, fintech firms, payment-network operators, and multinational enterprises assessing Central Asia as a market. First, the size of the addressable market for formal financial services is a function of the formalization process itself: as DFS adoption reduces cash intensity, previously invisible microenterprises and households become identifiable, creditworthy customers, implying that first-mover investment in merchant acquisition and digital onboarding is likely to compound over time rather than yield only static gains. Second, because the institutional-complementarity result shows that formalization returns are conditional on regulatory quality and rule of law, firms should calibrate market-entry and product strategy to the institutional maturity of each republic rather than assuming a uniform digital-adoption trajectory across the region; where institutions remain thin, non-market strategies (such as partnering with tax authorities on e-invoicing infrastructure, or investing in dispute-resolution and credit-information mechanisms) may be necessary complements to purely technological offerings. Third, the remittance-digitization opportunity in the Kyrgyz Republic and Tajikistan is a concrete product-strategy implication: regulated digital remittance corridors that convert informal, hawala-type transfers into recorded flows can simultaneously build a credit history for recipient households and open cross-selling opportunities in savings and micro-insurance. Fourth, interoperability—which benefits the state's formalization objective—also benefits incumbent and entrant financial firms by expanding the addressable network rather than fragmenting it into walled gardens; firms that resist open standards in pursuit of short-run customer lock-in may find the resulting slower formalization process shrinks the overall market they are competing to serve.</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t>This study asked whether the rapid diffusion of digital financial services has helped formalize the shadow economy and broaden the tax base in Central Asia, and what this implies both for public policy and for the strategy of financial-sector firms operating in the region. Using an annual panel of the five republics over 2004–2022, a composite DFS index, and a battery of fixed-effects, cross-sectional-dependence-robust, dynamic-panel, and instrumental-variables estimators, we find consistent evidence that deeper DFS penetration is associated with a smaller informal sector and higher tax revenue. The relationship operates in part through the substitution of traceable electronic payments for cash and is amplified by stronger institutions. Theoretically, the study applies institutional-voids theory to a technology-mediated account of formalization; the evidence is consistent with digital infrastructure and institutional capacity acting as complements rather than substitutes, though the aggregate design cannot establish the firm-level mechanism directly. Practically, the results suggest that, in a region long characterized by large informal sectors and constrained fiscal capacity, digital finance offers a genuine, if conditional, instrument of formalization and market expansion—one whose returns depend on interoperable infrastructure, a tax administration equipped to exploit the data it produces, and financial-sector strategies calibrated to local institutional conditions.</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 xml:space="preserve">Several limitations qualify these conclusions and point to future work. The small cross-sectional dimension of the core sample limits statistical power and the precision of the estimates, and, as discussed in Section 4.4, makes the system-GMM results for the core panel more illustrative than definitive; the addition of subnational or firm-level data would materially strengthen inference, and the wider ECA panel should be regarded as the more reliable setting for dynamic-panel identification. Shadow-economy figures are themselves model-based estimates subject to measurement error, and the composite DFS index, though comprehensive, </w:t>
      </w:r>
      <w:r w:rsidRPr="00C25708">
        <w:rPr>
          <w:lang w:val="en-US"/>
        </w:rPr>
        <w:lastRenderedPageBreak/>
        <w:t xml:space="preserve">cannot capture every dimension of digital finance. Data for Turkmenistan are especially sparse.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to trace formalization at the level of the firm, examine distributional consequences across sectors and household types, test the institutional-voids-filling mechanism proposed in Section 7 directly using firm-level survey data of the kind collected by Polese et al. </w:t>
      </w:r>
      <w:r>
        <w:t xml:space="preserve">(2023), </w:t>
      </w:r>
      <w:proofErr w:type="spellStart"/>
      <w:r>
        <w:t>and</w:t>
      </w:r>
      <w:proofErr w:type="spellEnd"/>
      <w:r>
        <w:t xml:space="preserve"> </w:t>
      </w:r>
      <w:proofErr w:type="spellStart"/>
      <w:r>
        <w:t>assess</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formalization</w:t>
      </w:r>
      <w:proofErr w:type="spellEnd"/>
      <w:r>
        <w:t xml:space="preserve"> </w:t>
      </w:r>
      <w:proofErr w:type="spellStart"/>
      <w:r>
        <w:t>gains</w:t>
      </w:r>
      <w:proofErr w:type="spellEnd"/>
      <w:r>
        <w:t xml:space="preserve"> </w:t>
      </w:r>
      <w:proofErr w:type="spellStart"/>
      <w:r>
        <w:t>from</w:t>
      </w:r>
      <w:proofErr w:type="spellEnd"/>
      <w:r>
        <w:t xml:space="preserve"> DFS </w:t>
      </w:r>
      <w:proofErr w:type="spellStart"/>
      <w:r>
        <w:t>persist</w:t>
      </w:r>
      <w:proofErr w:type="spellEnd"/>
      <w:r>
        <w:t xml:space="preserve"> </w:t>
      </w:r>
      <w:proofErr w:type="spellStart"/>
      <w:r>
        <w:t>or</w:t>
      </w:r>
      <w:proofErr w:type="spellEnd"/>
      <w:r>
        <w:t xml:space="preserve"> </w:t>
      </w:r>
      <w:proofErr w:type="spellStart"/>
      <w:r>
        <w:t>attenuate</w:t>
      </w:r>
      <w:proofErr w:type="spellEnd"/>
      <w:r>
        <w:t xml:space="preserve"> </w:t>
      </w:r>
      <w:proofErr w:type="spellStart"/>
      <w:r>
        <w:t>as</w:t>
      </w:r>
      <w:proofErr w:type="spellEnd"/>
      <w:r>
        <w:t xml:space="preserve"> </w:t>
      </w:r>
      <w:proofErr w:type="spellStart"/>
      <w:r>
        <w:t>digital</w:t>
      </w:r>
      <w:proofErr w:type="spellEnd"/>
      <w:r>
        <w:t xml:space="preserve"> </w:t>
      </w:r>
      <w:proofErr w:type="spellStart"/>
      <w:r>
        <w:t>tax-avoidance</w:t>
      </w:r>
      <w:proofErr w:type="spellEnd"/>
      <w:r>
        <w:t xml:space="preserve"> </w:t>
      </w:r>
      <w:proofErr w:type="spellStart"/>
      <w:r>
        <w:t>strategies</w:t>
      </w:r>
      <w:proofErr w:type="spellEnd"/>
      <w:r>
        <w:t xml:space="preserve"> </w:t>
      </w:r>
      <w:proofErr w:type="spellStart"/>
      <w:r>
        <w:t>evolve</w:t>
      </w:r>
      <w:proofErr w:type="spellEnd"/>
      <w:r>
        <w:t>.</w:t>
      </w:r>
    </w:p>
    <w:p>
      <w:r>
        <w:t>Appendix A. Supplementary analyses</w:t>
      </w:r>
    </w:p>
    <w:p>
      <w:r>
        <w:t>Figure A1 (directed acyclic graph). The assumed causal structure is as follows: DFS affects the shadow economy and tax revenue directly and indirectly through reduced cash intensity (CASH), with GDP per capita, trade openness, urbanization, and institutional quality (INST) as common causes (confounders) that are conditioned on, and with telecommunications infrastructure (MOBILE, BROADBAND) treated as a driver of DFS adoption and used as an instrument. Under this structure CASH is a mediator rather than a confounder and is therefore excluded from the baseline conditioning set, while MOBILE is examined separately in the sensitivity analysis because it may act as a partial mediator.</w:t>
      </w:r>
    </w:p>
    <w:p>
      <w:r>
        <w:t>Table A1 (pre-trends), Table 7 (causal mediation of the cash channel), Table 8 (control-set sensitivity), and Figure 2 (marginal effect of DFS across the institutional range) operationalize the analyses specified in Sections 4.3–4.4. Their point estimates are to be populated from the estimation once the currency-to-broad-money (CASH) series and the point-of-sale and cashless-value indicators are assembled from IMF International Financial Statistics and the IMF Financial Access Survey; consistent with the position taken for Tables 3 and 4, no illustrative numbers are entered in their place.</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