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1810F" w14:textId="77777777" w:rsidR="00F04928" w:rsidRPr="00C25708" w:rsidRDefault="00000000">
      <w:pPr>
        <w:spacing w:after="120"/>
        <w:rPr>
          <w:lang w:val="en-US"/>
        </w:rPr>
      </w:pPr>
      <w:r w:rsidRPr="00C25708">
        <w:rPr>
          <w:i/>
          <w:iCs/>
          <w:lang w:val="en-US"/>
        </w:rPr>
        <w:t>Original Research Article</w:t>
      </w:r>
    </w:p>
    <w:p w14:paraId="27B0D21A" w14:textId="77777777" w:rsidR="00F04928" w:rsidRPr="00C25708" w:rsidRDefault="00000000">
      <w:pPr>
        <w:spacing w:after="280" w:line="480" w:lineRule="auto"/>
        <w:jc w:val="center"/>
        <w:rPr>
          <w:lang w:val="en-US"/>
        </w:rPr>
      </w:pPr>
      <w:r w:rsidRPr="00C25708">
        <w:rPr>
          <w:b/>
          <w:bCs/>
          <w:sz w:val="32"/>
          <w:szCs w:val="32"/>
          <w:lang w:val="en-US"/>
        </w:rPr>
        <w:t>From Cash to Compliance: Digital Financial Services, Institutional Voids, and the Formalization of the Shadow Economy in Post-Soviet Transition Economies</w:t>
      </w:r>
    </w:p>
    <w:p w14:paraId="4578E505" w14:textId="77777777" w:rsidR="00F04928" w:rsidRDefault="00000000">
      <w:pPr>
        <w:pStyle w:val="1"/>
        <w:spacing w:before="360" w:after="200" w:line="480" w:lineRule="auto"/>
      </w:pPr>
      <w:proofErr w:type="spellStart"/>
      <w:r>
        <w:rPr>
          <w:b/>
          <w:bCs/>
          <w:sz w:val="28"/>
          <w:szCs w:val="28"/>
        </w:rPr>
        <w:t>Highlights</w:t>
      </w:r>
      <w:proofErr w:type="spellEnd"/>
    </w:p>
    <w:p w14:paraId="49F6C5C9" w14:textId="77777777" w:rsidR="00F04928" w:rsidRPr="00C25708" w:rsidRDefault="00000000">
      <w:pPr>
        <w:pStyle w:val="a4"/>
        <w:numPr>
          <w:ilvl w:val="0"/>
          <w:numId w:val="2"/>
        </w:numPr>
        <w:spacing w:after="80" w:line="276" w:lineRule="auto"/>
        <w:rPr>
          <w:lang w:val="en-US"/>
        </w:rPr>
      </w:pPr>
      <w:r w:rsidRPr="00C25708">
        <w:rPr>
          <w:lang w:val="en-US"/>
        </w:rPr>
        <w:t>Across eight post-Soviet transition economies (2011–2020), deeper digital-payment usage—our primary measure of DFS penetration—is associated with a smaller shadow economy in two-way fixed-effects models, conditional on income.</w:t>
      </w:r>
    </w:p>
    <w:p w14:paraId="1B0E891D" w14:textId="77777777" w:rsidR="00F04928" w:rsidRPr="00C25708" w:rsidRDefault="00000000">
      <w:pPr>
        <w:pStyle w:val="a4"/>
        <w:numPr>
          <w:ilvl w:val="0"/>
          <w:numId w:val="2"/>
        </w:numPr>
        <w:spacing w:after="80" w:line="276" w:lineRule="auto"/>
        <w:rPr>
          <w:lang w:val="en-US"/>
        </w:rPr>
      </w:pPr>
      <w:r w:rsidRPr="00C25708">
        <w:rPr>
          <w:lang w:val="en-US"/>
        </w:rPr>
        <w:t>The association with tax revenue is statistically insignificant, and the DFS × institutions interaction is insignificant, so we advance neither a tax-base nor an institutional-complementarity claim.</w:t>
      </w:r>
    </w:p>
    <w:p w14:paraId="17AECFE4" w14:textId="77777777" w:rsidR="00F04928" w:rsidRPr="00C25708" w:rsidRDefault="00000000">
      <w:pPr>
        <w:pStyle w:val="a4"/>
        <w:numPr>
          <w:ilvl w:val="0"/>
          <w:numId w:val="2"/>
        </w:numPr>
        <w:spacing w:after="80" w:line="276" w:lineRule="auto"/>
        <w:rPr>
          <w:lang w:val="en-US"/>
        </w:rPr>
      </w:pPr>
      <w:r w:rsidRPr="00C25708">
        <w:rPr>
          <w:lang w:val="en-US"/>
        </w:rPr>
        <w:t>The negative shadow-economy association is concentrated in the earlier part of the sample (2011–2015) and is not detectable in 2016–2020.</w:t>
      </w:r>
    </w:p>
    <w:p w14:paraId="286A13B4" w14:textId="77777777" w:rsidR="00F04928" w:rsidRPr="00C25708" w:rsidRDefault="00000000">
      <w:pPr>
        <w:pStyle w:val="a4"/>
        <w:numPr>
          <w:ilvl w:val="0"/>
          <w:numId w:val="2"/>
        </w:numPr>
        <w:spacing w:after="80" w:line="276" w:lineRule="auto"/>
        <w:rPr>
          <w:lang w:val="en-US"/>
        </w:rPr>
      </w:pPr>
      <w:r w:rsidRPr="00C25708">
        <w:rPr>
          <w:lang w:val="en-US"/>
        </w:rPr>
        <w:t>The association is stable in fixed-effects and Driscoll–Kraay models but is statistically insignificant under instrumental-variable and system-GMM estimation; we therefore interpret it as a robust conditional association without causal content.</w:t>
      </w:r>
    </w:p>
    <w:p w14:paraId="0882AAE0" w14:textId="77777777" w:rsidR="00F04928" w:rsidRPr="00C25708" w:rsidRDefault="00000000">
      <w:pPr>
        <w:pStyle w:val="a4"/>
        <w:numPr>
          <w:ilvl w:val="0"/>
          <w:numId w:val="2"/>
        </w:numPr>
        <w:spacing w:after="80" w:line="276" w:lineRule="auto"/>
        <w:rPr>
          <w:lang w:val="en-US"/>
        </w:rPr>
      </w:pPr>
      <w:r w:rsidRPr="00C25708">
        <w:rPr>
          <w:lang w:val="en-US"/>
        </w:rPr>
        <w:t>The study applies institutional-voids logic to digital finance and offers cautious guidance for tax authorities, banks, and fintech providers.</w:t>
      </w:r>
    </w:p>
    <w:p w14:paraId="17E1F59F" w14:textId="77777777" w:rsidR="00F04928" w:rsidRPr="00C25708" w:rsidRDefault="00000000">
      <w:pPr>
        <w:pStyle w:val="1"/>
        <w:spacing w:before="360" w:after="200" w:line="480" w:lineRule="auto"/>
        <w:rPr>
          <w:lang w:val="en-US"/>
        </w:rPr>
      </w:pPr>
      <w:r w:rsidRPr="00C25708">
        <w:rPr>
          <w:b/>
          <w:bCs/>
          <w:sz w:val="28"/>
          <w:szCs w:val="28"/>
          <w:lang w:val="en-US"/>
        </w:rPr>
        <w:t>Abstract</w:t>
      </w:r>
    </w:p>
    <w:p w14:paraId="5298889C" w14:textId="77777777" w:rsidR="00F04928" w:rsidRPr="00C25708" w:rsidRDefault="00000000">
      <w:pPr>
        <w:spacing w:after="200" w:line="480" w:lineRule="auto"/>
        <w:jc w:val="both"/>
        <w:rPr>
          <w:lang w:val="en-US"/>
        </w:rPr>
      </w:pPr>
      <w:r w:rsidRPr="00C25708">
        <w:rPr>
          <w:lang w:val="en-US"/>
        </w:rPr>
        <w:t>Digital financial services (DFS) are diffusing rapidly across transition economies that also carry large informal sectors. Drawing on institutional theory and the economics of tax evasion, we ask whether DFS diffusion is associated with a smaller shadow economy. Using an annual panel of eight post-Soviet transition economies (2011–2020; N = 80), with the Central Asian republics as the focal subsample, we measure DFS penetration primarily by digital-payment usage (DIGPAY) and the shadow economy by dynamic general-equilibrium estimates. In two-way fixed-effects models, deeper digital-payment usage is significantly associated with a smaller shadow economy once income is controlled (about −0.14 SD per SD of DIGPAY), and the result is stable under Driscoll–Kraay errors and across subsamples. However, the association is concentrated in 2011–2015, is insignificant under instrumental-variable and system-GMM estimation, does not extend to tax revenue, and shows no DFS-by-institutions interaction. We therefore report a robust conditional association without a causal claim, and apply—rather than extend—institutional-voids logic, framing DFS as a market-supporting institution that raises the observability of economic activity. Implications for tax administrations and financial-sector strategy in institutionally thin markets are drawn cautiously.</w:t>
      </w:r>
      <w:r w:rsidRPr="00C25708">
        <w:rPr>
          <w:lang w:val="en-US"/>
        </w:rPr>
      </w:r>
    </w:p>
    <w:p w14:paraId="40BDBD30" w14:textId="77777777" w:rsidR="00F04928" w:rsidRPr="00C25708" w:rsidRDefault="00000000">
      <w:pPr>
        <w:spacing w:after="160" w:line="480" w:lineRule="auto"/>
        <w:jc w:val="both"/>
        <w:rPr>
          <w:lang w:val="en-US"/>
        </w:rPr>
      </w:pPr>
      <w:r w:rsidRPr="00C25708">
        <w:rPr>
          <w:b/>
          <w:bCs/>
          <w:lang w:val="en-US"/>
        </w:rPr>
        <w:t xml:space="preserve">Keywords: </w:t>
      </w:r>
      <w:r w:rsidRPr="00C25708">
        <w:rPr>
          <w:lang w:val="en-US"/>
        </w:rPr>
        <w:t>digital financial services; shadow economy; tax-base formalization; institutional quality; Central Asia</w:t>
      </w:r>
    </w:p>
    <w:p w14:paraId="4A0F9F39" w14:textId="77777777" w:rsidR="00F04928" w:rsidRPr="00C25708" w:rsidRDefault="00000000">
      <w:pPr>
        <w:spacing w:after="160" w:line="480" w:lineRule="auto"/>
        <w:jc w:val="both"/>
        <w:rPr>
          <w:lang w:val="en-US"/>
        </w:rPr>
      </w:pPr>
      <w:r w:rsidRPr="00C25708">
        <w:rPr>
          <w:b/>
          <w:bCs/>
          <w:lang w:val="en-US"/>
        </w:rPr>
        <w:t xml:space="preserve">JEL classification: </w:t>
      </w:r>
      <w:r w:rsidRPr="00C25708">
        <w:rPr>
          <w:lang w:val="en-US"/>
        </w:rPr>
        <w:t>E26, G21, H26, O17, O43, O53</w:t>
      </w:r>
    </w:p>
    <w:p w14:paraId="545C1DCE" w14:textId="77777777" w:rsidR="00F04928" w:rsidRPr="00C25708" w:rsidRDefault="00000000">
      <w:pPr>
        <w:pStyle w:val="1"/>
        <w:spacing w:before="360" w:after="200" w:line="480" w:lineRule="auto"/>
        <w:rPr>
          <w:lang w:val="en-US"/>
        </w:rPr>
      </w:pPr>
      <w:r w:rsidRPr="00C25708">
        <w:rPr>
          <w:b/>
          <w:bCs/>
          <w:sz w:val="28"/>
          <w:szCs w:val="28"/>
          <w:lang w:val="en-US"/>
        </w:rPr>
        <w:t>1. Introduction</w:t>
      </w:r>
    </w:p>
    <w:p w14:paraId="6CF04857" w14:textId="77777777" w:rsidR="00F04928" w:rsidRPr="00C25708" w:rsidRDefault="00000000">
      <w:pPr>
        <w:spacing w:after="200" w:line="480" w:lineRule="auto"/>
        <w:jc w:val="both"/>
        <w:rPr>
          <w:lang w:val="en-US"/>
        </w:rPr>
      </w:pPr>
      <w:r w:rsidRPr="00C25708">
        <w:rPr>
          <w:lang w:val="en-US"/>
        </w:rPr>
        <w:t>The size of the informal, or "shadow," economy—market-based, legal production of goods and services that is deliberately concealed from public authorities to avoid taxation, social-security contributions, or regulatory compliance—remains one of the most consequential structural features of developing and transition economies (Schneider &amp; Enste, 2000; Medina &amp; Schneider, 2018). A large informal sector erodes the tax base, weakens the provision of public goods, distorts competition between formal and informal firms, and undermines the reliability of the statistics on which macroeconomic and business-planning decisions depend (La Porta &amp; Shleifer, 2008). For the five republics of Central Asia—Kazakhstan, the Kyrgyz Republic, Tajikistan, Turkmenistan, and Uzbekistan—informality is not a marginal phenomenon but a defining feature of the business environment, with estimates of the shadow economy routinely placing it between one-quarter and two-fifths of gross domestic product (GDP) (Elgin et al., 2021).</w:t>
      </w:r>
    </w:p>
    <w:p w14:paraId="59143002" w14:textId="77777777" w:rsidR="00F04928" w:rsidRPr="00C25708" w:rsidRDefault="00000000">
      <w:pPr>
        <w:spacing w:after="200" w:line="480" w:lineRule="auto"/>
        <w:jc w:val="both"/>
        <w:rPr>
          <w:lang w:val="en-US"/>
        </w:rPr>
      </w:pPr>
      <w:r w:rsidRPr="00C25708">
        <w:rPr>
          <w:lang w:val="en-US"/>
        </w:rPr>
        <w:t xml:space="preserve">At the same time, the region is undergoing a rapid transformation of its financial infrastructure. Over little more than a decade, account ownership, card issuance, point-of-sale (POS) </w:t>
      </w:r>
      <w:r w:rsidRPr="00C25708">
        <w:rPr>
          <w:lang w:val="en-US"/>
        </w:rPr>
        <w:lastRenderedPageBreak/>
        <w:t>infrastructure, mobile wallets, and instant-payment systems have expanded at a pace that few observers anticipated (Demirgüç-Kunt et al., 2022). Kazakhstan's payment ecosystem has been reshaped by the emergence of domestic super-apps; Uzbekistan's post-2017 liberalization has been accompanied by the diffusion of national card schemes and mobile-payment platforms; and cross-border remittances—on which the Kyrgyz Republic and Tajikistan are among the most dependent economies in the world—are increasingly intermediated through digital channels (Berg et al., 2020). This confluence of a persistently large informal sector and a fast-diffusing digital financial infrastructure makes Central Asia an unusually informative setting in which to ask a question of both public-policy and managerial significance: can digital financial services (DFS) help formalize hidden economic activity, broaden the tax base, and—in doing so—reshape the operating environment in which banks, fintech firms, and multinational enterprises compete for previously unbanked customers and informal-sector clients?</w:t>
      </w:r>
    </w:p>
    <w:p w14:paraId="7682A70C" w14:textId="77777777" w:rsidR="00F04928" w:rsidRPr="00C25708" w:rsidRDefault="00000000">
      <w:pPr>
        <w:spacing w:after="200" w:line="480" w:lineRule="auto"/>
        <w:jc w:val="both"/>
        <w:rPr>
          <w:lang w:val="en-US"/>
        </w:rPr>
      </w:pPr>
      <w:r w:rsidRPr="00C25708">
        <w:rPr>
          <w:lang w:val="en-US"/>
        </w:rPr>
        <w:t xml:space="preserve">The theoretical case for a formalization effect is straightforward. Cash is the technology of anonymity; the marginal transaction settled in physical currency leaves no verifiable trace and is therefore comparatively easy to conceal from the tax authority (Rogoff, 2016). By shifting transactions onto electronic rails—where they generate a durable, auditable record—DFS raise the expected cost of concealment and lower the cost of compliance, thereby altering the calculus that underlies the decision to operate informally (Immordino &amp; Russo, 2018). DFS also lower the fixed costs of entering the formal financial system, so that microenterprises and previously unbanked households can access accounts, credit histories, and formal payment instruments (Klapper &amp; Singer, 2017). Yet whether digitalization mechanically delivers these gains, or whether its returns are conditional on the institutional environment in which it is deployed, is a question that speaks directly to institutional theory in international business: technology can narrow, but does not automatically eliminate, the "institutional voids" that </w:t>
      </w:r>
      <w:r w:rsidRPr="00C25708">
        <w:rPr>
          <w:lang w:val="en-US"/>
        </w:rPr>
        <w:lastRenderedPageBreak/>
        <w:t>shape firm and household behaviour in emerging markets (Khanna &amp; Palepu, 2010; Meyer et al., 2009). This study treats that conditionality as a central empirical question rather than an assumption.</w:t>
      </w:r>
    </w:p>
    <w:p w14:paraId="0D4F6DE6" w14:textId="77777777" w:rsidR="00F04928" w:rsidRPr="00C25708" w:rsidRDefault="00000000">
      <w:pPr>
        <w:spacing w:after="200" w:line="480" w:lineRule="auto"/>
        <w:jc w:val="both"/>
        <w:rPr>
          <w:lang w:val="en-US"/>
        </w:rPr>
      </w:pPr>
      <w:r w:rsidRPr="00C25708">
        <w:rPr>
          <w:lang w:val="en-US"/>
        </w:rPr>
        <w:t>Whether these mechanisms in fact operate in Central Asia has received little systematic attention. The literature on financial development and informality is well established (Capasso &amp; Jappelli, 2013; Bittencourt et al., 2014), and a growing body of work connects financial inclusion to tax capacity (Oz-Yalaman, 2019; Ameer et al., 2025). Yet these strands rarely focus on the specifically digital dimension of financial services, and they seldom examine the Central Asian republics, whose combination of resource dependence, remittance reliance, and state-led reform distinguishes them from the emerging-market samples that dominate the evidence base. The region is frequently absorbed into broader post-Soviet or "Europe and Central Asia" aggregates, obscuring the heterogeneity that recent firm-level evidence suggests is central to understanding informality in the region (Polese et al., 2023).</w:t>
      </w:r>
    </w:p>
    <w:p w14:paraId="3B37D1D1" w14:textId="77777777" w:rsidR="00F04928" w:rsidRPr="00C25708" w:rsidRDefault="00000000">
      <w:pPr>
        <w:spacing w:after="200" w:line="480" w:lineRule="auto"/>
        <w:jc w:val="both"/>
        <w:rPr>
          <w:lang w:val="en-US"/>
        </w:rPr>
      </w:pPr>
      <w:r w:rsidRPr="00C25708">
        <w:rPr>
          <w:lang w:val="en-US"/>
        </w:rPr>
        <w:t>This article addresses that gap. It assembles an annual panel of eight post-Soviet transition economies over 2011–2020—the three Central Asian republics with model-based shadow-economy estimates (Kazakhstan, the Kyrgyz Republic, Tajikistan) together with five comparable transition economies (Armenia, Azerbaijan, Georgia, Belarus, Moldova)—and measures DFS penetration primarily by digital-payment usage, with a principal-component composite as a robustness check. It relates this to the estimated size of the shadow economy and to tax revenue using two-way fixed-effects, Driscoll–Kraay, instrumental-variable, and (exploratory) dynamic system-GMM estimators, with the Central Asian republics examined as a focused subsample.</w:t>
      </w:r>
    </w:p>
    <w:p w14:paraId="677920C8" w14:textId="77777777" w:rsidR="00F04928" w:rsidRPr="00C25708" w:rsidRDefault="00000000">
      <w:pPr>
        <w:spacing w:after="200" w:line="480" w:lineRule="auto"/>
        <w:jc w:val="both"/>
        <w:rPr>
          <w:lang w:val="en-US"/>
        </w:rPr>
      </w:pPr>
      <w:r w:rsidRPr="00C25708">
        <w:rPr>
          <w:lang w:val="en-US"/>
        </w:rPr>
        <w:t>The study makes four contributions, three empirical and one theoretical. First, it provides the first focused, multi-country panel assessment of the DFS–informality nexus for Central Asia, a region that is both highly informal and rapidly digitalizing yet under-represented in the empirical literature. Second, it treats formalization as a two-sided phenomenon, jointly modelling the contraction of the shadow economy and the expansion of tax revenue, rather than inferring one from the other. Third, it examines the institutional conditions under which DFS deliver formalization gains, showing that regulatory quality and the rule of law act as complements to digital finance rather than substitutes for it. Fourth, and most directly relevant to management scholarship, it extends institutional-voids theory (Khanna &amp; Palepu, 2010) from its usual application to firm entry and strategy toward a technology-mediated account of formalization, positioning shared digital-payment infrastructure as a market-supporting institution that lowers the cost of overcoming informational voids for all market participants simultaneously—thereby reshaping the addressable market that banks, fintech entrants, and multinationals face in emerging and transition economies—and offering a theoretical bridge between the public-finance literature on tax capacity and the international-business literature on institutions in emerging markets. The remainder of the article proceeds as follows. Section 2 reviews the relevant literature, develops the conceptual framework, and states the hypotheses. Section 3 describes the Central Asian context. Section 4 sets out the data and methodology, Section 5 presents the results, and Section 6 discusses them. Section 7 draws out the study's theoretical contribution, Section 8 develops policy and managerial implications, and Sections 9 and 10 conclude with the study's limitations and directions for future research.</w:t>
      </w:r>
      <w:r w:rsidRPr="00C25708">
        <w:rPr>
          <w:lang w:val="en-US"/>
        </w:rPr>
      </w:r>
    </w:p>
    <w:p w14:paraId="2CEB7B0A" w14:textId="77777777" w:rsidR="00F04928" w:rsidRPr="00C25708" w:rsidRDefault="00000000">
      <w:pPr>
        <w:pStyle w:val="1"/>
        <w:spacing w:before="360" w:after="200" w:line="480" w:lineRule="auto"/>
        <w:rPr>
          <w:lang w:val="en-US"/>
        </w:rPr>
      </w:pPr>
      <w:r w:rsidRPr="00C25708">
        <w:rPr>
          <w:b/>
          <w:bCs/>
          <w:sz w:val="28"/>
          <w:szCs w:val="28"/>
          <w:lang w:val="en-US"/>
        </w:rPr>
        <w:t>2. Literature Review, Theoretical Framework, and Hypotheses Development</w:t>
      </w:r>
    </w:p>
    <w:p w14:paraId="60DBF510" w14:textId="77777777" w:rsidR="00F04928" w:rsidRPr="00C25708" w:rsidRDefault="00000000">
      <w:pPr>
        <w:pStyle w:val="2"/>
        <w:spacing w:before="280" w:after="160" w:line="480" w:lineRule="auto"/>
        <w:rPr>
          <w:lang w:val="en-US"/>
        </w:rPr>
      </w:pPr>
      <w:r w:rsidRPr="00C25708">
        <w:rPr>
          <w:b/>
          <w:bCs/>
          <w:i/>
          <w:iCs/>
          <w:lang w:val="en-US"/>
        </w:rPr>
        <w:t>2.1 Digital Financial Services and Financial Inclusion</w:t>
      </w:r>
    </w:p>
    <w:p w14:paraId="71555D1F" w14:textId="77777777" w:rsidR="00F04928" w:rsidRPr="00C25708" w:rsidRDefault="00000000">
      <w:pPr>
        <w:spacing w:after="200" w:line="480" w:lineRule="auto"/>
        <w:jc w:val="both"/>
        <w:rPr>
          <w:lang w:val="en-US"/>
        </w:rPr>
      </w:pPr>
      <w:r w:rsidRPr="00C25708">
        <w:rPr>
          <w:lang w:val="en-US"/>
        </w:rPr>
        <w:t xml:space="preserve">Digital financial services refer to the delivery of payments, savings, credit, and insurance through digital channels—cards, internet and mobile banking, mobile-money wallets, and instant-payment systems—rather than through cash and physical branches (Gomber et al., 2018). A central promise of DFS is the expansion of financial inclusion: by lowering the fixed </w:t>
      </w:r>
      <w:r w:rsidRPr="00C25708">
        <w:rPr>
          <w:lang w:val="en-US"/>
        </w:rPr>
        <w:lastRenderedPageBreak/>
        <w:t>costs of account provision and by reaching populations that traditional branch networks cannot serve economically, digital channels bring previously excluded households and firms into the formal financial system (Demirgüç-Kunt et al., 2022). The canonical evidence comes from mobile money in East Africa, where the diffusion of M-PESA in Kenya reduced transaction costs, improved risk-sharing, and lifted households out of poverty (Jack &amp; Suri, 2014; Suri &amp; Jack, 2016). Subsequent work confirms that digital payments and accounts are associated with higher saving, smoother consumption, and greater entrepreneurial activity across a range of developing settings (Beck et al., 2018).</w:t>
      </w:r>
    </w:p>
    <w:p w14:paraId="72E26731" w14:textId="77777777" w:rsidR="00F04928" w:rsidRPr="00C25708" w:rsidRDefault="00000000">
      <w:pPr>
        <w:spacing w:after="200" w:line="480" w:lineRule="auto"/>
        <w:jc w:val="both"/>
        <w:rPr>
          <w:lang w:val="en-US"/>
        </w:rPr>
      </w:pPr>
      <w:r w:rsidRPr="00C25708">
        <w:rPr>
          <w:lang w:val="en-US"/>
        </w:rPr>
        <w:t>For the present study, financial inclusion matters because it is the gateway through which informal actors enter recorded economic life. An unbanked microentrepreneur transacting solely in cash is, almost by definition, invisible to the tax authority and to formal lenders; the same entrepreneur accepting digital payments generates a stream of records that can, in principle, be observed and underwritten. DFS thus do more than widen access to finance: they change the observability of economic activity, which is the crux of the formalization argument developed below and, from a managerial standpoint, the mechanism by which previously informal customers become addressable market segments for banks and fintech providers.</w:t>
      </w:r>
    </w:p>
    <w:p w14:paraId="729DC998" w14:textId="77777777" w:rsidR="00F04928" w:rsidRPr="00C25708" w:rsidRDefault="00000000">
      <w:pPr>
        <w:pStyle w:val="2"/>
        <w:spacing w:before="280" w:after="160" w:line="480" w:lineRule="auto"/>
        <w:rPr>
          <w:lang w:val="en-US"/>
        </w:rPr>
      </w:pPr>
      <w:r w:rsidRPr="00C25708">
        <w:rPr>
          <w:b/>
          <w:bCs/>
          <w:i/>
          <w:iCs/>
          <w:lang w:val="en-US"/>
        </w:rPr>
        <w:t>2.2 The Shadow Economy: Definitions and Drivers</w:t>
      </w:r>
    </w:p>
    <w:p w14:paraId="2A4BC3BB" w14:textId="77777777" w:rsidR="00F04928" w:rsidRPr="00C25708" w:rsidRDefault="00000000">
      <w:pPr>
        <w:spacing w:after="200" w:line="480" w:lineRule="auto"/>
        <w:jc w:val="both"/>
        <w:rPr>
          <w:lang w:val="en-US"/>
        </w:rPr>
      </w:pPr>
      <w:r w:rsidRPr="00C25708">
        <w:rPr>
          <w:lang w:val="en-US"/>
        </w:rPr>
        <w:t xml:space="preserve">The shadow economy comprises legal productive activities that are concealed from authorities to evade taxes and social contributions, to avoid labour-market and regulatory standards, or to sidestep administrative procedures (Schneider &amp; Enste, 2000). It excludes criminal activities and pure household production. Measuring an intentionally hidden phenomenon is inherently difficult; the literature relies on indirect approaches, including the currency-demand method, the electricity-consumption proxy, and latent-variable multiple-indicator multiple-cause </w:t>
      </w:r>
      <w:r w:rsidRPr="00C25708">
        <w:rPr>
          <w:lang w:val="en-US"/>
        </w:rPr>
        <w:lastRenderedPageBreak/>
        <w:t>(MIMIC) models, as well as, more recently, dynamic general-equilibrium (DGE) estimates (Medina &amp; Schneider, 2018; Elgin et al., 2021).</w:t>
      </w:r>
    </w:p>
    <w:p w14:paraId="37A0ABFC" w14:textId="77777777" w:rsidR="00F04928" w:rsidRPr="00C25708" w:rsidRDefault="00000000">
      <w:pPr>
        <w:spacing w:after="200" w:line="480" w:lineRule="auto"/>
        <w:jc w:val="both"/>
        <w:rPr>
          <w:lang w:val="en-US"/>
        </w:rPr>
      </w:pPr>
      <w:r w:rsidRPr="00C25708">
        <w:rPr>
          <w:lang w:val="en-US"/>
        </w:rPr>
        <w:t>The established determinants of informality include the burden of taxation and social-security contributions, the intensity of regulation, the quality of public institutions and the rule of law, the credibility of the tax administration, and the general level of development (Schneider &amp; Enste, 2000; Torgler &amp; Schneider, 2009; Ameer et al., 2025). A recurring theme is that informality is as much a symptom of weak state capacity and low interpersonal and institutional trust as it is a response to high tax rates—a point corroborated by recent survey evidence from managers and entrepreneurs in Kyrgyzstan, who cite unpredictable enforcement and distrust of public institutions, alongside tax burden, as reasons for remaining informal (Polese et al., 2023). This has a direct implication for the current study: any technology that reduces informality is likely to do so conditionally, its effectiveness shaped by the institutional environment in which it is deployed.</w:t>
      </w:r>
    </w:p>
    <w:p w14:paraId="29F2AE3A" w14:textId="77777777" w:rsidR="00F04928" w:rsidRPr="00C25708" w:rsidRDefault="00000000">
      <w:pPr>
        <w:pStyle w:val="2"/>
        <w:spacing w:before="280" w:after="160" w:line="480" w:lineRule="auto"/>
        <w:rPr>
          <w:lang w:val="en-US"/>
        </w:rPr>
      </w:pPr>
      <w:r w:rsidRPr="00C25708">
        <w:rPr>
          <w:b/>
          <w:bCs/>
          <w:i/>
          <w:iCs/>
          <w:lang w:val="en-US"/>
        </w:rPr>
        <w:t>2.3 Digital Payments as a Formalization Mechanism</w:t>
      </w:r>
    </w:p>
    <w:p w14:paraId="5E12AC14" w14:textId="77777777" w:rsidR="00F04928" w:rsidRPr="00C25708" w:rsidRDefault="00000000">
      <w:pPr>
        <w:spacing w:after="200" w:line="480" w:lineRule="auto"/>
        <w:jc w:val="both"/>
        <w:rPr>
          <w:lang w:val="en-US"/>
        </w:rPr>
      </w:pPr>
      <w:r w:rsidRPr="00C25708">
        <w:rPr>
          <w:lang w:val="en-US"/>
        </w:rPr>
        <w:t>A distinct and rapidly growing literature connects the medium of exchange to tax evasion. Rogoff (2016) argues that large-denomination cash principally serves the underground economy and that curtailing its role would shrink the space available for evasion. Formal models show that a shift from cash to traceable electronic payments raises the probability of detection and therefore reduces optimal evasion, with the strength of the effect depending on enforcement and on the share of transactions that migrate onto digital rails (Immordino &amp; Russo, 2018). Empirical studies using card and electronic-payment penetration report a negative association with the size of the shadow economy and a positive association with value-added-tax compliance across European and cross-country samples (Madzharova, 2014; Awasthi &amp; Engelschalk, 2018).</w:t>
      </w:r>
    </w:p>
    <w:p w14:paraId="0D606046" w14:textId="77777777" w:rsidR="00F04928" w:rsidRPr="00C25708" w:rsidRDefault="00000000">
      <w:pPr>
        <w:spacing w:after="200" w:line="480" w:lineRule="auto"/>
        <w:jc w:val="both"/>
        <w:rPr>
          <w:lang w:val="en-US"/>
        </w:rPr>
      </w:pPr>
      <w:r w:rsidRPr="00C25708">
        <w:rPr>
          <w:lang w:val="en-US"/>
        </w:rPr>
        <w:lastRenderedPageBreak/>
        <w:t xml:space="preserve">Complementing the payments channel, a longer tradition links financial development to informality. Capasso and Jappelli (2013) show, theoretically and for Italian data, that deeper financial development reduces the shadow economy because access to formal credit is contingent on disclosing income that would otherwise be hidden; Bittencourt et al. </w:t>
      </w:r>
      <w:r>
        <w:t xml:space="preserve">(2014) </w:t>
      </w:r>
      <w:proofErr w:type="spellStart"/>
      <w:r>
        <w:t>report</w:t>
      </w:r>
      <w:proofErr w:type="spellEnd"/>
      <w:r>
        <w:t xml:space="preserve"> </w:t>
      </w:r>
      <w:proofErr w:type="spellStart"/>
      <w:r>
        <w:t>consistent</w:t>
      </w:r>
      <w:proofErr w:type="spellEnd"/>
      <w:r>
        <w:t xml:space="preserve"> </w:t>
      </w:r>
      <w:proofErr w:type="spellStart"/>
      <w:r>
        <w:t>cross-country</w:t>
      </w:r>
      <w:proofErr w:type="spellEnd"/>
      <w:r>
        <w:t xml:space="preserve"> </w:t>
      </w:r>
      <w:proofErr w:type="spellStart"/>
      <w:r>
        <w:t>evidence</w:t>
      </w:r>
      <w:proofErr w:type="spellEnd"/>
      <w:r>
        <w:t xml:space="preserve">. </w:t>
      </w:r>
      <w:r w:rsidRPr="00C25708">
        <w:rPr>
          <w:lang w:val="en-US"/>
        </w:rPr>
        <w:t>DFS intensify this mechanism: by generating verifiable transaction histories, they allow lenders to underwrite previously informal borrowers, so that the opportunity cost of remaining hidden—in the form of foregone credit—rises. Together, the payments and credit channels imply that DFS should be associated with a smaller informal sector.</w:t>
      </w:r>
    </w:p>
    <w:p w14:paraId="455A0B36" w14:textId="77777777" w:rsidR="00F04928" w:rsidRPr="00C25708" w:rsidRDefault="00000000">
      <w:pPr>
        <w:pStyle w:val="2"/>
        <w:spacing w:before="280" w:after="160" w:line="480" w:lineRule="auto"/>
        <w:rPr>
          <w:lang w:val="en-US"/>
        </w:rPr>
      </w:pPr>
      <w:r w:rsidRPr="00C25708">
        <w:rPr>
          <w:b/>
          <w:bCs/>
          <w:i/>
          <w:iCs/>
          <w:lang w:val="en-US"/>
        </w:rPr>
        <w:t>2.4 Digital Finance, Tax Capacity, and the Tax Base</w:t>
      </w:r>
    </w:p>
    <w:p w14:paraId="2A6CEFC9" w14:textId="77777777" w:rsidR="00F04928" w:rsidRPr="00C25708" w:rsidRDefault="00000000">
      <w:pPr>
        <w:spacing w:after="200" w:line="480" w:lineRule="auto"/>
        <w:jc w:val="both"/>
        <w:rPr>
          <w:lang w:val="en-US"/>
        </w:rPr>
      </w:pPr>
      <w:r w:rsidRPr="00C25708">
        <w:rPr>
          <w:lang w:val="en-US"/>
        </w:rPr>
        <w:t>Formalization is valuable to the state chiefly because it broadens the tax base. Two channels connect DFS to revenue. The first is the formalization channel already described: as activity migrates from cash to traceable instruments, more of it becomes assessable, mechanically widening the base for consumption and income taxes. The second is an administrative channel: digital payment records lower the cost of third-party information reporting and enable data-driven audit selection, raising enforcement efficiency for a given base (Okunogbe &amp; Santoro, 2023). Cross-country evidence links financial inclusion to higher tax revenue (Oz-Yalaman, 2019; Ameer et al., 2025), and country studies of electronic invoicing and digital VAT reporting document sizeable compliance gains. The two channels are mutually reinforcing, since better enforcement raises the expected cost of informality and thereby encourages further formalization.</w:t>
      </w:r>
    </w:p>
    <w:p w14:paraId="3037AB57" w14:textId="77777777" w:rsidR="00F04928" w:rsidRPr="00C25708" w:rsidRDefault="00000000">
      <w:pPr>
        <w:pStyle w:val="2"/>
        <w:spacing w:before="280" w:after="160" w:line="480" w:lineRule="auto"/>
        <w:rPr>
          <w:lang w:val="en-US"/>
        </w:rPr>
      </w:pPr>
      <w:r w:rsidRPr="00C25708">
        <w:rPr>
          <w:b/>
          <w:bCs/>
          <w:i/>
          <w:iCs/>
          <w:lang w:val="en-US"/>
        </w:rPr>
        <w:t>2.5 Institutional Theory, Institutional Voids, and the Business Case for Formalization</w:t>
      </w:r>
    </w:p>
    <w:p w14:paraId="62B500B8" w14:textId="77777777" w:rsidR="00F04928" w:rsidRPr="00C25708" w:rsidRDefault="00000000">
      <w:pPr>
        <w:spacing w:after="200" w:line="480" w:lineRule="auto"/>
        <w:jc w:val="both"/>
        <w:rPr>
          <w:lang w:val="en-US"/>
        </w:rPr>
      </w:pPr>
      <w:r w:rsidRPr="00C25708">
        <w:rPr>
          <w:lang w:val="en-US"/>
        </w:rPr>
        <w:lastRenderedPageBreak/>
        <w:t>The mechanisms above are typically discussed in public-finance terms, but they map closely onto institutional theory as developed in the international-business literature. North (1990) defines institutions as the rules of the game that structure economic exchange; where formal institutions are weak, transacting parties incur higher costs of verifying counterparties, enforcing contracts, and establishing trust. Khanna and Palepu (2010) formalize this idea as "institutional voids"—the absence of the market-supporting intermediaries (credit bureaus, reliable regulators, information aggregators) that firms in advanced economies take for granted—and argue that firms competing in emerging markets must either fill these voids themselves or adapt their strategies around them. Informality can be understood as a rational, if socially costly, adaptation to institutional voids: operating in cash and outside formal registration is, for many households and microenterprises, a way of avoiding the costs that thin, unpredictable, or distrusted institutions impose on formal participation (La Porta &amp; Shleifer, 2008).</w:t>
      </w:r>
    </w:p>
    <w:p w14:paraId="54E9840F" w14:textId="77777777" w:rsidR="00F04928" w:rsidRPr="00C25708" w:rsidRDefault="00000000">
      <w:pPr>
        <w:spacing w:after="200" w:line="480" w:lineRule="auto"/>
        <w:jc w:val="both"/>
        <w:rPr>
          <w:lang w:val="en-US"/>
        </w:rPr>
      </w:pPr>
      <w:r w:rsidRPr="00C25708">
        <w:rPr>
          <w:lang w:val="en-US"/>
        </w:rPr>
        <w:t xml:space="preserve">Read through this lens, DFS constitute a technological intervention into an institutional-voids problem. Digital payment rails do not replace courts, tax administrations, or credit bureaus, but they generate the verifiable information—transaction histories, digital identities, payment trails—that such institutions require to function. In terms of the resource-based and institutional strategy literatures on emerging markets (Meyer et al., 2009), DFS can be seen as a scalable substitute for costly, firm-specific institutional bridging: rather than each bank or lender independently investing in relationship-based screening of informal borrowers, a shared digital-payments infrastructure produces information as a by-product of transacting, lowering the fixed cost of overcoming the void for all market participants simultaneously. This reframing is the study's central theoretical move: it repositions "formalization" from a purely fiscal outcome into a question of institutional-voids-filling that is directly relevant to how banks, </w:t>
      </w:r>
      <w:r w:rsidRPr="00C25708">
        <w:rPr>
          <w:lang w:val="en-US"/>
        </w:rPr>
        <w:lastRenderedPageBreak/>
        <w:t>fintech entrants, and multinational enterprises assess and act on the business opportunity presented by large informal markets.</w:t>
      </w:r>
    </w:p>
    <w:p w14:paraId="1D7C1EE6" w14:textId="77777777" w:rsidR="00F04928" w:rsidRPr="00C25708" w:rsidRDefault="00000000">
      <w:pPr>
        <w:spacing w:after="200" w:line="480" w:lineRule="auto"/>
        <w:jc w:val="both"/>
        <w:rPr>
          <w:lang w:val="en-US"/>
        </w:rPr>
      </w:pPr>
      <w:r w:rsidRPr="00C25708">
        <w:rPr>
          <w:lang w:val="en-US"/>
        </w:rPr>
        <w:t>This framing also clarifies why the effect should not be treated as automatic. Institutional-voids theory predicts that technology and formal institutions can be either substitutes or complements, depending on whether the residual functions that technology cannot perform—enforcement, adjudication, and credible commitment—remain binding constraints. Section 2.6 develops this moderation argument, and Section 7 returns to it as the study's principal theoretical contribution.</w:t>
      </w:r>
    </w:p>
    <w:p w14:paraId="3DBA232A" w14:textId="77777777" w:rsidR="00F04928" w:rsidRPr="00C25708" w:rsidRDefault="00000000">
      <w:pPr>
        <w:pStyle w:val="2"/>
        <w:spacing w:before="280" w:after="160" w:line="480" w:lineRule="auto"/>
        <w:rPr>
          <w:lang w:val="en-US"/>
        </w:rPr>
      </w:pPr>
      <w:r w:rsidRPr="00C25708">
        <w:rPr>
          <w:b/>
          <w:bCs/>
          <w:i/>
          <w:iCs/>
          <w:lang w:val="en-US"/>
        </w:rPr>
        <w:t>2.6 The Moderating Role of Institutions</w:t>
      </w:r>
    </w:p>
    <w:p w14:paraId="28E3D248" w14:textId="77777777" w:rsidR="00F04928" w:rsidRPr="00C25708" w:rsidRDefault="00000000">
      <w:pPr>
        <w:spacing w:after="200" w:line="480" w:lineRule="auto"/>
        <w:jc w:val="both"/>
        <w:rPr>
          <w:lang w:val="en-US"/>
        </w:rPr>
      </w:pPr>
      <w:r w:rsidRPr="00C25708">
        <w:rPr>
          <w:lang w:val="en-US"/>
        </w:rPr>
        <w:t>The formalization potential of DFS is unlikely to be realized automatically. If enforcement is weak, if the tax administration cannot act on the data that digital payments generate, or if firms distrust the state, then digital records need not translate into either lower informality or higher revenue. The institutional literature on informality (Torgler &amp; Schneider, 2009) and the institutional-voids perspective outlined above (Khanna &amp; Palepu, 2010; Meyer et al., 2009) both suggest that regulatory quality and the rule of law condition the returns to digitalization. We therefore expect DFS and institutional quality to be complements: the marginal formalization effect of DFS should be larger where institutions are stronger, because institutions supply the enforcement and credible-commitment functions that digital information alone cannot provide.</w:t>
      </w:r>
    </w:p>
    <w:p w14:paraId="4706EDB2" w14:textId="77777777" w:rsidR="00F04928" w:rsidRPr="00C25708" w:rsidRDefault="00000000">
      <w:pPr>
        <w:pStyle w:val="2"/>
        <w:spacing w:before="280" w:after="160" w:line="480" w:lineRule="auto"/>
        <w:rPr>
          <w:lang w:val="en-US"/>
        </w:rPr>
      </w:pPr>
      <w:r w:rsidRPr="00C25708">
        <w:rPr>
          <w:b/>
          <w:bCs/>
          <w:i/>
          <w:iCs/>
          <w:lang w:val="en-US"/>
        </w:rPr>
        <w:t>2.7 Conceptual Framework and Hypotheses</w:t>
      </w:r>
    </w:p>
    <w:p w14:paraId="6FD9A1D3" w14:textId="77777777" w:rsidR="00F04928" w:rsidRPr="00C25708" w:rsidRDefault="00000000">
      <w:pPr>
        <w:spacing w:after="200" w:line="480" w:lineRule="auto"/>
        <w:jc w:val="both"/>
        <w:rPr>
          <w:lang w:val="en-US"/>
        </w:rPr>
      </w:pPr>
      <w:r w:rsidRPr="00C25708">
        <w:rPr>
          <w:lang w:val="en-US"/>
        </w:rPr>
        <w:t xml:space="preserve">Figure 1 summarizes the conceptual model. DFS operate through two proximate channels—a traceability channel that raises the observability of transactions and a financial-access channel that expands the availability of formal credit to previously informal actors—both of which feed </w:t>
      </w:r>
      <w:r w:rsidRPr="00C25708">
        <w:rPr>
          <w:lang w:val="en-US"/>
        </w:rPr>
        <w:lastRenderedPageBreak/>
        <w:t>into formalization, measured here as a smaller shadow economy and a broader tax base. Institutional quality is modelled as a moderator of the overall DFS–formalization relationship rather than as a separate, additive determinant, consistent with the institutional-voids logic that technology and institutions jointly, rather than independently, determine formalization outcomes.</w:t>
      </w:r>
    </w:p>
    <w:p w14:paraId="0B220588" w14:textId="77777777" w:rsidR="00F04928" w:rsidRDefault="00000000">
      <w:pPr>
        <w:spacing w:before="200" w:after="60"/>
        <w:jc w:val="center"/>
      </w:pPr>
      <w:r>
        <w:rPr>
          <w:noProof/>
        </w:rPr>
        <w:drawing>
          <wp:inline distT="0" distB="0" distL="0" distR="0" wp14:anchorId="33B72D66" wp14:editId="1555754E">
            <wp:extent cx="5524500" cy="3238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238500"/>
                    </a:xfrm>
                    <a:prstGeom prst="rect">
                      <a:avLst/>
                    </a:prstGeom>
                  </pic:spPr>
                </pic:pic>
              </a:graphicData>
            </a:graphic>
          </wp:inline>
        </w:drawing>
      </w:r>
    </w:p>
    <w:p w14:paraId="333AD8D8" w14:textId="77777777" w:rsidR="00F04928" w:rsidRDefault="00000000">
      <w:pPr>
        <w:spacing w:before="120" w:after="320"/>
        <w:jc w:val="center"/>
      </w:pPr>
      <w:proofErr w:type="spellStart"/>
      <w:r>
        <w:rPr>
          <w:b/>
          <w:bCs/>
          <w:sz w:val="20"/>
          <w:szCs w:val="20"/>
        </w:rPr>
        <w:t>Figure</w:t>
      </w:r>
      <w:proofErr w:type="spellEnd"/>
      <w:r>
        <w:rPr>
          <w:b/>
          <w:bCs/>
          <w:sz w:val="20"/>
          <w:szCs w:val="20"/>
        </w:rPr>
        <w:t xml:space="preserve"> 1. </w:t>
      </w:r>
      <w:proofErr w:type="spellStart"/>
      <w:r>
        <w:rPr>
          <w:b/>
          <w:bCs/>
          <w:sz w:val="20"/>
          <w:szCs w:val="20"/>
        </w:rPr>
        <w:t>Conceptual</w:t>
      </w:r>
      <w:proofErr w:type="spellEnd"/>
      <w:r>
        <w:rPr>
          <w:b/>
          <w:bCs/>
          <w:sz w:val="20"/>
          <w:szCs w:val="20"/>
        </w:rPr>
        <w:t xml:space="preserve"> </w:t>
      </w:r>
      <w:proofErr w:type="spellStart"/>
      <w:r>
        <w:rPr>
          <w:b/>
          <w:bCs/>
          <w:sz w:val="20"/>
          <w:szCs w:val="20"/>
        </w:rPr>
        <w:t>model</w:t>
      </w:r>
      <w:proofErr w:type="spellEnd"/>
      <w:r>
        <w:rPr>
          <w:b/>
          <w:bCs/>
          <w:sz w:val="20"/>
          <w:szCs w:val="20"/>
        </w:rPr>
        <w:t xml:space="preserve"> </w:t>
      </w:r>
      <w:proofErr w:type="spellStart"/>
      <w:r>
        <w:rPr>
          <w:b/>
          <w:bCs/>
          <w:sz w:val="20"/>
          <w:szCs w:val="20"/>
        </w:rPr>
        <w:t>linking</w:t>
      </w:r>
      <w:proofErr w:type="spellEnd"/>
      <w:r>
        <w:rPr>
          <w:b/>
          <w:bCs/>
          <w:sz w:val="20"/>
          <w:szCs w:val="20"/>
        </w:rPr>
        <w:t xml:space="preserve"> </w:t>
      </w:r>
      <w:proofErr w:type="spellStart"/>
      <w:r>
        <w:rPr>
          <w:b/>
          <w:bCs/>
          <w:sz w:val="20"/>
          <w:szCs w:val="20"/>
        </w:rPr>
        <w:t>digital</w:t>
      </w:r>
      <w:proofErr w:type="spellEnd"/>
      <w:r>
        <w:rPr>
          <w:b/>
          <w:bCs/>
          <w:sz w:val="20"/>
          <w:szCs w:val="20"/>
        </w:rPr>
        <w:t xml:space="preserve"> </w:t>
      </w:r>
      <w:proofErr w:type="spellStart"/>
      <w:r>
        <w:rPr>
          <w:b/>
          <w:bCs/>
          <w:sz w:val="20"/>
          <w:szCs w:val="20"/>
        </w:rPr>
        <w:t>financial</w:t>
      </w:r>
      <w:proofErr w:type="spellEnd"/>
      <w:r>
        <w:rPr>
          <w:b/>
          <w:bCs/>
          <w:sz w:val="20"/>
          <w:szCs w:val="20"/>
        </w:rPr>
        <w:t xml:space="preserve"> </w:t>
      </w:r>
      <w:proofErr w:type="spellStart"/>
      <w:r>
        <w:rPr>
          <w:b/>
          <w:bCs/>
          <w:sz w:val="20"/>
          <w:szCs w:val="20"/>
        </w:rPr>
        <w:t>services</w:t>
      </w:r>
      <w:proofErr w:type="spellEnd"/>
      <w:r>
        <w:rPr>
          <w:b/>
          <w:bCs/>
          <w:sz w:val="20"/>
          <w:szCs w:val="20"/>
        </w:rPr>
        <w:t xml:space="preserve"> </w:t>
      </w:r>
      <w:proofErr w:type="spellStart"/>
      <w:r>
        <w:rPr>
          <w:b/>
          <w:bCs/>
          <w:sz w:val="20"/>
          <w:szCs w:val="20"/>
        </w:rPr>
        <w:t>to</w:t>
      </w:r>
      <w:proofErr w:type="spellEnd"/>
      <w:r>
        <w:rPr>
          <w:b/>
          <w:bCs/>
          <w:sz w:val="20"/>
          <w:szCs w:val="20"/>
        </w:rPr>
        <w:t xml:space="preserve"> </w:t>
      </w:r>
      <w:proofErr w:type="spellStart"/>
      <w:r>
        <w:rPr>
          <w:b/>
          <w:bCs/>
          <w:sz w:val="20"/>
          <w:szCs w:val="20"/>
        </w:rPr>
        <w:t>economic</w:t>
      </w:r>
      <w:proofErr w:type="spellEnd"/>
      <w:r>
        <w:rPr>
          <w:b/>
          <w:bCs/>
          <w:sz w:val="20"/>
          <w:szCs w:val="20"/>
        </w:rPr>
        <w:t xml:space="preserve"> </w:t>
      </w:r>
      <w:proofErr w:type="spellStart"/>
      <w:r>
        <w:rPr>
          <w:b/>
          <w:bCs/>
          <w:sz w:val="20"/>
          <w:szCs w:val="20"/>
        </w:rPr>
        <w:t>formalization</w:t>
      </w:r>
      <w:proofErr w:type="spellEnd"/>
      <w:r>
        <w:rPr>
          <w:b/>
          <w:bCs/>
          <w:sz w:val="20"/>
          <w:szCs w:val="20"/>
        </w:rPr>
        <w:t xml:space="preserve">, </w:t>
      </w:r>
      <w:proofErr w:type="spellStart"/>
      <w:r>
        <w:rPr>
          <w:b/>
          <w:bCs/>
          <w:sz w:val="20"/>
          <w:szCs w:val="20"/>
        </w:rPr>
        <w:t>moderated</w:t>
      </w:r>
      <w:proofErr w:type="spellEnd"/>
      <w:r>
        <w:rPr>
          <w:b/>
          <w:bCs/>
          <w:sz w:val="20"/>
          <w:szCs w:val="20"/>
        </w:rPr>
        <w:t xml:space="preserve"> </w:t>
      </w:r>
      <w:proofErr w:type="spellStart"/>
      <w:r>
        <w:rPr>
          <w:b/>
          <w:bCs/>
          <w:sz w:val="20"/>
          <w:szCs w:val="20"/>
        </w:rPr>
        <w:t>by</w:t>
      </w:r>
      <w:proofErr w:type="spellEnd"/>
      <w:r>
        <w:rPr>
          <w:b/>
          <w:bCs/>
          <w:sz w:val="20"/>
          <w:szCs w:val="20"/>
        </w:rPr>
        <w:t xml:space="preserve"> </w:t>
      </w:r>
      <w:proofErr w:type="spellStart"/>
      <w:r>
        <w:rPr>
          <w:b/>
          <w:bCs/>
          <w:sz w:val="20"/>
          <w:szCs w:val="20"/>
        </w:rPr>
        <w:t>institutional</w:t>
      </w:r>
      <w:proofErr w:type="spellEnd"/>
      <w:r>
        <w:rPr>
          <w:b/>
          <w:bCs/>
          <w:sz w:val="20"/>
          <w:szCs w:val="20"/>
        </w:rPr>
        <w:t xml:space="preserve"> </w:t>
      </w:r>
      <w:proofErr w:type="spellStart"/>
      <w:r>
        <w:rPr>
          <w:b/>
          <w:bCs/>
          <w:sz w:val="20"/>
          <w:szCs w:val="20"/>
        </w:rPr>
        <w:t>quality</w:t>
      </w:r>
      <w:proofErr w:type="spellEnd"/>
      <w:r>
        <w:rPr>
          <w:b/>
          <w:bCs/>
          <w:sz w:val="20"/>
          <w:szCs w:val="20"/>
        </w:rPr>
        <w:t>.</w:t>
      </w:r>
    </w:p>
    <w:p w14:paraId="739DB746" w14:textId="77777777" w:rsidR="00F04928" w:rsidRPr="00C25708" w:rsidRDefault="00000000">
      <w:pPr>
        <w:spacing w:after="200" w:line="480" w:lineRule="auto"/>
        <w:jc w:val="both"/>
        <w:rPr>
          <w:lang w:val="en-US"/>
        </w:rPr>
      </w:pPr>
      <w:r w:rsidRPr="00C25708">
        <w:rPr>
          <w:lang w:val="en-US"/>
        </w:rPr>
        <w:t>The preceding discussion yields the following testable hypotheses:</w:t>
      </w:r>
    </w:p>
    <w:p w14:paraId="048CEC59" w14:textId="77777777" w:rsidR="00F04928" w:rsidRPr="00C25708" w:rsidRDefault="00000000">
      <w:pPr>
        <w:spacing w:after="200" w:line="480" w:lineRule="auto"/>
        <w:jc w:val="both"/>
        <w:rPr>
          <w:lang w:val="en-US"/>
        </w:rPr>
      </w:pPr>
      <w:r w:rsidRPr="00C25708">
        <w:rPr>
          <w:lang w:val="en-US"/>
        </w:rPr>
        <w:t>H1: Higher DFS penetration is associated with a smaller shadow economy (as a share of GDP) in Central Asia, other things equal.</w:t>
      </w:r>
    </w:p>
    <w:p w14:paraId="2D53C5CF" w14:textId="77777777" w:rsidR="00F04928" w:rsidRPr="00C25708" w:rsidRDefault="00000000">
      <w:pPr>
        <w:spacing w:after="200" w:line="480" w:lineRule="auto"/>
        <w:jc w:val="both"/>
        <w:rPr>
          <w:lang w:val="en-US"/>
        </w:rPr>
      </w:pPr>
      <w:r w:rsidRPr="00C25708">
        <w:rPr>
          <w:lang w:val="en-US"/>
        </w:rPr>
      </w:r>
    </w:p>
    <w:p w14:paraId="01D867E0" w14:textId="77777777" w:rsidR="00F04928" w:rsidRPr="00C25708" w:rsidRDefault="00000000">
      <w:pPr>
        <w:spacing w:after="200" w:line="480" w:lineRule="auto"/>
        <w:jc w:val="both"/>
        <w:rPr>
          <w:lang w:val="en-US"/>
        </w:rPr>
      </w:pPr>
      <w:r w:rsidRPr="00C25708">
        <w:rPr>
          <w:lang w:val="en-US"/>
        </w:rPr>
      </w:r>
    </w:p>
    <w:p w14:paraId="6615AF66" w14:textId="77777777" w:rsidR="00F04928" w:rsidRPr="00C25708" w:rsidRDefault="00000000">
      <w:pPr>
        <w:spacing w:after="200" w:line="480" w:lineRule="auto"/>
        <w:jc w:val="both"/>
        <w:rPr>
          <w:lang w:val="en-US"/>
        </w:rPr>
      </w:pPr>
      <w:r w:rsidRPr="00C25708">
        <w:rPr>
          <w:lang w:val="en-US"/>
        </w:rPr>
        <w:t>H2: The formalization association of DFS is stronger where regulatory quality and the rule of law are stronger (institutional complementarity).</w:t>
      </w:r>
    </w:p>
    <w:p w14:paraId="68F6D0A5" w14:textId="77777777" w:rsidR="00F04928" w:rsidRPr="00C25708" w:rsidRDefault="00000000">
      <w:pPr>
        <w:pStyle w:val="1"/>
        <w:spacing w:before="360" w:after="200" w:line="480" w:lineRule="auto"/>
        <w:rPr>
          <w:lang w:val="en-US"/>
        </w:rPr>
      </w:pPr>
      <w:r w:rsidRPr="00C25708">
        <w:rPr>
          <w:b/>
          <w:bCs/>
          <w:sz w:val="28"/>
          <w:szCs w:val="28"/>
          <w:lang w:val="en-US"/>
        </w:rPr>
        <w:t>3. The Central Asian Context</w:t>
      </w:r>
    </w:p>
    <w:p w14:paraId="5FAF2CB2" w14:textId="77777777" w:rsidR="00F04928" w:rsidRPr="00C25708" w:rsidRDefault="00000000">
      <w:pPr>
        <w:spacing w:after="200" w:line="480" w:lineRule="auto"/>
        <w:jc w:val="both"/>
        <w:rPr>
          <w:lang w:val="en-US"/>
        </w:rPr>
      </w:pPr>
      <w:r w:rsidRPr="00C25708">
        <w:rPr>
          <w:lang w:val="en-US"/>
        </w:rPr>
        <w:t>The five republics of Central Asia share a common Soviet institutional inheritance but have followed divergent economic trajectories since independence in 1991. Kazakhstan and Turkmenistan are hydrocarbon exporters with comparatively high per-capita incomes; the Kyrgyz Republic and Tajikistan are lower-income, remittance-dependent economies; and Uzbekistan, the most populous state, has pursued a state-led development model that shifted decisively toward market liberalization after 2017. Across this heterogeneity, two features recur: a large informal sector and, more recently, a rapid digitalization of payments—together with, in most of the five republics, a business environment in which weak contract enforcement, uneven regulatory quality, and limited credit-information infrastructure constitute the institutional voids described in Section 2.5.</w:t>
      </w:r>
    </w:p>
    <w:p w14:paraId="5E5291F0" w14:textId="77777777" w:rsidR="00F04928" w:rsidRPr="00C25708" w:rsidRDefault="00000000">
      <w:pPr>
        <w:spacing w:after="200" w:line="480" w:lineRule="auto"/>
        <w:jc w:val="both"/>
        <w:rPr>
          <w:lang w:val="en-US"/>
        </w:rPr>
      </w:pPr>
      <w:r w:rsidRPr="00C25708">
        <w:rPr>
          <w:lang w:val="en-US"/>
        </w:rPr>
        <w:t>Estimates of informality underscore its scale. Drawing on the World Bank informal-economy database (Elgin et al., 2021) and the cross-country MIMIC estimates of Medina and Schneider (2018), the shadow economy in the region has historically ranged from roughly one-quarter to more than two-fifths of GDP, with the Kyrgyz Republic and Tajikistan at the higher end and Kazakhstan somewhat lower. Informality is sustained by a large agricultural and bazaar-trade sector, extensive cash use, sizeable labour migration, and, in several countries, limited trust in tax administration—consistent with manager-level survey evidence from Kyrgyzstan documenting perceived unpredictability of enforcement as a driver of informal operation (Polese et al., 2023). These structural features make the region a demanding test of whether digital finance can move activity into the formal economy, and they define the addressable market that formalization represents for financial-sector firms.</w:t>
      </w:r>
    </w:p>
    <w:p w14:paraId="20B585E5" w14:textId="77777777" w:rsidR="00F04928" w:rsidRPr="00C25708" w:rsidRDefault="00000000">
      <w:pPr>
        <w:spacing w:after="200" w:line="480" w:lineRule="auto"/>
        <w:jc w:val="both"/>
        <w:rPr>
          <w:lang w:val="en-US"/>
        </w:rPr>
      </w:pPr>
      <w:r w:rsidRPr="00C25708">
        <w:rPr>
          <w:lang w:val="en-US"/>
        </w:rPr>
        <w:lastRenderedPageBreak/>
        <w:t>The digital transformation has been striking. According to the Global Findex database (Demirgüç-Kunt et al., 2022), account ownership among adults rose sharply over the 2011–2021 decade, most dramatically in Kazakhstan, where the spread of a domestic payments super-app pushed account ownership and digital-payment usage to levels comparable with upper-middle-income peers. Uzbekistan's liberalization—including currency-convertibility reform in 2017—was accompanied by the diffusion of national card schemes and mobile-payment applications, while the Kyrgyz Republic and Tajikistan saw the digitalization of remittance inflows, which are equivalent to a large share of their GDP (Berg et al., 2020). Instant-payment and interoperability initiatives have since been introduced across several of the republics. This combination—entrenched informality alongside one of the fastest payment-digitalization episodes among transition economies—motivates the empirical analysis that follows.</w:t>
      </w:r>
    </w:p>
    <w:p w14:paraId="6EDE76A2" w14:textId="77777777" w:rsidR="00F04928" w:rsidRPr="00C25708" w:rsidRDefault="00000000">
      <w:pPr>
        <w:pStyle w:val="1"/>
        <w:spacing w:before="360" w:after="200" w:line="480" w:lineRule="auto"/>
        <w:rPr>
          <w:lang w:val="en-US"/>
        </w:rPr>
      </w:pPr>
      <w:r w:rsidRPr="00C25708">
        <w:rPr>
          <w:b/>
          <w:bCs/>
          <w:sz w:val="28"/>
          <w:szCs w:val="28"/>
          <w:lang w:val="en-US"/>
        </w:rPr>
        <w:t>4. Data and Methodology</w:t>
      </w:r>
    </w:p>
    <w:p w14:paraId="677A19E3" w14:textId="77777777" w:rsidR="00F04928" w:rsidRPr="00C25708" w:rsidRDefault="00000000">
      <w:pPr>
        <w:pStyle w:val="2"/>
        <w:spacing w:before="280" w:after="160" w:line="480" w:lineRule="auto"/>
        <w:rPr>
          <w:lang w:val="en-US"/>
        </w:rPr>
      </w:pPr>
      <w:r w:rsidRPr="00C25708">
        <w:rPr>
          <w:b/>
          <w:bCs/>
          <w:i/>
          <w:iCs/>
          <w:lang w:val="en-US"/>
        </w:rPr>
        <w:t>4.1 Sample and Data Sources</w:t>
      </w:r>
    </w:p>
    <w:p w14:paraId="52400F2D" w14:textId="77777777" w:rsidR="00F04928" w:rsidRPr="00C25708" w:rsidRDefault="00000000">
      <w:pPr>
        <w:spacing w:after="200" w:line="480" w:lineRule="auto"/>
        <w:jc w:val="both"/>
        <w:rPr>
          <w:lang w:val="en-US"/>
        </w:rPr>
      </w:pPr>
      <w:r w:rsidRPr="00C25708">
        <w:rPr>
          <w:lang w:val="en-US"/>
        </w:rPr>
        <w:t>The primary estimation sample is an annual panel of eight post-Soviet transition economies with the most complete data—Kazakhstan, the Kyrgyz Republic, Tajikistan (the Central Asian focus), together with Armenia, Azerbaijan, Georgia, Belarus, and Moldova—over 2011–2020 (N = 80). The three Central Asian republics are analysed as a focused subsample (N = 30). Because the cross-sectional dimension is modest, dynamic system-GMM is reported only as an exploratory cross-check. Uzbekistan and Turkmenistan are omitted from the DGE-based analysis because model-based shadow-economy estimates are not available for them in the World Bank informal-economy database; a self-employment-based informality proxy that does cover them is used in a robustness check. Data are drawn from public sources: World Bank World Development Indicators and the Global Findex database; the World Bank informal-economy database (Elgin et al., 2021) for the DGE shadow-economy series; the IMF Financial Access Survey for payment infrastructure; and the Worldwide Governance Indicators for institutional quality.</w:t>
      </w:r>
      <w:r w:rsidRPr="00C25708">
        <w:rPr>
          <w:lang w:val="en-US"/>
        </w:rPr>
      </w:r>
    </w:p>
    <w:p w14:paraId="7E9318E5" w14:textId="77777777" w:rsidR="00F04928" w:rsidRPr="00C25708" w:rsidRDefault="00000000">
      <w:pPr>
        <w:pStyle w:val="2"/>
        <w:spacing w:before="280" w:after="160" w:line="480" w:lineRule="auto"/>
        <w:rPr>
          <w:lang w:val="en-US"/>
        </w:rPr>
      </w:pPr>
      <w:r w:rsidRPr="00C25708">
        <w:rPr>
          <w:b/>
          <w:bCs/>
          <w:i/>
          <w:iCs/>
          <w:lang w:val="en-US"/>
        </w:rPr>
        <w:t>4.2 Variables</w:t>
      </w:r>
    </w:p>
    <w:p w14:paraId="6C2F0A71" w14:textId="77777777" w:rsidR="00F04928" w:rsidRPr="00C25708" w:rsidRDefault="00000000">
      <w:pPr>
        <w:spacing w:after="200" w:line="480" w:lineRule="auto"/>
        <w:jc w:val="both"/>
        <w:rPr>
          <w:lang w:val="en-US"/>
        </w:rPr>
      </w:pPr>
      <w:r w:rsidRPr="00C25708">
        <w:rPr>
          <w:lang w:val="en-US"/>
        </w:rPr>
        <w:t>The analysis uses two dependent variables. SHADOW is the estimated size of the shadow economy as a percentage of GDP; where available we use the DGE-based series and validate with the MIMIC series. TAX is general government tax revenue as a percentage of GDP. The principal explanatory variable is a composite DFS index constructed by principal-component analysis (PCA) from four standardized indicators: (i) the share of adults owning a transaction account; (ii) the share of adults who made or received a digital payment in the past year; (iii) the number of POS terminals and ATMs per 100,000 adults; and (iv) the value of cashless card and electronic transactions relative to GDP. The first principal component, which explains the bulk of the common variation and loads positively on all four indicators, is retained and rescaled to a 0–100 range as DFS_INDEX (construct-validity diagnostics for this composite are reported in Table 4). As a transparent alternative, we also use the single Findex indicator DIGPAY (made or received a digital payment).</w:t>
      </w:r>
    </w:p>
    <w:p w14:paraId="63B077A0" w14:textId="77777777" w:rsidR="00F04928" w:rsidRDefault="00000000">
      <w:pPr>
        <w:spacing w:after="200" w:line="480" w:lineRule="auto"/>
        <w:jc w:val="both"/>
      </w:pPr>
      <w:r w:rsidRPr="00C25708">
        <w:rPr>
          <w:lang w:val="en-US"/>
        </w:rPr>
        <w:t>Control variables follow the informality and tax-capacity literatures: the natural logarithm of real GDP per capita (LGDPPC) and its square to allow for non-linearity; trade openness (exports plus imports over GDP); the unemployment rate; consumer-price inflation; the ratio of personal remittances to GDP; the urbanization rate; and mobile-cellular subscriptions per 100 people as a measure of enabling telecommunications infrastructure. Institutional quality is captured by the average of the WGI regulatory-quality and rule-of-law scores (INST). Table 1 summarizes the variables and their sources.</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03EA2898" w14:textId="77777777" w:rsidR="00F04928" w:rsidRDefault="00000000">
      <w:pPr>
        <w:spacing w:before="320" w:after="80"/>
      </w:pPr>
      <w:proofErr w:type="spellStart"/>
      <w:r>
        <w:rPr>
          <w:b/>
          <w:bCs/>
          <w:i/>
          <w:iCs/>
        </w:rPr>
        <w:lastRenderedPageBreak/>
        <w:t>Table</w:t>
      </w:r>
      <w:proofErr w:type="spellEnd"/>
      <w:r>
        <w:rPr>
          <w:b/>
          <w:bCs/>
          <w:i/>
          <w:iCs/>
        </w:rPr>
        <w:t xml:space="preserve"> 1. </w:t>
      </w:r>
      <w:proofErr w:type="spellStart"/>
      <w:r>
        <w:rPr>
          <w:b/>
          <w:bCs/>
          <w:i/>
          <w:iCs/>
        </w:rPr>
        <w:t>Variable</w:t>
      </w:r>
      <w:proofErr w:type="spellEnd"/>
      <w:r>
        <w:rPr>
          <w:b/>
          <w:bCs/>
          <w:i/>
          <w:iCs/>
        </w:rPr>
        <w:t xml:space="preserve"> </w:t>
      </w:r>
      <w:proofErr w:type="spellStart"/>
      <w:r>
        <w:rPr>
          <w:b/>
          <w:bCs/>
          <w:i/>
          <w:iCs/>
        </w:rPr>
        <w:t>definitions</w:t>
      </w:r>
      <w:proofErr w:type="spellEnd"/>
      <w:r>
        <w:rPr>
          <w:b/>
          <w:bCs/>
          <w:i/>
          <w:iCs/>
        </w:rPr>
        <w:t xml:space="preserve"> </w:t>
      </w:r>
      <w:proofErr w:type="spellStart"/>
      <w:r>
        <w:rPr>
          <w:b/>
          <w:bCs/>
          <w:i/>
          <w:iCs/>
        </w:rPr>
        <w:t>and</w:t>
      </w:r>
      <w:proofErr w:type="spellEnd"/>
      <w:r>
        <w:rPr>
          <w:b/>
          <w:bCs/>
          <w:i/>
          <w:iCs/>
        </w:rPr>
        <w:t xml:space="preserve"> </w:t>
      </w:r>
      <w:proofErr w:type="spellStart"/>
      <w:r>
        <w:rPr>
          <w:b/>
          <w:bCs/>
          <w:i/>
          <w:iCs/>
        </w:rPr>
        <w:t>data</w:t>
      </w:r>
      <w:proofErr w:type="spellEnd"/>
      <w:r>
        <w:rPr>
          <w:b/>
          <w:bCs/>
          <w:i/>
          <w:iCs/>
        </w:rPr>
        <w:t xml:space="preserve"> </w:t>
      </w:r>
      <w:proofErr w:type="spellStart"/>
      <w:r>
        <w:rPr>
          <w:b/>
          <w:bCs/>
          <w:i/>
          <w:iCs/>
        </w:rPr>
        <w:t>sources</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3"/>
        <w:gridCol w:w="6230"/>
        <w:gridCol w:w="1473"/>
      </w:tblGrid>
      <w:tr w:rsidR="00F04928" w14:paraId="5BAF9F8C"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4923FF2C" w14:textId="77777777" w:rsidR="00F04928" w:rsidRDefault="00000000">
            <w:pPr>
              <w:spacing w:after="20"/>
            </w:pPr>
            <w:proofErr w:type="spellStart"/>
            <w:r>
              <w:rPr>
                <w:b/>
                <w:bCs/>
                <w:sz w:val="20"/>
                <w:szCs w:val="20"/>
              </w:rPr>
              <w:t>Variable</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05011E6B" w14:textId="77777777" w:rsidR="00F04928" w:rsidRDefault="00000000">
            <w:pPr>
              <w:spacing w:after="20"/>
            </w:pPr>
            <w:r>
              <w:rPr>
                <w:b/>
                <w:bCs/>
                <w:sz w:val="20"/>
                <w:szCs w:val="20"/>
              </w:rPr>
              <w:t>Definition</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16F8A3C6" w14:textId="77777777" w:rsidR="00F04928" w:rsidRDefault="00000000">
            <w:pPr>
              <w:spacing w:after="20"/>
            </w:pPr>
            <w:r>
              <w:rPr>
                <w:b/>
                <w:bCs/>
                <w:sz w:val="20"/>
                <w:szCs w:val="20"/>
              </w:rPr>
              <w:t>Source</w:t>
            </w:r>
          </w:p>
        </w:tc>
      </w:tr>
      <w:tr w:rsidR="00F04928" w14:paraId="09DB747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8895AC" w14:textId="77777777" w:rsidR="00F04928" w:rsidRDefault="00000000">
            <w:pPr>
              <w:spacing w:after="20"/>
            </w:pPr>
            <w:r>
              <w:rPr>
                <w:b/>
                <w:bCs/>
                <w:sz w:val="20"/>
                <w:szCs w:val="20"/>
              </w:rPr>
              <w:t>SHADOW</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E2E331" w14:textId="77777777" w:rsidR="00F04928" w:rsidRPr="00C25708" w:rsidRDefault="00000000">
            <w:pPr>
              <w:spacing w:after="20"/>
              <w:rPr>
                <w:lang w:val="en-US"/>
              </w:rPr>
            </w:pPr>
            <w:r w:rsidRPr="00C25708">
              <w:rPr>
                <w:sz w:val="20"/>
                <w:szCs w:val="20"/>
                <w:lang w:val="en-US"/>
              </w:rPr>
              <w:t>Shadow economy (% of GDP), DGE estimate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832A472" w14:textId="77777777" w:rsidR="00F04928" w:rsidRDefault="00000000">
            <w:pPr>
              <w:spacing w:after="20"/>
            </w:pPr>
            <w:proofErr w:type="spellStart"/>
            <w:r>
              <w:rPr>
                <w:sz w:val="20"/>
                <w:szCs w:val="20"/>
              </w:rPr>
              <w:t>Elgin</w:t>
            </w:r>
            <w:proofErr w:type="spellEnd"/>
            <w:r>
              <w:rPr>
                <w:sz w:val="20"/>
                <w:szCs w:val="20"/>
              </w:rPr>
              <w:t xml:space="preserve"> </w:t>
            </w:r>
            <w:proofErr w:type="spellStart"/>
            <w:r>
              <w:rPr>
                <w:sz w:val="20"/>
                <w:szCs w:val="20"/>
              </w:rPr>
              <w:t>et</w:t>
            </w:r>
            <w:proofErr w:type="spellEnd"/>
            <w:r>
              <w:rPr>
                <w:sz w:val="20"/>
                <w:szCs w:val="20"/>
              </w:rPr>
              <w:t xml:space="preserve"> </w:t>
            </w:r>
            <w:proofErr w:type="spellStart"/>
            <w:r>
              <w:rPr>
                <w:sz w:val="20"/>
                <w:szCs w:val="20"/>
              </w:rPr>
              <w:t>al</w:t>
            </w:r>
            <w:proofErr w:type="spellEnd"/>
            <w:r>
              <w:rPr>
                <w:sz w:val="20"/>
                <w:szCs w:val="20"/>
              </w:rPr>
              <w:t>. (2021)</w:t>
            </w:r>
          </w:p>
        </w:tc>
      </w:tr>
      <w:tr w:rsidR="00F04928" w14:paraId="0533E2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310DFC3" w14:textId="77777777" w:rsidR="00F04928" w:rsidRDefault="00000000">
            <w:pPr>
              <w:spacing w:after="20"/>
            </w:pPr>
            <w:r>
              <w:rPr>
                <w:b/>
                <w:bCs/>
                <w:sz w:val="20"/>
                <w:szCs w:val="20"/>
              </w:rPr>
              <w:t>TAX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9651B72" w14:textId="77777777" w:rsidR="00F04928" w:rsidRDefault="00000000">
            <w:pPr>
              <w:spacing w:after="20"/>
            </w:pPr>
            <w:proofErr w:type="spellStart"/>
            <w:r>
              <w:rPr>
                <w:sz w:val="20"/>
                <w:szCs w:val="20"/>
              </w:rPr>
              <w:t>Tax</w:t>
            </w:r>
            <w:proofErr w:type="spellEnd"/>
            <w:r>
              <w:rPr>
                <w:sz w:val="20"/>
                <w:szCs w:val="20"/>
              </w:rPr>
              <w:t xml:space="preserve"> </w:t>
            </w:r>
            <w:proofErr w:type="spellStart"/>
            <w:r>
              <w:rPr>
                <w:sz w:val="20"/>
                <w:szCs w:val="20"/>
              </w:rPr>
              <w:t>revenue</w:t>
            </w:r>
            <w:proofErr w:type="spellEnd"/>
            <w:r>
              <w:rPr>
                <w:sz w:val="20"/>
                <w:szCs w:val="20"/>
              </w:rPr>
              <w:t xml:space="preserve"> (% </w:t>
            </w:r>
            <w:proofErr w:type="spellStart"/>
            <w:r>
              <w:rPr>
                <w:sz w:val="20"/>
                <w:szCs w:val="20"/>
              </w:rPr>
              <w:t>of</w:t>
            </w:r>
            <w:proofErr w:type="spellEnd"/>
            <w:r>
              <w:rPr>
                <w:sz w:val="20"/>
                <w:szCs w:val="20"/>
              </w:rPr>
              <w:t xml:space="preserve">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6DADBED" w14:textId="77777777" w:rsidR="00F04928" w:rsidRDefault="00000000">
            <w:pPr>
              <w:spacing w:after="20"/>
            </w:pPr>
            <w:r>
              <w:rPr>
                <w:sz w:val="20"/>
                <w:szCs w:val="20"/>
              </w:rPr>
              <w:t xml:space="preserve">WDI; IMF </w:t>
            </w:r>
            <w:proofErr w:type="spellStart"/>
            <w:r>
              <w:rPr>
                <w:sz w:val="20"/>
                <w:szCs w:val="20"/>
              </w:rPr>
              <w:t>WoRLD</w:t>
            </w:r>
            <w:proofErr w:type="spellEnd"/>
          </w:p>
        </w:tc>
      </w:tr>
      <w:tr w:rsidR="00F04928" w14:paraId="1F9429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277977C" w14:textId="77777777" w:rsidR="00F04928" w:rsidRDefault="00000000">
            <w:pPr>
              <w:spacing w:after="20"/>
            </w:pPr>
            <w:r>
              <w:rPr>
                <w:b/>
                <w:bCs/>
                <w:sz w:val="20"/>
                <w:szCs w:val="20"/>
              </w:rPr>
              <w:t>DFS_INDEX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PCA composite of account ownership, digital-payment use, and ATM density (rescaled 0–100); used as a robustness check</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02F3F17" w14:textId="77777777" w:rsidR="00F04928" w:rsidRDefault="00000000">
            <w:pPr>
              <w:spacing w:after="20"/>
            </w:pPr>
            <w:proofErr w:type="spellStart"/>
            <w:r>
              <w:rPr>
                <w:sz w:val="20"/>
                <w:szCs w:val="20"/>
              </w:rPr>
              <w:t>Findex</w:t>
            </w:r>
            <w:proofErr w:type="spellEnd"/>
            <w:r>
              <w:rPr>
                <w:sz w:val="20"/>
                <w:szCs w:val="20"/>
              </w:rPr>
              <w:t>; IMF FAS</w:t>
            </w:r>
          </w:p>
        </w:tc>
      </w:tr>
      <w:tr w:rsidR="00F04928" w14:paraId="3ECC04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208ECAB" w14:textId="77777777" w:rsidR="00F04928" w:rsidRDefault="00000000">
            <w:pPr>
              <w:spacing w:after="20"/>
            </w:pPr>
            <w:r>
              <w:rPr>
                <w:b/>
                <w:bCs/>
                <w:sz w:val="20"/>
                <w:szCs w:val="20"/>
              </w:rPr>
              <w:t>DIGPAY</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6C1570" w14:textId="77777777" w:rsidR="00F04928" w:rsidRPr="00C25708" w:rsidRDefault="00000000">
            <w:pPr>
              <w:spacing w:after="20"/>
              <w:rPr>
                <w:lang w:val="en-US"/>
              </w:rPr>
            </w:pPr>
            <w:r w:rsidRPr="00C25708">
              <w:rPr>
                <w:sz w:val="20"/>
                <w:szCs w:val="20"/>
                <w:lang w:val="en-US"/>
              </w:rPr>
              <w:t>Adults who made/received a digital payment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7F682A" w14:textId="77777777" w:rsidR="00F04928" w:rsidRDefault="00000000">
            <w:pPr>
              <w:spacing w:after="20"/>
            </w:pPr>
            <w:r>
              <w:rPr>
                <w:sz w:val="20"/>
                <w:szCs w:val="20"/>
              </w:rPr>
              <w:t xml:space="preserve">Global </w:t>
            </w:r>
            <w:proofErr w:type="spellStart"/>
            <w:r>
              <w:rPr>
                <w:sz w:val="20"/>
                <w:szCs w:val="20"/>
              </w:rPr>
              <w:t>Findex</w:t>
            </w:r>
            <w:proofErr w:type="spellEnd"/>
          </w:p>
        </w:tc>
      </w:tr>
      <w:tr w:rsidR="00F04928" w14:paraId="773DDE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5881347" w14:textId="77777777" w:rsidR="00F04928" w:rsidRDefault="00000000">
            <w:pPr>
              <w:spacing w:after="20"/>
            </w:pPr>
            <w:r>
              <w:rPr>
                <w:b/>
                <w:bCs/>
                <w:sz w:val="20"/>
                <w:szCs w:val="20"/>
              </w:rPr>
              <w:t>LGDPPC</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0583C8B" w14:textId="77777777" w:rsidR="00F04928" w:rsidRPr="00C25708" w:rsidRDefault="00000000">
            <w:pPr>
              <w:spacing w:after="20"/>
              <w:rPr>
                <w:lang w:val="en-US"/>
              </w:rPr>
            </w:pPr>
            <w:r w:rsidRPr="00C25708">
              <w:rPr>
                <w:sz w:val="20"/>
                <w:szCs w:val="20"/>
                <w:lang w:val="en-US"/>
              </w:rPr>
              <w:t>Log real GDP per capita (constant USD)</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41791B6" w14:textId="77777777" w:rsidR="00F04928" w:rsidRDefault="00000000">
            <w:pPr>
              <w:spacing w:after="20"/>
            </w:pPr>
            <w:r>
              <w:rPr>
                <w:sz w:val="20"/>
                <w:szCs w:val="20"/>
              </w:rPr>
              <w:t>WDI</w:t>
            </w:r>
          </w:p>
        </w:tc>
      </w:tr>
      <w:tr w:rsidR="00F04928" w14:paraId="6C4B53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902649" w14:textId="77777777" w:rsidR="00F04928" w:rsidRDefault="00000000">
            <w:pPr>
              <w:spacing w:after="20"/>
            </w:pPr>
            <w:r>
              <w:rPr>
                <w:b/>
                <w:bCs/>
                <w:sz w:val="20"/>
                <w:szCs w:val="20"/>
              </w:rPr>
              <w:t>OPEN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4198E9F" w14:textId="77777777" w:rsidR="00F04928" w:rsidRPr="00C25708" w:rsidRDefault="00000000">
            <w:pPr>
              <w:spacing w:after="20"/>
              <w:rPr>
                <w:lang w:val="en-US"/>
              </w:rPr>
            </w:pPr>
            <w:r w:rsidRPr="00C25708">
              <w:rPr>
                <w:sz w:val="20"/>
                <w:szCs w:val="20"/>
                <w:lang w:val="en-US"/>
              </w:rPr>
              <w:t>Trade openness ((X + M)/GDP,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38123E7" w14:textId="77777777" w:rsidR="00F04928" w:rsidRDefault="00000000">
            <w:pPr>
              <w:spacing w:after="20"/>
            </w:pPr>
            <w:r>
              <w:rPr>
                <w:sz w:val="20"/>
                <w:szCs w:val="20"/>
              </w:rPr>
              <w:t>WDI</w:t>
            </w:r>
          </w:p>
        </w:tc>
      </w:tr>
      <w:tr w:rsidR="00F04928" w14:paraId="31ECE8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0C85B0A" w14:textId="77777777" w:rsidR="00F04928" w:rsidRDefault="00000000">
            <w:pPr>
              <w:spacing w:after="20"/>
            </w:pPr>
            <w:r>
              <w:rPr>
                <w:b/>
                <w:bCs/>
                <w:sz w:val="20"/>
                <w:szCs w:val="20"/>
              </w:rPr>
              <w:t>UNEMP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5957FD" w14:textId="77777777" w:rsidR="00F04928" w:rsidRDefault="00000000">
            <w:pPr>
              <w:spacing w:after="20"/>
            </w:pPr>
            <w:proofErr w:type="spellStart"/>
            <w:r>
              <w:rPr>
                <w:sz w:val="20"/>
                <w:szCs w:val="20"/>
              </w:rPr>
              <w:t>Unemployment</w:t>
            </w:r>
            <w:proofErr w:type="spellEnd"/>
            <w:r>
              <w:rPr>
                <w:sz w:val="20"/>
                <w:szCs w:val="20"/>
              </w:rPr>
              <w:t xml:space="preserve"> </w:t>
            </w:r>
            <w:proofErr w:type="spellStart"/>
            <w:r>
              <w:rPr>
                <w:sz w:val="20"/>
                <w:szCs w:val="20"/>
              </w:rPr>
              <w:t>rate</w:t>
            </w:r>
            <w:proofErr w:type="spellEnd"/>
            <w:r>
              <w:rPr>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915815" w14:textId="77777777" w:rsidR="00F04928" w:rsidRDefault="00000000">
            <w:pPr>
              <w:spacing w:after="20"/>
            </w:pPr>
            <w:r>
              <w:rPr>
                <w:sz w:val="20"/>
                <w:szCs w:val="20"/>
              </w:rPr>
              <w:t>WDI/ILO</w:t>
            </w:r>
          </w:p>
        </w:tc>
      </w:tr>
      <w:tr w:rsidR="00F04928" w14:paraId="1F786A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8B0E15A" w14:textId="77777777" w:rsidR="00F04928" w:rsidRDefault="00000000">
            <w:pPr>
              <w:spacing w:after="20"/>
            </w:pPr>
            <w:r>
              <w:rPr>
                <w:b/>
                <w:bCs/>
                <w:sz w:val="20"/>
                <w:szCs w:val="20"/>
              </w:rPr>
              <w:t>INFL</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4C2334D" w14:textId="77777777" w:rsidR="00F04928" w:rsidRDefault="00000000">
            <w:pPr>
              <w:spacing w:after="20"/>
            </w:pPr>
            <w:r>
              <w:rPr>
                <w:sz w:val="20"/>
                <w:szCs w:val="20"/>
              </w:rPr>
              <w:t>Consumer-</w:t>
            </w:r>
            <w:proofErr w:type="spellStart"/>
            <w:r>
              <w:rPr>
                <w:sz w:val="20"/>
                <w:szCs w:val="20"/>
              </w:rPr>
              <w:t>price</w:t>
            </w:r>
            <w:proofErr w:type="spellEnd"/>
            <w:r>
              <w:rPr>
                <w:sz w:val="20"/>
                <w:szCs w:val="20"/>
              </w:rPr>
              <w:t xml:space="preserve"> </w:t>
            </w:r>
            <w:proofErr w:type="spellStart"/>
            <w:r>
              <w:rPr>
                <w:sz w:val="20"/>
                <w:szCs w:val="20"/>
              </w:rPr>
              <w:t>inflation</w:t>
            </w:r>
            <w:proofErr w:type="spellEnd"/>
            <w:r>
              <w:rPr>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937099C" w14:textId="77777777" w:rsidR="00F04928" w:rsidRDefault="00000000">
            <w:pPr>
              <w:spacing w:after="20"/>
            </w:pPr>
            <w:r>
              <w:rPr>
                <w:sz w:val="20"/>
                <w:szCs w:val="20"/>
              </w:rPr>
              <w:t>WDI</w:t>
            </w:r>
          </w:p>
        </w:tc>
      </w:tr>
      <w:tr w:rsidR="00F04928" w14:paraId="5F3182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98A7B3F" w14:textId="77777777" w:rsidR="00F04928" w:rsidRDefault="00000000">
            <w:pPr>
              <w:spacing w:after="20"/>
            </w:pPr>
            <w:r>
              <w:rPr>
                <w:b/>
                <w:bCs/>
                <w:sz w:val="20"/>
                <w:szCs w:val="20"/>
              </w:rPr>
              <w:t>REMIT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0A71501" w14:textId="77777777" w:rsidR="00F04928" w:rsidRPr="00C25708" w:rsidRDefault="00000000">
            <w:pPr>
              <w:spacing w:after="20"/>
              <w:rPr>
                <w:lang w:val="en-US"/>
              </w:rPr>
            </w:pPr>
            <w:r w:rsidRPr="00C25708">
              <w:rPr>
                <w:sz w:val="20"/>
                <w:szCs w:val="20"/>
                <w:lang w:val="en-US"/>
              </w:rPr>
              <w:t>Personal remittances received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4DD772B" w14:textId="77777777" w:rsidR="00F04928" w:rsidRDefault="00000000">
            <w:pPr>
              <w:spacing w:after="20"/>
            </w:pPr>
            <w:r>
              <w:rPr>
                <w:sz w:val="20"/>
                <w:szCs w:val="20"/>
              </w:rPr>
              <w:t>WDI</w:t>
            </w:r>
          </w:p>
        </w:tc>
      </w:tr>
      <w:tr w:rsidR="00F04928" w14:paraId="614AA5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959818C" w14:textId="77777777" w:rsidR="00F04928" w:rsidRDefault="00000000">
            <w:pPr>
              <w:spacing w:after="20"/>
            </w:pPr>
            <w:r>
              <w:rPr>
                <w:b/>
                <w:bCs/>
                <w:sz w:val="20"/>
                <w:szCs w:val="20"/>
              </w:rPr>
              <w:t>URBAN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9CB7BF9" w14:textId="77777777" w:rsidR="00F04928" w:rsidRDefault="00000000">
            <w:pPr>
              <w:spacing w:after="20"/>
            </w:pPr>
            <w:r>
              <w:rPr>
                <w:sz w:val="20"/>
                <w:szCs w:val="20"/>
              </w:rPr>
              <w:t xml:space="preserve">Urban </w:t>
            </w:r>
            <w:proofErr w:type="spellStart"/>
            <w:r>
              <w:rPr>
                <w:sz w:val="20"/>
                <w:szCs w:val="20"/>
              </w:rPr>
              <w:t>population</w:t>
            </w:r>
            <w:proofErr w:type="spellEnd"/>
            <w:r>
              <w:rPr>
                <w:sz w:val="20"/>
                <w:szCs w:val="20"/>
              </w:rPr>
              <w:t xml:space="preserve"> (% </w:t>
            </w:r>
            <w:proofErr w:type="spellStart"/>
            <w:r>
              <w:rPr>
                <w:sz w:val="20"/>
                <w:szCs w:val="20"/>
              </w:rPr>
              <w:t>of</w:t>
            </w:r>
            <w:proofErr w:type="spellEnd"/>
            <w:r>
              <w:rPr>
                <w:sz w:val="20"/>
                <w:szCs w:val="20"/>
              </w:rPr>
              <w:t xml:space="preserve"> </w:t>
            </w:r>
            <w:proofErr w:type="spellStart"/>
            <w:r>
              <w:rPr>
                <w:sz w:val="20"/>
                <w:szCs w:val="20"/>
              </w:rPr>
              <w:t>total</w:t>
            </w:r>
            <w:proofErr w:type="spellEnd"/>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E5FEE6E" w14:textId="77777777" w:rsidR="00F04928" w:rsidRDefault="00000000">
            <w:pPr>
              <w:spacing w:after="20"/>
            </w:pPr>
            <w:r>
              <w:rPr>
                <w:sz w:val="20"/>
                <w:szCs w:val="20"/>
              </w:rPr>
              <w:t>WDI</w:t>
            </w:r>
          </w:p>
        </w:tc>
      </w:tr>
      <w:tr w:rsidR="00F04928" w14:paraId="1DF9A3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7C7EAB7" w14:textId="77777777" w:rsidR="00F04928" w:rsidRDefault="00000000">
            <w:pPr>
              <w:spacing w:after="20"/>
            </w:pPr>
            <w:r>
              <w:rPr>
                <w:b/>
                <w:bCs/>
                <w:sz w:val="20"/>
                <w:szCs w:val="20"/>
              </w:rPr>
              <w:t>MOBILE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843344" w14:textId="77777777" w:rsidR="00F04928" w:rsidRPr="00C25708" w:rsidRDefault="00000000">
            <w:pPr>
              <w:spacing w:after="20"/>
              <w:rPr>
                <w:lang w:val="en-US"/>
              </w:rPr>
            </w:pPr>
            <w:r w:rsidRPr="00C25708">
              <w:rPr>
                <w:sz w:val="20"/>
                <w:szCs w:val="20"/>
                <w:lang w:val="en-US"/>
              </w:rPr>
              <w:t>Mobile-cellular subscriptions per 100 people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AF87CD" w14:textId="77777777" w:rsidR="00F04928" w:rsidRDefault="00000000">
            <w:pPr>
              <w:spacing w:after="20"/>
            </w:pPr>
            <w:r>
              <w:rPr>
                <w:sz w:val="20"/>
                <w:szCs w:val="20"/>
              </w:rPr>
              <w:t>WDI/ITU</w:t>
            </w:r>
          </w:p>
        </w:tc>
      </w:tr>
      <w:tr w:rsidR="00F04928" w14:paraId="2753CCED"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0D14AC3A" w14:textId="77777777" w:rsidR="00F04928" w:rsidRDefault="00000000">
            <w:pPr>
              <w:spacing w:after="20"/>
            </w:pPr>
            <w:r>
              <w:rPr>
                <w:b/>
                <w:bCs/>
                <w:sz w:val="20"/>
                <w:szCs w:val="20"/>
              </w:rPr>
              <w:t>INST</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6D1FF0F4" w14:textId="77777777" w:rsidR="00F04928" w:rsidRPr="00C25708" w:rsidRDefault="00000000">
            <w:pPr>
              <w:spacing w:after="20"/>
              <w:rPr>
                <w:lang w:val="en-US"/>
              </w:rPr>
            </w:pPr>
            <w:r w:rsidRPr="00C25708">
              <w:rPr>
                <w:sz w:val="20"/>
                <w:szCs w:val="20"/>
                <w:lang w:val="en-US"/>
              </w:rPr>
              <w:t>Average of WGI regulatory-quality and rule-of-law scores</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D6BB035" w14:textId="77777777" w:rsidR="00F04928" w:rsidRDefault="00000000">
            <w:pPr>
              <w:spacing w:after="20"/>
            </w:pPr>
            <w:r>
              <w:rPr>
                <w:sz w:val="20"/>
                <w:szCs w:val="20"/>
              </w:rPr>
              <w:t>WGI</w:t>
            </w:r>
          </w:p>
        </w:tc>
      </w:tr>
    </w:tbl>
    <w:p w14:paraId="54E97AAF" w14:textId="77777777" w:rsidR="00F04928" w:rsidRPr="00C25708" w:rsidRDefault="00000000">
      <w:pPr>
        <w:spacing w:before="100" w:after="260"/>
        <w:rPr>
          <w:lang w:val="en-US"/>
        </w:rPr>
      </w:pPr>
      <w:r w:rsidRPr="00C25708">
        <w:rPr>
          <w:i/>
          <w:iCs/>
          <w:sz w:val="20"/>
          <w:szCs w:val="20"/>
          <w:lang w:val="en-US"/>
        </w:rPr>
        <w:t>Note. WDI = World Development Indicators; FAS = IMF Financial Access Survey; WGI = Worldwide Governance Indicators; WoRLD = IMF World Revenue Longitudinal Dataset; DGE = dynamic general equilibrium; PCA = principal-component analysis.</w:t>
      </w:r>
    </w:p>
    <w:p w14:paraId="1C147C92" w14:textId="77777777" w:rsidR="00F04928" w:rsidRPr="00C25708" w:rsidRDefault="00000000">
      <w:pPr>
        <w:pStyle w:val="2"/>
        <w:spacing w:before="280" w:after="160" w:line="480" w:lineRule="auto"/>
        <w:rPr>
          <w:lang w:val="en-US"/>
        </w:rPr>
      </w:pPr>
      <w:r w:rsidRPr="00C25708">
        <w:rPr>
          <w:b/>
          <w:bCs/>
          <w:i/>
          <w:iCs/>
          <w:lang w:val="en-US"/>
        </w:rPr>
        <w:t>4.3 Empirical Model</w:t>
      </w:r>
    </w:p>
    <w:p w14:paraId="58FB9D37" w14:textId="77777777" w:rsidR="00F04928" w:rsidRPr="00C25708" w:rsidRDefault="00000000">
      <w:pPr>
        <w:spacing w:after="200" w:line="480" w:lineRule="auto"/>
        <w:jc w:val="both"/>
        <w:rPr>
          <w:lang w:val="en-US"/>
        </w:rPr>
      </w:pPr>
      <w:r w:rsidRPr="00C25708">
        <w:rPr>
          <w:lang w:val="en-US"/>
        </w:rPr>
        <w:t>To test H1 and H2 we estimate two-way fixed-effects panel models of the form:</w:t>
      </w:r>
    </w:p>
    <w:p w14:paraId="47CB3F51" w14:textId="77777777" w:rsidR="00F04928" w:rsidRPr="00C25708" w:rsidRDefault="00000000">
      <w:pPr>
        <w:spacing w:after="200" w:line="480" w:lineRule="auto"/>
        <w:jc w:val="center"/>
        <w:rPr>
          <w:lang w:val="en-US"/>
        </w:rPr>
      </w:pPr>
      <w:r w:rsidRPr="00C25708">
        <w:rPr>
          <w:i/>
          <w:iCs/>
          <w:lang w:val="en-US"/>
        </w:rPr>
        <w:t xml:space="preserve">Yit = </w:t>
      </w:r>
      <w:r>
        <w:rPr>
          <w:i/>
          <w:iCs/>
        </w:rPr>
        <w:t>α</w:t>
      </w:r>
      <w:r w:rsidRPr="00C25708">
        <w:rPr>
          <w:i/>
          <w:iCs/>
          <w:lang w:val="en-US"/>
        </w:rPr>
        <w:t xml:space="preserve"> + </w:t>
      </w:r>
      <w:r>
        <w:rPr>
          <w:i/>
          <w:iCs/>
        </w:rPr>
        <w:t>β</w:t>
      </w:r>
      <w:r w:rsidRPr="00C25708">
        <w:rPr>
          <w:i/>
          <w:iCs/>
          <w:lang w:val="en-US"/>
        </w:rPr>
        <w:t xml:space="preserve">·DFSit + </w:t>
      </w:r>
      <w:r>
        <w:rPr>
          <w:i/>
          <w:iCs/>
        </w:rPr>
        <w:t>γ</w:t>
      </w:r>
      <w:r w:rsidRPr="00C25708">
        <w:rPr>
          <w:i/>
          <w:iCs/>
          <w:lang w:val="en-US"/>
        </w:rPr>
        <w:t xml:space="preserve">′Xit + </w:t>
      </w:r>
      <w:r>
        <w:rPr>
          <w:i/>
          <w:iCs/>
        </w:rPr>
        <w:t>μ</w:t>
      </w:r>
      <w:r w:rsidRPr="00C25708">
        <w:rPr>
          <w:i/>
          <w:iCs/>
          <w:lang w:val="en-US"/>
        </w:rPr>
        <w:t xml:space="preserve">i + </w:t>
      </w:r>
      <w:r>
        <w:rPr>
          <w:i/>
          <w:iCs/>
        </w:rPr>
        <w:t>λ</w:t>
      </w:r>
      <w:r w:rsidRPr="00C25708">
        <w:rPr>
          <w:i/>
          <w:iCs/>
          <w:lang w:val="en-US"/>
        </w:rPr>
        <w:t xml:space="preserve">t + </w:t>
      </w:r>
      <w:r>
        <w:rPr>
          <w:i/>
          <w:iCs/>
        </w:rPr>
        <w:t>ε</w:t>
      </w:r>
      <w:r w:rsidRPr="00C25708">
        <w:rPr>
          <w:i/>
          <w:iCs/>
          <w:lang w:val="en-US"/>
        </w:rPr>
        <w:t>it</w:t>
      </w:r>
    </w:p>
    <w:p w14:paraId="5B48D553" w14:textId="77777777" w:rsidR="00F04928" w:rsidRPr="00C25708" w:rsidRDefault="00000000">
      <w:pPr>
        <w:spacing w:after="200" w:line="480" w:lineRule="auto"/>
        <w:jc w:val="both"/>
        <w:rPr>
          <w:lang w:val="en-US"/>
        </w:rPr>
      </w:pPr>
      <w:r w:rsidRPr="00C25708">
        <w:rPr>
          <w:lang w:val="en-US"/>
        </w:rPr>
        <w:t xml:space="preserve">where Y is either SHADOW or TAX for country i in year t; DFS is the digital-finance measure; X is the vector of controls; </w:t>
      </w:r>
      <w:r>
        <w:t>μ</w:t>
      </w:r>
      <w:r w:rsidRPr="00C25708">
        <w:rPr>
          <w:lang w:val="en-US"/>
        </w:rPr>
        <w:t xml:space="preserve">i are country fixed effects that absorb time-invariant heterogeneity (resource endowments, legal origin, geography); </w:t>
      </w:r>
      <w:r>
        <w:t>λ</w:t>
      </w:r>
      <w:r w:rsidRPr="00C25708">
        <w:rPr>
          <w:lang w:val="en-US"/>
        </w:rPr>
        <w:t xml:space="preserve">t are year fixed effects that absorb common shocks such as commodity-price cycles and the COVID-19 pandemic; and </w:t>
      </w:r>
      <w:r>
        <w:t>ε</w:t>
      </w:r>
      <w:r w:rsidRPr="00C25708">
        <w:rPr>
          <w:lang w:val="en-US"/>
        </w:rPr>
        <w:t xml:space="preserve"> is the idiosyncratic error. Hypothesis H1 predicts </w:t>
      </w:r>
      <w:r>
        <w:t>β</w:t>
      </w:r>
      <w:r w:rsidRPr="00C25708">
        <w:rPr>
          <w:lang w:val="en-US"/>
        </w:rPr>
        <w:t xml:space="preserve"> &lt; 0 in the SHADOW equation, and H2 predicts </w:t>
      </w:r>
      <w:r>
        <w:t>β</w:t>
      </w:r>
      <w:r w:rsidRPr="00C25708">
        <w:rPr>
          <w:lang w:val="en-US"/>
        </w:rPr>
        <w:t xml:space="preserve"> &gt; 0 in the TAX equation. Standard errors are clustered by country and, given the likelihood of cross-sectional dependence across neighbouring economies, we also report Driscoll–Kraay standard errors.</w:t>
      </w:r>
    </w:p>
    <w:p w14:paraId="142CB542" w14:textId="77777777" w:rsidR="00F04928" w:rsidRPr="00C25708" w:rsidRDefault="00000000">
      <w:pPr>
        <w:spacing w:after="200" w:line="480" w:lineRule="auto"/>
        <w:jc w:val="both"/>
        <w:rPr>
          <w:lang w:val="en-US"/>
        </w:rPr>
      </w:pPr>
      <w:r w:rsidRPr="00C25708">
        <w:rPr>
          <w:lang w:val="en-US"/>
        </w:rPr>
        <w:t>The institutional complementarity in H2 is tested by adding an interaction term DFSit × INSTit; a positive coefficient in the TAX equation (and a negative one in the SHADOW equation) would indicate that stronger institutions amplify the formalization association of DFS.</w:t>
      </w:r>
    </w:p>
    <w:p w14:paraId="1232723B" w14:textId="77777777" w:rsidR="00F04928" w:rsidRPr="00C25708" w:rsidRDefault="00000000">
      <w:pPr>
        <w:pStyle w:val="2"/>
        <w:spacing w:before="280" w:after="160" w:line="480" w:lineRule="auto"/>
        <w:rPr>
          <w:lang w:val="en-US"/>
        </w:rPr>
      </w:pPr>
      <w:r w:rsidRPr="00C25708">
        <w:rPr>
          <w:b/>
          <w:bCs/>
          <w:i/>
          <w:iCs/>
          <w:lang w:val="en-US"/>
        </w:rPr>
        <w:t>4.4 Endogeneity and Estimation Strategy</w:t>
      </w:r>
    </w:p>
    <w:p w14:paraId="3454FF53" w14:textId="77777777" w:rsidR="00F04928" w:rsidRPr="00C25708" w:rsidRDefault="00000000">
      <w:pPr>
        <w:spacing w:after="200" w:line="480" w:lineRule="auto"/>
        <w:jc w:val="both"/>
        <w:rPr>
          <w:lang w:val="en-US"/>
        </w:rPr>
      </w:pPr>
      <w:r w:rsidRPr="00C25708">
        <w:rPr>
          <w:lang w:val="en-US"/>
        </w:rPr>
        <w:t>DFS penetration is potentially endogenous: reverse causality is possible if a shrinking informal sector encourages digital adoption, and omitted variables may influence both DFS and the outcomes. We address this in three ways. First, all regressors enter with a one-year lag to mitigate simultaneity. Second, we estimate two-step system GMM (Blundell &amp; Bond, 1998) with Windmeijer-corrected standard errors; because the panel has only eight cross-sectional units, the number of credible moment conditions is severely limited, so the system-GMM specification is reported only as an exploratory cross-check rather than a primary identification strategy, with instrument validity assessed by the Hansen and Arellano–Bond AR(2) tests. Third, as external instruments we use the rollout of mobile-network (3G/4G) coverage and fixed-broadband penetration, which plausibly drive DFS adoption, and report two-stage least-squares estimates with first-stage diagnostics. Robustness checks include the single DIGPAY indicator and the composite DFS_INDEX, the exclusion of Kazakhstan, and the Central Asian subsample.</w:t>
      </w:r>
      <w:proofErr w:type="gramStart"/>
      <w:r w:rsidRPr="00C25708">
        <w:rPr>
          <w:lang w:val="en-US"/>
        </w:rPr>
      </w:r>
      <w:proofErr w:type="gramEnd"/>
      <w:r w:rsidRPr="00C25708">
        <w:rPr>
          <w:lang w:val="en-US"/>
        </w:rPr>
      </w:r>
      <w:r w:rsidRPr="00C25708">
        <w:rPr>
          <w:lang w:val="en-US"/>
        </w:rPr>
      </w:r>
    </w:p>
    <w:p>
      <w:r>
        <w:t>We report three further identification checks. First, on pre-trends: splitting the sample into an earlier (2011–2015) and a later (2016–2020) window shows the negative DFS–shadow association in the earlier window only, cautioning that it is not stable over time (Appendix Table A1). Second, a difference-in-differences design exploiting staggered payment-system reforms (e.g., Kazakhstan's super-app-led expansion; Uzbekistan's 2017 liberalization) is a natural extension but requires reform-timing coding we leave for future work. Third, the exclusion restriction for the telecommunications instruments is not beyond question—mobile and broadband rollout could affect informality through e-commerce or information channels—so the IV estimates are treated as exploratory and, as shown in Section 5.4, are in any case statistically insignificant.</w:t>
      </w:r>
    </w:p>
    <w:p w14:paraId="3BD3EE57" w14:textId="77777777" w:rsidR="00F04928" w:rsidRPr="00C25708" w:rsidRDefault="00000000">
      <w:pPr>
        <w:pStyle w:val="2"/>
        <w:spacing w:before="280" w:after="160" w:line="480" w:lineRule="auto"/>
        <w:rPr>
          <w:lang w:val="en-US"/>
        </w:rPr>
      </w:pPr>
      <w:r w:rsidRPr="00C25708">
        <w:rPr>
          <w:b/>
          <w:bCs/>
          <w:i/>
          <w:iCs/>
          <w:lang w:val="en-US"/>
        </w:rPr>
        <w:t>4.5 Estimation Software and Reproducibility</w:t>
      </w:r>
    </w:p>
    <w:p w14:paraId="4C6B5B9E" w14:textId="77777777" w:rsidR="00F04928" w:rsidRPr="00C25708" w:rsidRDefault="00000000">
      <w:pPr>
        <w:spacing w:after="200" w:line="480" w:lineRule="auto"/>
        <w:jc w:val="both"/>
        <w:rPr>
          <w:lang w:val="en-US"/>
        </w:rPr>
      </w:pPr>
      <w:r w:rsidRPr="00C25708">
        <w:rPr>
          <w:i/>
          <w:iCs/>
          <w:color w:val="C00000"/>
          <w:lang w:val="en-US"/>
        </w:rPr>
        <w:t>All estimation and construction were carried out in Python 3.11: the composite DFS index and its PCA diagnostics (Table 4) with numpy/scipy/factor_analyzer; correlations (Table 3) with scipy; two-way fixed-effects and Driscoll–Kraay (kernel) models with the linearmodels package (PanelOLS); instrumental-variable 2SLS with linearmodels (IV2SLS); and system-GMM with pydynpd. Missing Global Findex values between survey years were linearly interpolated within country and residual gaps imputed by multivariate imputation (scikit-learn IterativeImputer); all imputed cells are flagged in the replication dataset. The compiled dataset and code are available from the corresponding author on request.</w:t>
      </w:r>
      <w:r w:rsidRPr="00C25708">
        <w:rPr>
          <w:lang w:val="en-US"/>
        </w:rPr>
      </w:r>
    </w:p>
    <w:p w14:paraId="4DA69856" w14:textId="77777777" w:rsidR="00F04928" w:rsidRPr="00C25708" w:rsidRDefault="00000000">
      <w:pPr>
        <w:pStyle w:val="1"/>
        <w:spacing w:before="360" w:after="200" w:line="480" w:lineRule="auto"/>
        <w:rPr>
          <w:lang w:val="en-US"/>
        </w:rPr>
      </w:pPr>
      <w:r w:rsidRPr="00C25708">
        <w:rPr>
          <w:b/>
          <w:bCs/>
          <w:sz w:val="28"/>
          <w:szCs w:val="28"/>
          <w:lang w:val="en-US"/>
        </w:rPr>
        <w:t>5. Results</w:t>
      </w:r>
    </w:p>
    <w:p w14:paraId="0B2EF037" w14:textId="77777777" w:rsidR="00F04928" w:rsidRPr="00C25708" w:rsidRDefault="00000000">
      <w:pPr>
        <w:pStyle w:val="2"/>
        <w:spacing w:before="280" w:after="160" w:line="480" w:lineRule="auto"/>
        <w:rPr>
          <w:lang w:val="en-US"/>
        </w:rPr>
      </w:pPr>
      <w:r w:rsidRPr="00C25708">
        <w:rPr>
          <w:b/>
          <w:bCs/>
          <w:i/>
          <w:iCs/>
          <w:lang w:val="en-US"/>
        </w:rPr>
        <w:t>5.1 Descriptive Statistics and Correlation Analysis</w:t>
      </w:r>
    </w:p>
    <w:p w14:paraId="22C220B6" w14:textId="77777777" w:rsidR="00F04928" w:rsidRPr="00C25708" w:rsidRDefault="00000000">
      <w:pPr>
        <w:spacing w:after="200" w:line="480" w:lineRule="auto"/>
        <w:jc w:val="both"/>
        <w:rPr>
          <w:lang w:val="en-US"/>
        </w:rPr>
      </w:pPr>
      <w:r w:rsidRPr="00C25708">
        <w:rPr>
          <w:lang w:val="en-US"/>
        </w:rPr>
        <w:t>Table 2 reports summary statistics for the core Central Asian panel. Two features stand out. First, informality is large and dispersed: the mean shadow economy is roughly one-third of GDP, ranging from the mid-twenties in the most formalized country-years to the mid-forties at the other extreme. Second, DFS penetration is both low on average and highly variable, reflecting the sharp within-country acceleration over the sample and the large gap between Kazakhstan and its neighbours. Tax revenue averages under one-fifth of GDP, modest by international standards and consistent with a narrow assessable base.</w:t>
      </w:r>
    </w:p>
    <w:p w14:paraId="0C6D9879" w14:textId="77777777" w:rsidR="00F04928" w:rsidRDefault="00000000">
      <w:pPr>
        <w:spacing w:before="320" w:after="80"/>
      </w:pPr>
      <w:proofErr w:type="spellStart"/>
      <w:r>
        <w:rPr>
          <w:b/>
          <w:bCs/>
          <w:i/>
          <w:iCs/>
        </w:rPr>
        <w:t>Table</w:t>
      </w:r>
      <w:proofErr w:type="spellEnd"/>
      <w:r>
        <w:rPr>
          <w:b/>
          <w:bCs/>
          <w:i/>
          <w:iCs/>
        </w:rPr>
        <w:t xml:space="preserve"> 2. </w:t>
      </w:r>
      <w:proofErr w:type="spellStart"/>
      <w:r>
        <w:rPr>
          <w:b/>
          <w:bCs/>
          <w:i/>
          <w:iCs/>
        </w:rPr>
        <w:t>Descriptive</w:t>
      </w:r>
      <w:proofErr w:type="spellEnd"/>
      <w:r>
        <w:rPr>
          <w:b/>
          <w:bCs/>
          <w:i/>
          <w:iCs/>
        </w:rPr>
        <w:t xml:space="preserve"> </w:t>
      </w:r>
      <w:proofErr w:type="spellStart"/>
      <w:r>
        <w:rPr>
          <w:b/>
          <w:bCs/>
          <w:i/>
          <w:iCs/>
        </w:rPr>
        <w:t>statistics</w:t>
      </w:r>
      <w:proofErr w:type="spellEnd"/>
      <w:r>
        <w:rPr>
          <w:b/>
          <w:bCs/>
          <w:i/>
          <w:iCs/>
        </w:rPr>
        <w:t xml:space="preserve">, </w:t>
      </w:r>
      <w:proofErr w:type="spellStart"/>
      <w:r>
        <w:rPr>
          <w:b/>
          <w:bCs/>
          <w:i/>
          <w:iCs/>
        </w:rPr>
        <w:t>core</w:t>
      </w:r>
      <w:proofErr w:type="spellEnd"/>
      <w:r>
        <w:rPr>
          <w:b/>
          <w:bCs/>
          <w:i/>
          <w:iCs/>
        </w:rPr>
        <w:t xml:space="preserve"> Central </w:t>
      </w:r>
      <w:proofErr w:type="spellStart"/>
      <w:r>
        <w:rPr>
          <w:b/>
          <w:bCs/>
          <w:i/>
          <w:iCs/>
        </w:rPr>
        <w:t>Asian</w:t>
      </w:r>
      <w:proofErr w:type="spellEnd"/>
      <w:r>
        <w:rPr>
          <w:b/>
          <w:bCs/>
          <w:i/>
          <w:iCs/>
        </w:rPr>
        <w:t xml:space="preserve"> </w:t>
      </w:r>
      <w:proofErr w:type="spellStart"/>
      <w:r>
        <w:rPr>
          <w:b/>
          <w:bCs/>
          <w:i/>
          <w:iCs/>
        </w:rPr>
        <w:t>panel</w:t>
      </w:r>
      <w:proofErr w:type="spellEnd"/>
      <w:r>
        <w:rPr>
          <w:b/>
          <w:bCs/>
          <w:i/>
          <w:iCs/>
        </w:rPr>
        <w:t xml:space="preserve"> (2004–2022).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3"/>
        <w:gridCol w:w="1222"/>
        <w:gridCol w:w="975"/>
        <w:gridCol w:w="1094"/>
        <w:gridCol w:w="1153"/>
        <w:gridCol w:w="709"/>
      </w:tblGrid>
      <w:tr w:rsidR="00F04928" w14:paraId="6F688D07"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37F0FD4" w14:textId="77777777" w:rsidR="00F04928" w:rsidRDefault="00000000">
            <w:pPr>
              <w:spacing w:after="20"/>
            </w:pPr>
            <w:proofErr w:type="spellStart"/>
            <w:r>
              <w:rPr>
                <w:b/>
                <w:bCs/>
                <w:sz w:val="20"/>
                <w:szCs w:val="20"/>
              </w:rPr>
              <w:t>Variable</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1C8F28DC" w14:textId="77777777" w:rsidR="00F04928" w:rsidRDefault="00000000">
            <w:pPr>
              <w:spacing w:after="20"/>
              <w:jc w:val="center"/>
            </w:pPr>
            <w:proofErr w:type="spellStart"/>
            <w:r>
              <w:rPr>
                <w:b/>
                <w:bCs/>
                <w:sz w:val="20"/>
                <w:szCs w:val="20"/>
              </w:rPr>
              <w:t>Mean</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B1F4887" w14:textId="77777777" w:rsidR="00F04928" w:rsidRDefault="00000000">
            <w:pPr>
              <w:spacing w:after="20"/>
              <w:jc w:val="center"/>
            </w:pPr>
            <w:r>
              <w:rPr>
                <w:b/>
                <w:bCs/>
                <w:sz w:val="20"/>
                <w:szCs w:val="20"/>
              </w:rPr>
              <w:t>SD</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A2E3D42" w14:textId="77777777" w:rsidR="00F04928" w:rsidRDefault="00000000">
            <w:pPr>
              <w:spacing w:after="20"/>
              <w:jc w:val="center"/>
            </w:pPr>
            <w:proofErr w:type="spellStart"/>
            <w:r>
              <w:rPr>
                <w:b/>
                <w:bCs/>
                <w:sz w:val="20"/>
                <w:szCs w:val="20"/>
              </w:rPr>
              <w:t>Min</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1AF0DB21" w14:textId="77777777" w:rsidR="00F04928" w:rsidRDefault="00000000">
            <w:pPr>
              <w:spacing w:after="20"/>
              <w:jc w:val="center"/>
            </w:pPr>
            <w:r>
              <w:rPr>
                <w:b/>
                <w:bCs/>
                <w:sz w:val="20"/>
                <w:szCs w:val="20"/>
              </w:rPr>
              <w:t>Max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251345C6" w14:textId="77777777" w:rsidR="00F04928" w:rsidRDefault="00000000">
            <w:pPr>
              <w:spacing w:after="20"/>
              <w:jc w:val="center"/>
            </w:pPr>
            <w:r>
              <w:rPr>
                <w:b/>
                <w:bCs/>
                <w:sz w:val="20"/>
                <w:szCs w:val="20"/>
              </w:rPr>
              <w:t>N</w:t>
            </w:r>
          </w:p>
        </w:tc>
      </w:tr>
      <w:tr w:rsidR="00F04928" w14:paraId="159586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SHADOW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41.9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7.7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33.2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61.6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660FD8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TAX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15.8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23.1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5BFE0E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DFS_INDEX (0–100)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49.6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25.2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100.0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4137BB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DIGPAY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34.9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20.8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78.7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2BF905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SELFEMP (% of employment)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41.5</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7.6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68.3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007433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LGDPPC (log)</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8.13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6.70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9.30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38C1BA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OPEN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89.5</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25.0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49.9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158.0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4C163B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REMIT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14.1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12.3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43.8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4F3266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MOBILE (per 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119.7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18.8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62.3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174.7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22E8781C"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INST (index)</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-0.40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0.50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-1.20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0.70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80</w:t>
            </w:r>
          </w:p>
        </w:tc>
      </w:tr>
    </w:tbl>
    <w:p w14:paraId="4B549D91" w14:textId="77777777" w:rsidR="00F04928" w:rsidRPr="00C25708" w:rsidRDefault="00000000">
      <w:pPr>
        <w:spacing w:before="100" w:after="260"/>
        <w:rPr>
          <w:lang w:val="en-US"/>
        </w:rPr>
      </w:pPr>
      <w:r w:rsidRPr="00C25708">
        <w:rPr>
          <w:i/>
          <w:iCs/>
          <w:sz w:val="20"/>
          <w:szCs w:val="20"/>
          <w:lang w:val="en-US"/>
        </w:rPr>
        <w:t>Note. Statistics are computed on the estimation sample used in the baseline specification (Table 5, column 1). INST is the average of the WGI regulatory-quality and rule-of-law scores (approximate range −2.5 to 2.5). Sample sizes vary marginally by variable due to missing country-years, particularly for Turkmenistan.</w:t>
      </w:r>
    </w:p>
    <w:p w14:paraId="082DA3E3" w14:textId="77777777" w:rsidR="00F04928" w:rsidRDefault="00000000">
      <w:pPr>
        <w:spacing w:after="200" w:line="480" w:lineRule="auto"/>
        <w:jc w:val="both"/>
      </w:pPr>
      <w:r w:rsidRPr="00C25708">
        <w:rPr>
          <w:lang w:val="en-US"/>
        </w:rPr>
        <w:t xml:space="preserve">Table 3 reports the pairwise correlation matrix for the core variables. Consistent with the hypotheses, DFS_INDEX is negatively correlated with SHADOW and CASH and positively correlated with TAX, LGDPPC, and INST. </w:t>
      </w:r>
      <w:proofErr w:type="spellStart"/>
      <w:r>
        <w:t>Variance-inflation</w:t>
      </w:r>
      <w:proofErr w:type="spellEnd"/>
      <w:r>
        <w:t xml:space="preserve"> </w:t>
      </w:r>
      <w:proofErr w:type="spellStart"/>
      <w:r>
        <w:t>factors</w:t>
      </w:r>
      <w:proofErr w:type="spellEnd"/>
      <w:r>
        <w:t xml:space="preserve"> </w:t>
      </w:r>
      <w:proofErr w:type="spellStart"/>
      <w:r>
        <w:t>for</w:t>
      </w:r>
      <w:proofErr w:type="spellEnd"/>
      <w:r>
        <w:t xml:space="preserve"> </w:t>
      </w:r>
      <w:proofErr w:type="spellStart"/>
      <w:r>
        <w:t>the</w:t>
      </w:r>
      <w:proofErr w:type="spellEnd"/>
      <w:r>
        <w:t xml:space="preserve"> </w:t>
      </w:r>
      <w:proofErr w:type="spellStart"/>
      <w:r>
        <w:t>regressors</w:t>
      </w:r>
      <w:proofErr w:type="spellEnd"/>
      <w:r>
        <w:t xml:space="preserve"> </w:t>
      </w:r>
      <w:proofErr w:type="spellStart"/>
      <w:r>
        <w:t>are</w:t>
      </w:r>
      <w:proofErr w:type="spellEnd"/>
      <w:r>
        <w:t xml:space="preserve"> </w:t>
      </w:r>
      <w:proofErr w:type="spellStart"/>
      <w:r>
        <w:t>below</w:t>
      </w:r>
      <w:proofErr w:type="spellEnd"/>
      <w:r>
        <w:t xml:space="preserve"> </w:t>
      </w:r>
      <w:proofErr w:type="spellStart"/>
      <w:r>
        <w:t>conventional</w:t>
      </w:r>
      <w:proofErr w:type="spellEnd"/>
      <w:r>
        <w:t xml:space="preserve"> </w:t>
      </w:r>
      <w:proofErr w:type="spellStart"/>
      <w:r>
        <w:t>thresholds</w:t>
      </w:r>
      <w:proofErr w:type="spellEnd"/>
      <w:r>
        <w:t xml:space="preserve">, </w:t>
      </w:r>
      <w:proofErr w:type="spellStart"/>
      <w:r>
        <w:t>and</w:t>
      </w:r>
      <w:proofErr w:type="spellEnd"/>
      <w:r>
        <w:t xml:space="preserve"> </w:t>
      </w:r>
      <w:proofErr w:type="spellStart"/>
      <w:r>
        <w:t>the</w:t>
      </w:r>
      <w:proofErr w:type="spellEnd"/>
      <w:r>
        <w:t xml:space="preserve"> GDP-</w:t>
      </w:r>
      <w:proofErr w:type="spellStart"/>
      <w:r>
        <w:t>per</w:t>
      </w:r>
      <w:proofErr w:type="spellEnd"/>
      <w:r>
        <w:t>-</w:t>
      </w:r>
      <w:proofErr w:type="spellStart"/>
      <w:r>
        <w:t>capita</w:t>
      </w:r>
      <w:proofErr w:type="spellEnd"/>
      <w:r>
        <w:t xml:space="preserve"> </w:t>
      </w:r>
      <w:proofErr w:type="spellStart"/>
      <w:r>
        <w:t>term</w:t>
      </w:r>
      <w:proofErr w:type="spellEnd"/>
      <w:r>
        <w:t xml:space="preserve"> </w:t>
      </w:r>
      <w:proofErr w:type="spellStart"/>
      <w:r>
        <w:t>is</w:t>
      </w:r>
      <w:proofErr w:type="spellEnd"/>
      <w:r>
        <w:t xml:space="preserve"> </w:t>
      </w:r>
      <w:proofErr w:type="spellStart"/>
      <w:r>
        <w:t>the</w:t>
      </w:r>
      <w:proofErr w:type="spellEnd"/>
      <w:r>
        <w:t xml:space="preserve"> </w:t>
      </w:r>
      <w:proofErr w:type="spellStart"/>
      <w:r>
        <w:t>only</w:t>
      </w:r>
      <w:proofErr w:type="spellEnd"/>
      <w:r>
        <w:t xml:space="preserve"> </w:t>
      </w:r>
      <w:proofErr w:type="spellStart"/>
      <w:r>
        <w:t>control</w:t>
      </w:r>
      <w:proofErr w:type="spellEnd"/>
      <w:r>
        <w:t xml:space="preserve"> </w:t>
      </w:r>
      <w:proofErr w:type="spellStart"/>
      <w:r>
        <w:t>that</w:t>
      </w:r>
      <w:proofErr w:type="spellEnd"/>
      <w:r>
        <w:t xml:space="preserve"> </w:t>
      </w:r>
      <w:proofErr w:type="spellStart"/>
      <w:r>
        <w:t>approaches</w:t>
      </w:r>
      <w:proofErr w:type="spellEnd"/>
      <w:r>
        <w:t xml:space="preserve"> </w:t>
      </w:r>
      <w:proofErr w:type="spellStart"/>
      <w:r>
        <w:t>high</w:t>
      </w:r>
      <w:proofErr w:type="spellEnd"/>
      <w:r>
        <w:t xml:space="preserve"> </w:t>
      </w:r>
      <w:proofErr w:type="spellStart"/>
      <w:r>
        <w:t>collinearity</w:t>
      </w:r>
      <w:proofErr w:type="spellEnd"/>
      <w:r>
        <w:t xml:space="preserve">, </w:t>
      </w:r>
      <w:proofErr w:type="spellStart"/>
      <w:r>
        <w:t>which</w:t>
      </w:r>
      <w:proofErr w:type="spellEnd"/>
      <w:r>
        <w:t xml:space="preserve"> </w:t>
      </w:r>
      <w:proofErr w:type="spellStart"/>
      <w:r>
        <w:t>the</w:t>
      </w:r>
      <w:proofErr w:type="spellEnd"/>
      <w:r>
        <w:t xml:space="preserve"> </w:t>
      </w:r>
      <w:proofErr w:type="spellStart"/>
      <w:r>
        <w:t>fixed-effects</w:t>
      </w:r>
      <w:proofErr w:type="spellEnd"/>
      <w:r>
        <w:t xml:space="preserve"> </w:t>
      </w:r>
      <w:proofErr w:type="spellStart"/>
      <w:r>
        <w:t>specification</w:t>
      </w:r>
      <w:proofErr w:type="spellEnd"/>
      <w:r>
        <w:t xml:space="preserve"> </w:t>
      </w:r>
      <w:proofErr w:type="spellStart"/>
      <w:r>
        <w:t>helps</w:t>
      </w:r>
      <w:proofErr w:type="spellEnd"/>
      <w:r>
        <w:t xml:space="preserve"> </w:t>
      </w:r>
      <w:proofErr w:type="spellStart"/>
      <w:r>
        <w:t>absorb</w:t>
      </w:r>
      <w:proofErr w:type="spellEnd"/>
      <w:r>
        <w:t>.</w:t>
      </w:r>
    </w:p>
    <w:p w14:paraId="59F4F7A2" w14:textId="77777777" w:rsidR="00F04928" w:rsidRDefault="00000000">
      <w:pPr>
        <w:spacing w:before="320" w:after="80"/>
      </w:pPr>
      <w:proofErr w:type="spellStart"/>
      <w:r>
        <w:rPr>
          <w:b/>
          <w:bCs/>
          <w:i/>
          <w:iCs/>
        </w:rPr>
        <w:t>Table</w:t>
      </w:r>
      <w:proofErr w:type="spellEnd"/>
      <w:r>
        <w:rPr>
          <w:b/>
          <w:bCs/>
          <w:i/>
          <w:iCs/>
        </w:rPr>
        <w:t xml:space="preserve"> 3. </w:t>
      </w:r>
      <w:proofErr w:type="spellStart"/>
      <w:r>
        <w:rPr>
          <w:b/>
          <w:bCs/>
          <w:i/>
          <w:iCs/>
        </w:rPr>
        <w:t>Pairwise</w:t>
      </w:r>
      <w:proofErr w:type="spellEnd"/>
      <w:r>
        <w:rPr>
          <w:b/>
          <w:bCs/>
          <w:i/>
          <w:iCs/>
        </w:rPr>
        <w:t xml:space="preserve"> </w:t>
      </w:r>
      <w:proofErr w:type="spellStart"/>
      <w:r>
        <w:rPr>
          <w:b/>
          <w:bCs/>
          <w:i/>
          <w:iCs/>
        </w:rPr>
        <w:t>correlation</w:t>
      </w:r>
      <w:proofErr w:type="spellEnd"/>
      <w:r>
        <w:rPr>
          <w:b/>
          <w:bCs/>
          <w:i/>
          <w:iCs/>
        </w:rPr>
        <w:t xml:space="preserve"> </w:t>
      </w:r>
      <w:proofErr w:type="spellStart"/>
      <w:r>
        <w:rPr>
          <w:b/>
          <w:bCs/>
          <w:i/>
          <w:iCs/>
        </w:rPr>
        <w:t>matrix</w:t>
      </w:r>
      <w:proofErr w:type="spellEnd"/>
      <w:r>
        <w:rPr>
          <w:b/>
          <w:bCs/>
          <w:i/>
          <w:iCs/>
        </w:rPr>
        <w:t xml:space="preserve">, </w:t>
      </w:r>
      <w:proofErr w:type="spellStart"/>
      <w:r>
        <w:rPr>
          <w:b/>
          <w:bCs/>
          <w:i/>
          <w:iCs/>
        </w:rPr>
        <w:t>core</w:t>
      </w:r>
      <w:proofErr w:type="spellEnd"/>
      <w:r>
        <w:rPr>
          <w:b/>
          <w:bCs/>
          <w:i/>
          <w:iCs/>
        </w:rPr>
        <w:t xml:space="preserve"> Central </w:t>
      </w:r>
      <w:proofErr w:type="spellStart"/>
      <w:r>
        <w:rPr>
          <w:b/>
          <w:bCs/>
          <w:i/>
          <w:iCs/>
        </w:rPr>
        <w:t>Asian</w:t>
      </w:r>
      <w:proofErr w:type="spellEnd"/>
      <w:r>
        <w:rPr>
          <w:b/>
          <w:bCs/>
          <w:i/>
          <w:iCs/>
        </w:rPr>
        <w:t xml:space="preserve"> </w:t>
      </w:r>
      <w:proofErr w:type="spellStart"/>
      <w:r>
        <w:rPr>
          <w:b/>
          <w:bCs/>
          <w:i/>
          <w:iCs/>
        </w:rPr>
        <w:t>panel</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8"/>
        <w:gridCol w:w="1470"/>
        <w:gridCol w:w="824"/>
        <w:gridCol w:w="1749"/>
        <w:gridCol w:w="1000"/>
        <w:gridCol w:w="1353"/>
        <w:gridCol w:w="882"/>
      </w:tblGrid>
      <w:tr w:rsidR="00F04928" w14:paraId="7594627B"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25CCD639" w14:textId="77777777" w:rsidR="00F04928" w:rsidRDefault="00000000">
            <w:pPr>
              <w:spacing w:after="20"/>
            </w:pPr>
            <w:proofErr w:type="spellStart"/>
            <w:r>
              <w:rPr>
                <w:b/>
                <w:bCs/>
                <w:sz w:val="20"/>
                <w:szCs w:val="20"/>
              </w:rPr>
              <w:t>Variable</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E43106A" w14:textId="77777777" w:rsidR="00F04928" w:rsidRDefault="00000000">
            <w:pPr>
              <w:spacing w:after="20"/>
              <w:jc w:val="center"/>
            </w:pPr>
            <w:r>
              <w:rPr>
                <w:b/>
                <w:bCs/>
                <w:sz w:val="20"/>
                <w:szCs w:val="20"/>
              </w:rPr>
              <w:t>SHADOW</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2DD985D4" w14:textId="77777777" w:rsidR="00F04928" w:rsidRDefault="00000000">
            <w:pPr>
              <w:spacing w:after="20"/>
              <w:jc w:val="center"/>
            </w:pPr>
            <w:r>
              <w:rPr>
                <w:b/>
                <w:bCs/>
                <w:sz w:val="20"/>
                <w:szCs w:val="20"/>
              </w:rPr>
              <w:t>TAX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0CEFEF42" w14:textId="77777777" w:rsidR="00F04928" w:rsidRDefault="00000000">
            <w:pPr>
              <w:spacing w:after="20"/>
              <w:jc w:val="center"/>
            </w:pPr>
            <w:r>
              <w:rPr>
                <w:b/>
                <w:bCs/>
                <w:sz w:val="20"/>
                <w:szCs w:val="20"/>
              </w:rPr>
              <w:t>DFS_INDEX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BBA7743" w14:textId="77777777" w:rsidR="00F04928" w:rsidRDefault="00000000">
            <w:pPr>
              <w:spacing w:after="20"/>
              <w:jc w:val="center"/>
            </w:pPr>
            <w:r>
              <w:rPr>
                <w:b/>
                <w:bCs/>
                <w:sz w:val="20"/>
                <w:szCs w:val="20"/>
              </w:rPr>
              <w:t>CASH</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B7E3FB2" w14:textId="77777777" w:rsidR="00F04928" w:rsidRDefault="00000000">
            <w:pPr>
              <w:spacing w:after="20"/>
              <w:jc w:val="center"/>
            </w:pPr>
            <w:r>
              <w:rPr>
                <w:b/>
                <w:bCs/>
                <w:sz w:val="20"/>
                <w:szCs w:val="20"/>
              </w:rPr>
              <w:t>LGDPPC</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55E8154" w14:textId="77777777" w:rsidR="00F04928" w:rsidRDefault="00000000">
            <w:pPr>
              <w:spacing w:after="20"/>
              <w:jc w:val="center"/>
            </w:pPr>
            <w:r>
              <w:rPr>
                <w:b/>
                <w:bCs/>
                <w:sz w:val="20"/>
                <w:szCs w:val="20"/>
              </w:rPr>
              <w:t>INST</w:t>
            </w:r>
          </w:p>
        </w:tc>
      </w:tr>
      <w:tr w:rsidR="00F04928" w14:paraId="418C55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8930942" w14:textId="77777777" w:rsidR="00F04928" w:rsidRDefault="00000000">
            <w:pPr>
              <w:spacing w:after="20"/>
            </w:pPr>
            <w:r>
              <w:rPr>
                <w:b/>
                <w:bCs/>
                <w:sz w:val="20"/>
                <w:szCs w:val="20"/>
              </w:rPr>
              <w:t>SHADOW</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D71D7E"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6932F8F"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794510B"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FF619DF"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F4B31B0"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2BE1730" w14:textId="77777777" w:rsidR="00F04928" w:rsidRDefault="00000000">
            <w:pPr>
              <w:spacing w:after="20"/>
              <w:jc w:val="center"/>
            </w:pPr>
            <w:r>
              <w:rPr>
                <w:sz w:val="20"/>
                <w:szCs w:val="20"/>
              </w:rPr>
              <w:t>–</w:t>
            </w:r>
          </w:p>
        </w:tc>
      </w:tr>
      <w:tr w:rsidR="00F04928" w14:paraId="58EEFB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FC41FEB" w14:textId="77777777" w:rsidR="00F04928" w:rsidRDefault="00000000">
            <w:pPr>
              <w:spacing w:after="20"/>
            </w:pPr>
            <w:r>
              <w:rPr>
                <w:b/>
                <w:bCs/>
                <w:sz w:val="20"/>
                <w:szCs w:val="20"/>
              </w:rPr>
              <w:t>TAX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+0.44***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8C2C662"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3414A7D"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AD34951"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6B09334"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F0BF627" w14:textId="77777777" w:rsidR="00F04928" w:rsidRDefault="00000000">
            <w:pPr>
              <w:spacing w:after="20"/>
              <w:jc w:val="center"/>
            </w:pPr>
            <w:r>
              <w:rPr>
                <w:sz w:val="20"/>
                <w:szCs w:val="20"/>
              </w:rPr>
              <w:t>–</w:t>
            </w:r>
          </w:p>
        </w:tc>
      </w:tr>
      <w:tr w:rsidR="00F04928" w14:paraId="46FA0E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340B12F" w14:textId="77777777" w:rsidR="00F04928" w:rsidRDefault="00000000">
            <w:pPr>
              <w:spacing w:after="20"/>
            </w:pPr>
            <w:r>
              <w:rPr>
                <w:b/>
                <w:bCs/>
                <w:sz w:val="20"/>
                <w:szCs w:val="20"/>
              </w:rPr>
              <w:t>DFS_INDEX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+0.12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52EE013"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256F107"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C694EE5"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F046741" w14:textId="77777777" w:rsidR="00F04928" w:rsidRDefault="00000000">
            <w:pPr>
              <w:spacing w:after="20"/>
              <w:jc w:val="center"/>
            </w:pPr>
            <w:r>
              <w:rPr>
                <w:sz w:val="20"/>
                <w:szCs w:val="20"/>
              </w:rPr>
              <w:t>–</w:t>
            </w:r>
          </w:p>
        </w:tc>
      </w:tr>
      <w:tr w:rsidR="00F04928" w14:paraId="3B294C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1FA79C5" w14:textId="77777777" w:rsidR="00F04928" w:rsidRDefault="00000000">
            <w:pPr>
              <w:spacing w:after="20"/>
            </w:pPr>
            <w:r>
              <w:rPr>
                <w:b/>
                <w:bCs/>
                <w:sz w:val="20"/>
                <w:szCs w:val="20"/>
              </w:rPr>
              <w:t>CASH</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4D22BB9"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DE41D24"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33ECC1D" w14:textId="77777777" w:rsidR="00F04928" w:rsidRDefault="00000000">
            <w:pPr>
              <w:spacing w:after="20"/>
              <w:jc w:val="center"/>
            </w:pPr>
            <w:r>
              <w:rPr>
                <w:sz w:val="20"/>
                <w:szCs w:val="20"/>
              </w:rPr>
              <w:t>–</w:t>
            </w:r>
          </w:p>
        </w:tc>
      </w:tr>
      <w:tr w:rsidR="00F04928" w14:paraId="4B2D9E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A742D43" w14:textId="77777777" w:rsidR="00F04928" w:rsidRDefault="00000000">
            <w:pPr>
              <w:spacing w:after="20"/>
            </w:pPr>
            <w:r>
              <w:rPr>
                <w:b/>
                <w:bCs/>
                <w:sz w:val="20"/>
                <w:szCs w:val="20"/>
              </w:rPr>
              <w:t>LGDPPC</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+0.68***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1B5EC74"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B3CEBC4" w14:textId="77777777" w:rsidR="00F04928" w:rsidRDefault="00000000">
            <w:pPr>
              <w:spacing w:after="20"/>
              <w:jc w:val="center"/>
            </w:pPr>
            <w:r>
              <w:rPr>
                <w:sz w:val="20"/>
                <w:szCs w:val="20"/>
              </w:rPr>
              <w:t>–</w:t>
            </w:r>
          </w:p>
        </w:tc>
      </w:tr>
      <w:tr w:rsidR="00F04928" w14:paraId="238290F3"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303723C5" w14:textId="77777777" w:rsidR="00F04928" w:rsidRDefault="00000000">
            <w:pPr>
              <w:spacing w:after="20"/>
            </w:pPr>
            <w:r>
              <w:rPr>
                <w:b/>
                <w:bCs/>
                <w:sz w:val="20"/>
                <w:szCs w:val="20"/>
              </w:rPr>
              <w:t>INST</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+0.57***</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+0.78***</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+0.31***</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+0.37***</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47019A20" w14:textId="77777777" w:rsidR="00F04928" w:rsidRDefault="00000000">
            <w:pPr>
              <w:spacing w:after="20"/>
              <w:jc w:val="center"/>
            </w:pPr>
            <w:r>
              <w:rPr>
                <w:sz w:val="20"/>
                <w:szCs w:val="20"/>
              </w:rPr>
              <w:t>1.00</w:t>
            </w:r>
          </w:p>
        </w:tc>
      </w:tr>
    </w:tbl>
    <w:p w14:paraId="62FF6D27" w14:textId="77777777" w:rsidR="00F04928" w:rsidRPr="00C25708" w:rsidRDefault="00000000">
      <w:pPr>
        <w:spacing w:before="100" w:after="260"/>
        <w:rPr>
          <w:lang w:val="en-US"/>
        </w:rPr>
      </w:pPr>
      <w:r w:rsidRPr="00C25708">
        <w:rPr>
          <w:i/>
          <w:iCs/>
          <w:color w:val="C00000"/>
          <w:sz w:val="20"/>
          <w:szCs w:val="20"/>
          <w:lang w:val="en-US"/>
        </w:rPr>
        <w:t>Note. Pearson correlation coefficients estimated on the final eight-country transition panel (N = 80); *p &lt; .10, **p &lt; .05, ***p &lt; .01. CASH is reported as "n.a." because a consistent currency-to-broad-money series was not available from open sources. DFS_INDEX is the first principal component of account ownership, digital-payment use, and ATM density (Table 4). Note that these are raw (between-and-within) correlations; the fixed-effects estimates in Table 5 exploit within-country variation and can therefore differ in sign from the pooled correlations reported here.</w:t>
      </w:r>
    </w:p>
    <w:p w14:paraId="7C0B57D1" w14:textId="77777777" w:rsidR="00F04928" w:rsidRPr="00C25708" w:rsidRDefault="00000000">
      <w:pPr>
        <w:pStyle w:val="2"/>
        <w:spacing w:before="280" w:after="160" w:line="480" w:lineRule="auto"/>
        <w:rPr>
          <w:lang w:val="en-US"/>
        </w:rPr>
      </w:pPr>
      <w:r w:rsidRPr="00C25708">
        <w:rPr>
          <w:b/>
          <w:bCs/>
          <w:i/>
          <w:iCs/>
          <w:lang w:val="en-US"/>
        </w:rPr>
        <w:t>5.2 Construct Validity of the Composite DFS Index</w:t>
      </w:r>
    </w:p>
    <w:p w14:paraId="5A34E748" w14:textId="77777777" w:rsidR="00F04928" w:rsidRPr="00C25708" w:rsidRDefault="00000000">
      <w:pPr>
        <w:spacing w:after="200" w:line="480" w:lineRule="auto"/>
        <w:jc w:val="both"/>
        <w:rPr>
          <w:lang w:val="en-US"/>
        </w:rPr>
      </w:pPr>
      <w:r w:rsidRPr="00C25708">
        <w:rPr>
          <w:lang w:val="en-US"/>
        </w:rPr>
        <w:t>Because the composite index is constrained by data availability (only three indicators, KMO = 0.519), our primary specification uses the directly observed Global Findex indicator DIGPAY (percentage of adults using digital payments). This measure captures the behavioural dimension of DFS most closely tied to transaction traceability, and avoids the construct-validity limitations of the composite. The composite DFS_INDEX is retained as a robustness check (Table 6), where it yields results of the same sign and significance. Table 4 reports the PCA diagnostics for the composite.</w:t>
      </w:r>
      <w:r w:rsidRPr="00C25708">
        <w:rPr>
          <w:lang w:val="en-US"/>
        </w:rPr>
      </w:r>
    </w:p>
    <w:p w14:paraId="3A99A6D3" w14:textId="77777777" w:rsidR="00F04928" w:rsidRDefault="00000000">
      <w:pPr>
        <w:spacing w:before="320" w:after="80"/>
      </w:pPr>
      <w:proofErr w:type="spellStart"/>
      <w:r>
        <w:rPr>
          <w:b/>
          <w:bCs/>
          <w:i/>
          <w:iCs/>
        </w:rPr>
        <w:t>Table</w:t>
      </w:r>
      <w:proofErr w:type="spellEnd"/>
      <w:r>
        <w:rPr>
          <w:b/>
          <w:bCs/>
          <w:i/>
          <w:iCs/>
        </w:rPr>
        <w:t xml:space="preserve"> 4. </w:t>
      </w:r>
      <w:proofErr w:type="spellStart"/>
      <w:r>
        <w:rPr>
          <w:b/>
          <w:bCs/>
          <w:i/>
          <w:iCs/>
        </w:rPr>
        <w:t>Construct</w:t>
      </w:r>
      <w:proofErr w:type="spellEnd"/>
      <w:r>
        <w:rPr>
          <w:b/>
          <w:bCs/>
          <w:i/>
          <w:iCs/>
        </w:rPr>
        <w:t xml:space="preserve"> </w:t>
      </w:r>
      <w:proofErr w:type="spellStart"/>
      <w:r>
        <w:rPr>
          <w:b/>
          <w:bCs/>
          <w:i/>
          <w:iCs/>
        </w:rPr>
        <w:t>validity</w:t>
      </w:r>
      <w:proofErr w:type="spellEnd"/>
      <w:r>
        <w:rPr>
          <w:b/>
          <w:bCs/>
          <w:i/>
          <w:iCs/>
        </w:rPr>
        <w:t xml:space="preserve"> </w:t>
      </w:r>
      <w:proofErr w:type="spellStart"/>
      <w:r>
        <w:rPr>
          <w:b/>
          <w:bCs/>
          <w:i/>
          <w:iCs/>
        </w:rPr>
        <w:t>of</w:t>
      </w:r>
      <w:proofErr w:type="spellEnd"/>
      <w:r>
        <w:rPr>
          <w:b/>
          <w:bCs/>
          <w:i/>
          <w:iCs/>
        </w:rPr>
        <w:t xml:space="preserve"> </w:t>
      </w:r>
      <w:proofErr w:type="spellStart"/>
      <w:r>
        <w:rPr>
          <w:b/>
          <w:bCs/>
          <w:i/>
          <w:iCs/>
        </w:rPr>
        <w:t>the</w:t>
      </w:r>
      <w:proofErr w:type="spellEnd"/>
      <w:r>
        <w:rPr>
          <w:b/>
          <w:bCs/>
          <w:i/>
          <w:iCs/>
        </w:rPr>
        <w:t xml:space="preserve"> </w:t>
      </w:r>
      <w:proofErr w:type="spellStart"/>
      <w:r>
        <w:rPr>
          <w:b/>
          <w:bCs/>
          <w:i/>
          <w:iCs/>
        </w:rPr>
        <w:t>composite</w:t>
      </w:r>
      <w:proofErr w:type="spellEnd"/>
      <w:r>
        <w:rPr>
          <w:b/>
          <w:bCs/>
          <w:i/>
          <w:iCs/>
        </w:rPr>
        <w:t xml:space="preserve"> DFS </w:t>
      </w:r>
      <w:proofErr w:type="spellStart"/>
      <w:r>
        <w:rPr>
          <w:b/>
          <w:bCs/>
          <w:i/>
          <w:iCs/>
        </w:rPr>
        <w:t>index</w:t>
      </w:r>
      <w:proofErr w:type="spellEnd"/>
      <w:r>
        <w:rPr>
          <w:b/>
          <w:bCs/>
          <w:i/>
          <w:iCs/>
        </w:rPr>
        <w:t xml:space="preserve"> (</w:t>
      </w:r>
      <w:proofErr w:type="spellStart"/>
      <w:r>
        <w:rPr>
          <w:b/>
          <w:bCs/>
          <w:i/>
          <w:iCs/>
        </w:rPr>
        <w:t>principal-component</w:t>
      </w:r>
      <w:proofErr w:type="spellEnd"/>
      <w:r>
        <w:rPr>
          <w:b/>
          <w:bCs/>
          <w:i/>
          <w:iCs/>
        </w:rPr>
        <w:t xml:space="preserve"> </w:t>
      </w:r>
      <w:proofErr w:type="spellStart"/>
      <w:r>
        <w:rPr>
          <w:b/>
          <w:bCs/>
          <w:i/>
          <w:iCs/>
        </w:rPr>
        <w:t>analysis</w:t>
      </w:r>
      <w:proofErr w:type="spellEnd"/>
      <w:r>
        <w:rPr>
          <w:b/>
          <w:bCs/>
          <w:i/>
          <w:iCs/>
        </w:rPr>
        <w:t xml:space="preserve"> </w:t>
      </w:r>
      <w:proofErr w:type="spellStart"/>
      <w:r>
        <w:rPr>
          <w:b/>
          <w:bCs/>
          <w:i/>
          <w:iCs/>
        </w:rPr>
        <w:t>diagnostics</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2"/>
        <w:gridCol w:w="1034"/>
      </w:tblGrid>
      <w:tr w:rsidR="00F04928" w14:paraId="5BDCDF0F"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3A1B52F" w14:textId="77777777" w:rsidR="00F04928" w:rsidRDefault="00000000">
            <w:pPr>
              <w:spacing w:after="20"/>
            </w:pPr>
            <w:proofErr w:type="spellStart"/>
            <w:r>
              <w:rPr>
                <w:b/>
                <w:bCs/>
                <w:sz w:val="20"/>
                <w:szCs w:val="20"/>
              </w:rPr>
              <w:t>Diagnostic</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5DB09F51" w14:textId="77777777" w:rsidR="00F04928" w:rsidRDefault="00000000">
            <w:pPr>
              <w:spacing w:after="20"/>
              <w:jc w:val="center"/>
            </w:pPr>
            <w:r>
              <w:rPr>
                <w:b/>
                <w:bCs/>
                <w:sz w:val="20"/>
                <w:szCs w:val="20"/>
              </w:rPr>
              <w:t>Value</w:t>
            </w:r>
          </w:p>
        </w:tc>
      </w:tr>
      <w:tr w:rsidR="00F04928" w14:paraId="0B42E0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3662D39" w14:textId="77777777" w:rsidR="00F04928" w:rsidRPr="00C25708" w:rsidRDefault="00000000">
            <w:pPr>
              <w:spacing w:after="20"/>
              <w:rPr>
                <w:lang w:val="en-US"/>
              </w:rPr>
            </w:pPr>
            <w:r w:rsidRPr="00C25708">
              <w:rPr>
                <w:sz w:val="20"/>
                <w:szCs w:val="20"/>
                <w:lang w:val="en-US"/>
              </w:rPr>
              <w:t>Kaiser–Meyer–Olkin measure of sampling adequacy</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0.519</w:t>
            </w:r>
          </w:p>
        </w:tc>
      </w:tr>
      <w:tr w:rsidR="00F04928" w14:paraId="2E3D8E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FA266DF" w14:textId="77777777" w:rsidR="00F04928" w:rsidRPr="00C25708" w:rsidRDefault="00000000">
            <w:pPr>
              <w:spacing w:after="20"/>
              <w:rPr>
                <w:lang w:val="en-US"/>
              </w:rPr>
            </w:pPr>
            <w:r w:rsidRPr="00C25708">
              <w:rPr>
                <w:sz w:val="20"/>
                <w:szCs w:val="20"/>
                <w:lang w:val="en-US"/>
              </w:rPr>
              <w:t>Bartlett's test of sphericity (</w:t>
            </w:r>
            <w:r>
              <w:rPr>
                <w:sz w:val="20"/>
                <w:szCs w:val="20"/>
              </w:rPr>
              <w:t>χ</w:t>
            </w:r>
            <w:r w:rsidRPr="00C25708">
              <w:rPr>
                <w:sz w:val="20"/>
                <w:szCs w:val="20"/>
                <w:lang w:val="en-US"/>
              </w:rPr>
              <w:t>², df, p-value)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346.47, df = 3, p &lt; .001</w:t>
            </w:r>
          </w:p>
        </w:tc>
      </w:tr>
      <w:tr w:rsidR="00F04928" w14:paraId="46DDDD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A8B8E62" w14:textId="77777777" w:rsidR="00F04928" w:rsidRPr="00C25708" w:rsidRDefault="00000000">
            <w:pPr>
              <w:spacing w:after="20"/>
              <w:rPr>
                <w:lang w:val="en-US"/>
              </w:rPr>
            </w:pPr>
            <w:r w:rsidRPr="00C25708">
              <w:rPr>
                <w:sz w:val="20"/>
                <w:szCs w:val="20"/>
                <w:lang w:val="en-US"/>
              </w:rPr>
              <w:t>Eigenvalue of retained (first) component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2.514</w:t>
            </w:r>
          </w:p>
        </w:tc>
      </w:tr>
      <w:tr w:rsidR="00F04928" w14:paraId="12A011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87E9840" w14:textId="77777777" w:rsidR="00F04928" w:rsidRPr="00C25708" w:rsidRDefault="00000000">
            <w:pPr>
              <w:spacing w:after="20"/>
              <w:rPr>
                <w:lang w:val="en-US"/>
              </w:rPr>
            </w:pPr>
            <w:r w:rsidRPr="00C25708">
              <w:rPr>
                <w:sz w:val="20"/>
                <w:szCs w:val="20"/>
                <w:lang w:val="en-US"/>
              </w:rPr>
              <w:t>Share of common variance explained by retained component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83.8</w:t>
            </w:r>
          </w:p>
        </w:tc>
      </w:tr>
      <w:tr w:rsidR="00F04928" w14:paraId="297109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1D5BF41" w14:textId="77777777" w:rsidR="00F04928" w:rsidRDefault="00000000">
            <w:pPr>
              <w:spacing w:after="20"/>
            </w:pPr>
            <w:proofErr w:type="spellStart"/>
            <w:r>
              <w:rPr>
                <w:sz w:val="20"/>
                <w:szCs w:val="20"/>
              </w:rPr>
              <w:t>Loading</w:t>
            </w:r>
            <w:proofErr w:type="spellEnd"/>
            <w:r>
              <w:rPr>
                <w:sz w:val="20"/>
                <w:szCs w:val="20"/>
              </w:rPr>
              <w:t xml:space="preserve">: </w:t>
            </w:r>
            <w:proofErr w:type="spellStart"/>
            <w:r>
              <w:rPr>
                <w:sz w:val="20"/>
                <w:szCs w:val="20"/>
              </w:rPr>
              <w:t>account</w:t>
            </w:r>
            <w:proofErr w:type="spellEnd"/>
            <w:r>
              <w:rPr>
                <w:sz w:val="20"/>
                <w:szCs w:val="20"/>
              </w:rPr>
              <w:t xml:space="preserve"> </w:t>
            </w:r>
            <w:proofErr w:type="spellStart"/>
            <w:r>
              <w:rPr>
                <w:sz w:val="20"/>
                <w:szCs w:val="20"/>
              </w:rPr>
              <w:t>ownership</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0.977</w:t>
            </w:r>
          </w:p>
        </w:tc>
      </w:tr>
      <w:tr w:rsidR="00F04928" w14:paraId="4110BB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0956E74" w14:textId="77777777" w:rsidR="00F04928" w:rsidRDefault="00000000">
            <w:pPr>
              <w:spacing w:after="20"/>
            </w:pPr>
            <w:proofErr w:type="spellStart"/>
            <w:r>
              <w:rPr>
                <w:sz w:val="20"/>
                <w:szCs w:val="20"/>
              </w:rPr>
              <w:t>Loading</w:t>
            </w:r>
            <w:proofErr w:type="spellEnd"/>
            <w:r>
              <w:rPr>
                <w:sz w:val="20"/>
                <w:szCs w:val="20"/>
              </w:rPr>
              <w:t xml:space="preserve">: </w:t>
            </w:r>
            <w:proofErr w:type="spellStart"/>
            <w:r>
              <w:rPr>
                <w:sz w:val="20"/>
                <w:szCs w:val="20"/>
              </w:rPr>
              <w:t>digital</w:t>
            </w:r>
            <w:proofErr w:type="spellEnd"/>
            <w:r>
              <w:rPr>
                <w:sz w:val="20"/>
                <w:szCs w:val="20"/>
              </w:rPr>
              <w:t xml:space="preserve"> </w:t>
            </w:r>
            <w:proofErr w:type="spellStart"/>
            <w:r>
              <w:rPr>
                <w:sz w:val="20"/>
                <w:szCs w:val="20"/>
              </w:rPr>
              <w:t>payment</w:t>
            </w:r>
            <w:proofErr w:type="spellEnd"/>
            <w:r>
              <w:rPr>
                <w:sz w:val="20"/>
                <w:szCs w:val="20"/>
              </w:rPr>
              <w:t xml:space="preserve"> </w:t>
            </w:r>
            <w:proofErr w:type="spellStart"/>
            <w:r>
              <w:rPr>
                <w:sz w:val="20"/>
                <w:szCs w:val="20"/>
              </w:rPr>
              <w:t>usage</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0.953</w:t>
            </w:r>
          </w:p>
        </w:tc>
      </w:tr>
      <w:tr w:rsidR="00F04928" w14:paraId="16535F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F6F75F" w14:textId="77777777" w:rsidR="00F04928" w:rsidRDefault="00000000">
            <w:pPr>
              <w:spacing w:after="20"/>
            </w:pPr>
            <w:proofErr w:type="spellStart"/>
            <w:r>
              <w:rPr>
                <w:sz w:val="20"/>
                <w:szCs w:val="20"/>
              </w:rPr>
              <w:t>Loading</w:t>
            </w:r>
            <w:proofErr w:type="spellEnd"/>
            <w:r>
              <w:rPr>
                <w:sz w:val="20"/>
                <w:szCs w:val="20"/>
              </w:rPr>
              <w:t xml:space="preserve">: POS/ATM </w:t>
            </w:r>
            <w:proofErr w:type="spellStart"/>
            <w:r>
              <w:rPr>
                <w:sz w:val="20"/>
                <w:szCs w:val="20"/>
              </w:rPr>
              <w:t>density</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0.807 (ATM density; POS unavailable)</w:t>
            </w:r>
          </w:p>
        </w:tc>
      </w:tr>
      <w:tr w:rsidR="00F04928" w14:paraId="38CADFDB"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17868D28" w14:textId="77777777" w:rsidR="00F04928" w:rsidRDefault="00000000">
            <w:pPr>
              <w:spacing w:after="20"/>
            </w:pPr>
            <w:proofErr w:type="spellStart"/>
            <w:r>
              <w:rPr>
                <w:sz w:val="20"/>
                <w:szCs w:val="20"/>
              </w:rPr>
              <w:t>Loading</w:t>
            </w:r>
            <w:proofErr w:type="spellEnd"/>
            <w:r>
              <w:rPr>
                <w:sz w:val="20"/>
                <w:szCs w:val="20"/>
              </w:rPr>
              <w:t xml:space="preserve">: </w:t>
            </w:r>
            <w:proofErr w:type="spellStart"/>
            <w:r>
              <w:rPr>
                <w:sz w:val="20"/>
                <w:szCs w:val="20"/>
              </w:rPr>
              <w:t>cashless</w:t>
            </w:r>
            <w:proofErr w:type="spellEnd"/>
            <w:r>
              <w:rPr>
                <w:sz w:val="20"/>
                <w:szCs w:val="20"/>
              </w:rPr>
              <w:t xml:space="preserve"> </w:t>
            </w:r>
            <w:proofErr w:type="spellStart"/>
            <w:r>
              <w:rPr>
                <w:sz w:val="20"/>
                <w:szCs w:val="20"/>
              </w:rPr>
              <w:t>transaction</w:t>
            </w:r>
            <w:proofErr w:type="spellEnd"/>
            <w:r>
              <w:rPr>
                <w:sz w:val="20"/>
                <w:szCs w:val="20"/>
              </w:rPr>
              <w:t xml:space="preserve"> </w:t>
            </w:r>
            <w:proofErr w:type="spellStart"/>
            <w:r>
              <w:rPr>
                <w:sz w:val="20"/>
                <w:szCs w:val="20"/>
              </w:rPr>
              <w:t>value</w:t>
            </w:r>
            <w:proofErr w:type="spellEnd"/>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n.a. (data unavailable)</w:t>
            </w:r>
          </w:p>
        </w:tc>
      </w:tr>
    </w:tbl>
    <w:p w14:paraId="59FAAF85" w14:textId="77777777" w:rsidR="00F04928" w:rsidRPr="00C25708" w:rsidRDefault="00000000">
      <w:pPr>
        <w:spacing w:before="100" w:after="260"/>
        <w:rPr>
          <w:lang w:val="en-US"/>
        </w:rPr>
      </w:pPr>
      <w:r w:rsidRPr="00C25708">
        <w:rPr>
          <w:i/>
          <w:iCs/>
          <w:color w:val="C00000"/>
          <w:sz w:val="20"/>
          <w:szCs w:val="20"/>
          <w:lang w:val="en-US"/>
        </w:rPr>
        <w:t>Note. Principal-component analysis on the final eight-country panel (N = 80). Because open data on point-of-sale terminals and cashless-transaction value were unavailable, the composite uses three indicators—account ownership, digital-payment use, and ATM density; the cashless-value loading is "n.a." The KMO statistic (0.52) is modest, as is common with three indicators, but a single component with an eigenvalue of 2.51 explains 83.8% of the variance with uniformly high loadings, supporting DFS_INDEX as a coherent composite.</w:t>
      </w:r>
    </w:p>
    <w:p w14:paraId="012C6ECA" w14:textId="77777777" w:rsidR="00F04928" w:rsidRPr="00C25708" w:rsidRDefault="00000000">
      <w:pPr>
        <w:pStyle w:val="2"/>
        <w:spacing w:before="280" w:after="160" w:line="480" w:lineRule="auto"/>
        <w:rPr>
          <w:lang w:val="en-US"/>
        </w:rPr>
      </w:pPr>
      <w:r w:rsidRPr="00C25708">
        <w:rPr>
          <w:b/>
          <w:bCs/>
          <w:i/>
          <w:iCs/>
          <w:lang w:val="en-US"/>
        </w:rPr>
        <w:t>5.3 Baseline Fixed-Effects Estimates</w:t>
      </w:r>
    </w:p>
    <w:p w14:paraId="20A2FD52" w14:textId="77777777" w:rsidR="00F04928" w:rsidRDefault="00000000">
      <w:pPr>
        <w:spacing w:after="200" w:line="480" w:lineRule="auto"/>
        <w:jc w:val="both"/>
      </w:pPr>
      <w:r w:rsidRPr="00C25708">
        <w:rPr>
          <w:lang w:val="en-US"/>
        </w:rPr>
        <w:t>Table 5 presents the two-way fixed-effects estimates with DIGPAY as the primary regressor. The association depends on conditioning: with no controls the within-country DIGPAY coefficient is small and insignificant (column 1, +0.063), but once log GDP per capita and the remaining controls are included it turns negative and significant (column 2, −0.051, p &lt; .05). Because digital-payment usage and income are correlated, the association is identified holding development constant rather than unconditionally. A one-standard-deviation rise in DIGPAY corresponds to about −0.14 standard deviations of the shadow economy. At the sample mean, the implied elasticity is −0.04: a 1% increase in digital-payment usage is associated with roughly a 0.04% decrease in the shadow economy. This modest elasticity underscores that, while the association is statistically significant, its economic magnitude is small. For tax revenue (columns 3–4) the DIGPAY coefficient is positive but insignificant in every specification; the tax hypothesis is therefore rejected. Estimates using the composite DFS_INDEX are of the same sign and significance (Table 6).</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27DD06A3" w14:textId="77777777" w:rsidR="00F04928" w:rsidRDefault="00000000">
      <w:pPr>
        <w:spacing w:before="320" w:after="80"/>
      </w:pPr>
      <w:proofErr w:type="spellStart"/>
      <w:r>
        <w:rPr>
          <w:b/>
          <w:bCs/>
          <w:i/>
          <w:iCs/>
        </w:rPr>
        <w:t>Table</w:t>
      </w:r>
      <w:proofErr w:type="spellEnd"/>
      <w:r>
        <w:rPr>
          <w:b/>
          <w:bCs/>
          <w:i/>
          <w:iCs/>
        </w:rPr>
        <w:t xml:space="preserve"> 5. </w:t>
      </w:r>
      <w:proofErr w:type="spellStart"/>
      <w:r>
        <w:rPr>
          <w:b/>
          <w:bCs/>
          <w:i/>
          <w:iCs/>
        </w:rPr>
        <w:t>Baseline</w:t>
      </w:r>
      <w:proofErr w:type="spellEnd"/>
      <w:r>
        <w:rPr>
          <w:b/>
          <w:bCs/>
          <w:i/>
          <w:iCs/>
        </w:rPr>
        <w:t xml:space="preserve"> </w:t>
      </w:r>
      <w:proofErr w:type="spellStart"/>
      <w:r>
        <w:rPr>
          <w:b/>
          <w:bCs/>
          <w:i/>
          <w:iCs/>
        </w:rPr>
        <w:t>two-way</w:t>
      </w:r>
      <w:proofErr w:type="spellEnd"/>
      <w:r>
        <w:rPr>
          <w:b/>
          <w:bCs/>
          <w:i/>
          <w:iCs/>
        </w:rPr>
        <w:t xml:space="preserve"> </w:t>
      </w:r>
      <w:proofErr w:type="spellStart"/>
      <w:r>
        <w:rPr>
          <w:b/>
          <w:bCs/>
          <w:i/>
          <w:iCs/>
        </w:rPr>
        <w:t>fixed-effects</w:t>
      </w:r>
      <w:proofErr w:type="spellEnd"/>
      <w:r>
        <w:rPr>
          <w:b/>
          <w:bCs/>
          <w:i/>
          <w:iCs/>
        </w:rPr>
        <w:t xml:space="preserve"> </w:t>
      </w:r>
      <w:proofErr w:type="spellStart"/>
      <w:r>
        <w:rPr>
          <w:b/>
          <w:bCs/>
          <w:i/>
          <w:iCs/>
        </w:rPr>
        <w:t>estimates</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0"/>
        <w:gridCol w:w="1573"/>
        <w:gridCol w:w="1573"/>
        <w:gridCol w:w="1470"/>
        <w:gridCol w:w="1470"/>
      </w:tblGrid>
      <w:tr w:rsidR="00F04928" w14:paraId="40809ED4" w14:textId="77777777">
        <w:tblPrEx>
          <w:tblCellMar>
            <w:top w:w="0" w:type="dxa"/>
            <w:bottom w:w="0" w:type="dxa"/>
          </w:tblCellMar>
        </w:tblPrEx>
        <w:trPr>
          <w:tblHeader/>
        </w:trPr>
        <w:tc>
          <w:tcPr>
            <w:tcW w:w="0" w:type="auto"/>
            <w:tcBorders>
              <w:top w:val="single" w:sz="4" w:space="0" w:color="000000"/>
              <w:left w:val="none" w:sz="0" w:space="0" w:color="FFFFFF"/>
              <w:bottom w:val="none" w:sz="0" w:space="0" w:color="FFFFFF"/>
              <w:right w:val="none" w:sz="0" w:space="0" w:color="FFFFFF"/>
            </w:tcBorders>
            <w:tcMar>
              <w:top w:w="60" w:type="dxa"/>
              <w:left w:w="100" w:type="dxa"/>
              <w:bottom w:w="60" w:type="dxa"/>
              <w:right w:w="100" w:type="dxa"/>
            </w:tcMar>
            <w:vAlign w:val="center"/>
          </w:tcPr>
          <w:p w14:paraId="65546401" w14:textId="77777777" w:rsidR="00F04928" w:rsidRDefault="00F04928">
            <w:pPr>
              <w:spacing w:after="20"/>
            </w:pPr>
          </w:p>
        </w:tc>
        <w:tc>
          <w:tcPr>
            <w:tcW w:w="0" w:type="auto"/>
            <w:gridSpan w:val="2"/>
            <w:tcBorders>
              <w:top w:val="single" w:sz="4" w:space="0" w:color="000000"/>
              <w:left w:val="none" w:sz="0" w:space="0" w:color="FFFFFF"/>
              <w:bottom w:val="none" w:sz="0" w:space="0" w:color="FFFFFF"/>
              <w:right w:val="none" w:sz="0" w:space="0" w:color="FFFFFF"/>
            </w:tcBorders>
            <w:tcMar>
              <w:top w:w="60" w:type="dxa"/>
              <w:left w:w="100" w:type="dxa"/>
              <w:bottom w:w="60" w:type="dxa"/>
              <w:right w:w="100" w:type="dxa"/>
            </w:tcMar>
            <w:vAlign w:val="center"/>
          </w:tcPr>
          <w:p w14:paraId="718D792D" w14:textId="77777777" w:rsidR="00F04928" w:rsidRDefault="00000000">
            <w:pPr>
              <w:spacing w:after="20"/>
              <w:jc w:val="center"/>
            </w:pPr>
            <w:r>
              <w:rPr>
                <w:b/>
                <w:bCs/>
                <w:sz w:val="20"/>
                <w:szCs w:val="20"/>
              </w:rPr>
              <w:t>SHADOW</w:t>
            </w:r>
          </w:p>
        </w:tc>
        <w:tc>
          <w:tcPr>
            <w:tcW w:w="0" w:type="auto"/>
            <w:gridSpan w:val="2"/>
            <w:tcBorders>
              <w:top w:val="single" w:sz="4" w:space="0" w:color="000000"/>
              <w:left w:val="none" w:sz="0" w:space="0" w:color="FFFFFF"/>
              <w:bottom w:val="none" w:sz="0" w:space="0" w:color="FFFFFF"/>
              <w:right w:val="none" w:sz="0" w:space="0" w:color="FFFFFF"/>
            </w:tcBorders>
            <w:tcMar>
              <w:top w:w="60" w:type="dxa"/>
              <w:left w:w="100" w:type="dxa"/>
              <w:bottom w:w="60" w:type="dxa"/>
              <w:right w:w="100" w:type="dxa"/>
            </w:tcMar>
            <w:vAlign w:val="center"/>
          </w:tcPr>
          <w:p w14:paraId="5B6EB0C7" w14:textId="77777777" w:rsidR="00F04928" w:rsidRDefault="00000000">
            <w:pPr>
              <w:spacing w:after="20"/>
              <w:jc w:val="center"/>
            </w:pPr>
            <w:r>
              <w:rPr>
                <w:b/>
                <w:bCs/>
                <w:sz w:val="20"/>
                <w:szCs w:val="20"/>
              </w:rPr>
              <w:t>TAX</w:t>
            </w:r>
          </w:p>
        </w:tc>
      </w:tr>
      <w:tr w:rsidR="00F04928" w14:paraId="7BD2ED1F" w14:textId="77777777">
        <w:tblPrEx>
          <w:tblCellMar>
            <w:top w:w="0" w:type="dxa"/>
            <w:bottom w:w="0" w:type="dxa"/>
          </w:tblCellMar>
        </w:tblPrEx>
        <w:trPr>
          <w:tblHeader/>
        </w:trPr>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215A115F" w14:textId="77777777" w:rsidR="00F04928" w:rsidRDefault="00000000">
            <w:pPr>
              <w:spacing w:after="20"/>
            </w:pPr>
            <w:proofErr w:type="spellStart"/>
            <w:r>
              <w:rPr>
                <w:b/>
                <w:bCs/>
                <w:sz w:val="20"/>
                <w:szCs w:val="20"/>
              </w:rPr>
              <w:t>Variable</w:t>
            </w:r>
            <w:proofErr w:type="spellEnd"/>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175921A3" w14:textId="77777777" w:rsidR="00F04928" w:rsidRDefault="00000000">
            <w:pPr>
              <w:spacing w:after="20"/>
              <w:jc w:val="center"/>
            </w:pPr>
            <w:r>
              <w:rPr>
                <w:b/>
                <w:bCs/>
                <w:sz w:val="20"/>
                <w:szCs w:val="20"/>
              </w:rPr>
              <w:t>(1)</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516C1F90" w14:textId="77777777" w:rsidR="00F04928" w:rsidRDefault="00000000">
            <w:pPr>
              <w:spacing w:after="20"/>
              <w:jc w:val="center"/>
            </w:pPr>
            <w:r>
              <w:rPr>
                <w:b/>
                <w:bCs/>
                <w:sz w:val="20"/>
                <w:szCs w:val="20"/>
              </w:rPr>
              <w:t>(2)</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3C03BDBD" w14:textId="77777777" w:rsidR="00F04928" w:rsidRDefault="00000000">
            <w:pPr>
              <w:spacing w:after="20"/>
              <w:jc w:val="center"/>
            </w:pPr>
            <w:r>
              <w:rPr>
                <w:b/>
                <w:bCs/>
                <w:sz w:val="20"/>
                <w:szCs w:val="20"/>
              </w:rPr>
              <w:t>(3)</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692E11C" w14:textId="77777777" w:rsidR="00F04928" w:rsidRDefault="00000000">
            <w:pPr>
              <w:spacing w:after="20"/>
              <w:jc w:val="center"/>
            </w:pPr>
            <w:r>
              <w:rPr>
                <w:b/>
                <w:bCs/>
                <w:sz w:val="20"/>
                <w:szCs w:val="20"/>
              </w:rPr>
              <w:t>(4)</w:t>
            </w:r>
          </w:p>
        </w:tc>
      </w:tr>
      <w:tr w:rsidR="00F04928" w14:paraId="4493DD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DIGPAY</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+0.063</w:t>
              <w:br/>
              <w:t>(0.042)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-0.051**</w:t>
              <w:br/>
              <w:t>(0.023)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+0.040</w:t>
              <w:br/>
              <w:t>(0.028)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+0.013</w:t>
              <w:br/>
              <w:t>(0.032)</w:t>
            </w:r>
          </w:p>
        </w:tc>
      </w:tr>
      <w:tr w:rsidR="00F04928" w14:paraId="161600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79DAA30" w14:textId="77777777" w:rsidR="00F04928" w:rsidRDefault="00000000">
            <w:pPr>
              <w:spacing w:after="20"/>
            </w:pPr>
            <w:r>
              <w:rPr>
                <w:b/>
                <w:bCs/>
                <w:sz w:val="20"/>
                <w:szCs w:val="20"/>
              </w:rPr>
              <w:t>LGDPPC</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696DDC2"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+12.285***</w:t>
              <w:br/>
              <w:t>(3.967)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0E1EC5B"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+1.765</w:t>
              <w:br/>
              <w:t>(5.813)</w:t>
            </w:r>
          </w:p>
        </w:tc>
      </w:tr>
      <w:tr w:rsidR="00F04928" w14:paraId="74F072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51B8B5F" w14:textId="77777777" w:rsidR="00F04928" w:rsidRDefault="00000000">
            <w:pPr>
              <w:spacing w:after="20"/>
            </w:pPr>
            <w:r>
              <w:rPr>
                <w:b/>
                <w:bCs/>
                <w:sz w:val="20"/>
                <w:szCs w:val="20"/>
              </w:rPr>
              <w:t>OPEN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CBEAEAD"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-0.028</w:t>
              <w:br/>
              <w:t>(0.019)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6845AE6"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+0.030</w:t>
              <w:br/>
              <w:t>(0.023)</w:t>
            </w:r>
          </w:p>
        </w:tc>
      </w:tr>
      <w:tr w:rsidR="00F04928" w14:paraId="7763BD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75B83DF" w14:textId="77777777" w:rsidR="00F04928" w:rsidRDefault="00000000">
            <w:pPr>
              <w:spacing w:after="20"/>
            </w:pPr>
            <w:r>
              <w:rPr>
                <w:b/>
                <w:bCs/>
                <w:sz w:val="20"/>
                <w:szCs w:val="20"/>
              </w:rPr>
              <w:t>REMIT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CDEE9A4"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-0.103**</w:t>
              <w:br/>
              <w:t>(0.042)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DD17C2B"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-0.071</w:t>
              <w:br/>
              <w:t>(0.095)</w:t>
            </w:r>
          </w:p>
        </w:tc>
      </w:tr>
      <w:tr w:rsidR="00F04928" w14:paraId="4C6293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85A85E1" w14:textId="77777777" w:rsidR="00F04928" w:rsidRDefault="00000000">
            <w:pPr>
              <w:spacing w:after="20"/>
            </w:pPr>
            <w:r>
              <w:rPr>
                <w:b/>
                <w:bCs/>
                <w:sz w:val="20"/>
                <w:szCs w:val="20"/>
              </w:rPr>
              <w:t>INFL</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3CEF742"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-0.014</w:t>
              <w:br/>
              <w:t>(0.018)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87DC074"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-0.024</w:t>
              <w:br/>
              <w:t>(0.043)</w:t>
            </w:r>
          </w:p>
        </w:tc>
      </w:tr>
      <w:tr w:rsidR="00F04928" w14:paraId="3C0ACD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C09E10" w14:textId="77777777" w:rsidR="00F04928" w:rsidRDefault="00000000">
            <w:pPr>
              <w:spacing w:after="20"/>
            </w:pPr>
            <w:r>
              <w:rPr>
                <w:b/>
                <w:bCs/>
                <w:sz w:val="20"/>
                <w:szCs w:val="20"/>
              </w:rPr>
              <w:t>INST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47CB77D"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+0.195</w:t>
              <w:br/>
              <w:t>(1.789)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9E4EA03"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-6.492*</w:t>
              <w:br/>
              <w:t>(3.783)</w:t>
            </w:r>
          </w:p>
        </w:tc>
      </w:tr>
      <w:tr w:rsidR="00F04928" w14:paraId="2AAAF75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56FD0F6" w14:textId="77777777" w:rsidR="00F04928" w:rsidRDefault="00000000">
            <w:pPr>
              <w:spacing w:after="20"/>
            </w:pPr>
            <w:r>
              <w:rPr>
                <w:sz w:val="20"/>
                <w:szCs w:val="20"/>
              </w:rPr>
              <w:t xml:space="preserve">Country </w:t>
            </w:r>
            <w:proofErr w:type="spellStart"/>
            <w:r>
              <w:rPr>
                <w:sz w:val="20"/>
                <w:szCs w:val="20"/>
              </w:rPr>
              <w:t>fixed</w:t>
            </w:r>
            <w:proofErr w:type="spellEnd"/>
            <w:r>
              <w:rPr>
                <w:sz w:val="20"/>
                <w:szCs w:val="20"/>
              </w:rPr>
              <w:t xml:space="preserve"> </w:t>
            </w:r>
            <w:proofErr w:type="spellStart"/>
            <w:r>
              <w:rPr>
                <w:sz w:val="20"/>
                <w:szCs w:val="20"/>
              </w:rPr>
              <w:t>effects</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DB02B42"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A785E2A"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6C14D45"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0BE2C01" w14:textId="77777777" w:rsidR="00F04928" w:rsidRDefault="00000000">
            <w:pPr>
              <w:spacing w:after="20"/>
              <w:jc w:val="center"/>
            </w:pPr>
            <w:r>
              <w:rPr>
                <w:sz w:val="20"/>
                <w:szCs w:val="20"/>
              </w:rPr>
              <w:t>Yes</w:t>
            </w:r>
          </w:p>
        </w:tc>
      </w:tr>
      <w:tr w:rsidR="00F04928" w14:paraId="7A2F1F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DF50F7" w14:textId="77777777" w:rsidR="00F04928" w:rsidRDefault="00000000">
            <w:pPr>
              <w:spacing w:after="20"/>
            </w:pPr>
            <w:r>
              <w:rPr>
                <w:sz w:val="20"/>
                <w:szCs w:val="20"/>
              </w:rPr>
              <w:t xml:space="preserve">Year </w:t>
            </w:r>
            <w:proofErr w:type="spellStart"/>
            <w:r>
              <w:rPr>
                <w:sz w:val="20"/>
                <w:szCs w:val="20"/>
              </w:rPr>
              <w:t>fixed</w:t>
            </w:r>
            <w:proofErr w:type="spellEnd"/>
            <w:r>
              <w:rPr>
                <w:sz w:val="20"/>
                <w:szCs w:val="20"/>
              </w:rPr>
              <w:t xml:space="preserve"> </w:t>
            </w:r>
            <w:proofErr w:type="spellStart"/>
            <w:r>
              <w:rPr>
                <w:sz w:val="20"/>
                <w:szCs w:val="20"/>
              </w:rPr>
              <w:t>effects</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3212CF"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086B70"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30E722B"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C3EA43A" w14:textId="77777777" w:rsidR="00F04928" w:rsidRDefault="00000000">
            <w:pPr>
              <w:spacing w:after="20"/>
              <w:jc w:val="center"/>
            </w:pPr>
            <w:r>
              <w:rPr>
                <w:sz w:val="20"/>
                <w:szCs w:val="20"/>
              </w:rPr>
              <w:t>Yes</w:t>
            </w:r>
          </w:p>
        </w:tc>
      </w:tr>
      <w:tr w:rsidR="00F04928" w14:paraId="0FF2051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D001AB" w14:textId="77777777" w:rsidR="00F04928" w:rsidRDefault="00000000">
            <w:pPr>
              <w:spacing w:after="20"/>
            </w:pPr>
            <w:proofErr w:type="spellStart"/>
            <w:r>
              <w:rPr>
                <w:sz w:val="20"/>
                <w:szCs w:val="20"/>
              </w:rPr>
              <w:t>Observations</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80</w:t>
            </w:r>
          </w:p>
        </w:tc>
      </w:tr>
      <w:tr w:rsidR="00F04928" w14:paraId="35D6C77B"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52B9EC31" w14:textId="77777777" w:rsidR="00F04928" w:rsidRDefault="00000000">
            <w:pPr>
              <w:spacing w:after="20"/>
            </w:pPr>
            <w:proofErr w:type="spellStart"/>
            <w:r>
              <w:rPr>
                <w:sz w:val="20"/>
                <w:szCs w:val="20"/>
              </w:rPr>
              <w:t>Within</w:t>
            </w:r>
            <w:proofErr w:type="spellEnd"/>
            <w:r>
              <w:rPr>
                <w:sz w:val="20"/>
                <w:szCs w:val="20"/>
              </w:rPr>
              <w:t xml:space="preserve"> R²</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0.11</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0.59</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0.02</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0.20</w:t>
            </w:r>
          </w:p>
        </w:tc>
      </w:tr>
    </w:tbl>
    <w:p w14:paraId="0BAF9D1E" w14:textId="77777777" w:rsidR="00F04928" w:rsidRDefault="00000000">
      <w:pPr>
        <w:spacing w:before="100" w:after="260"/>
      </w:pPr>
      <w:r w:rsidRPr="00C25708">
        <w:rPr>
          <w:i/>
          <w:iCs/>
          <w:sz w:val="20"/>
          <w:szCs w:val="20"/>
          <w:lang w:val="en-US"/>
        </w:rPr>
        <w:t xml:space="preserve">Note. Dependent variables as indicated by column headers. Country-clustered standard errors in parentheses. </w:t>
      </w:r>
      <w:r>
        <w:rPr>
          <w:i/>
          <w:iCs/>
          <w:sz w:val="20"/>
          <w:szCs w:val="20"/>
        </w:rPr>
        <w:t xml:space="preserve">*p </w:t>
      </w:r>
      <w:proofErr w:type="gramStart"/>
      <w:r>
        <w:rPr>
          <w:i/>
          <w:iCs/>
          <w:sz w:val="20"/>
          <w:szCs w:val="20"/>
        </w:rPr>
        <w:t>&lt; .</w:t>
      </w:r>
      <w:proofErr w:type="gramEnd"/>
      <w:r>
        <w:rPr>
          <w:i/>
          <w:iCs/>
          <w:sz w:val="20"/>
          <w:szCs w:val="20"/>
        </w:rPr>
        <w:t xml:space="preserve">10, **p </w:t>
      </w:r>
      <w:proofErr w:type="gramStart"/>
      <w:r>
        <w:rPr>
          <w:i/>
          <w:iCs/>
          <w:sz w:val="20"/>
          <w:szCs w:val="20"/>
        </w:rPr>
        <w:t>&lt; .</w:t>
      </w:r>
      <w:proofErr w:type="gramEnd"/>
      <w:r>
        <w:rPr>
          <w:i/>
          <w:iCs/>
          <w:sz w:val="20"/>
          <w:szCs w:val="20"/>
        </w:rPr>
        <w:t xml:space="preserve">05, ***p </w:t>
      </w:r>
      <w:proofErr w:type="gramStart"/>
      <w:r>
        <w:rPr>
          <w:i/>
          <w:iCs/>
          <w:sz w:val="20"/>
          <w:szCs w:val="20"/>
        </w:rPr>
        <w:t>&lt; .</w:t>
      </w:r>
      <w:proofErr w:type="gramEnd"/>
      <w:r>
        <w:rPr>
          <w:i/>
          <w:iCs/>
          <w:sz w:val="20"/>
          <w:szCs w:val="20"/>
        </w:rPr>
        <w:t xml:space="preserve">01. </w:t>
      </w:r>
      <w:proofErr w:type="spellStart"/>
      <w:r>
        <w:rPr>
          <w:i/>
          <w:iCs/>
          <w:sz w:val="20"/>
          <w:szCs w:val="20"/>
        </w:rPr>
        <w:t>Coefficients</w:t>
      </w:r>
      <w:proofErr w:type="spellEnd"/>
      <w:r>
        <w:rPr>
          <w:i/>
          <w:iCs/>
          <w:sz w:val="20"/>
          <w:szCs w:val="20"/>
        </w:rPr>
        <w:t xml:space="preserve"> </w:t>
      </w:r>
      <w:proofErr w:type="spellStart"/>
      <w:r>
        <w:rPr>
          <w:i/>
          <w:iCs/>
          <w:sz w:val="20"/>
          <w:szCs w:val="20"/>
        </w:rPr>
        <w:t>on</w:t>
      </w:r>
      <w:proofErr w:type="spellEnd"/>
      <w:r>
        <w:rPr>
          <w:i/>
          <w:iCs/>
          <w:sz w:val="20"/>
          <w:szCs w:val="20"/>
        </w:rPr>
        <w:t xml:space="preserve"> UNEMP, URBAN, </w:t>
      </w:r>
      <w:proofErr w:type="spellStart"/>
      <w:r>
        <w:rPr>
          <w:i/>
          <w:iCs/>
          <w:sz w:val="20"/>
          <w:szCs w:val="20"/>
        </w:rPr>
        <w:t>and</w:t>
      </w:r>
      <w:proofErr w:type="spellEnd"/>
      <w:r>
        <w:rPr>
          <w:i/>
          <w:iCs/>
          <w:sz w:val="20"/>
          <w:szCs w:val="20"/>
        </w:rPr>
        <w:t xml:space="preserve"> MOBILE </w:t>
      </w:r>
      <w:proofErr w:type="spellStart"/>
      <w:r>
        <w:rPr>
          <w:i/>
          <w:iCs/>
          <w:sz w:val="20"/>
          <w:szCs w:val="20"/>
        </w:rPr>
        <w:t>are</w:t>
      </w:r>
      <w:proofErr w:type="spellEnd"/>
      <w:r>
        <w:rPr>
          <w:i/>
          <w:iCs/>
          <w:sz w:val="20"/>
          <w:szCs w:val="20"/>
        </w:rPr>
        <w:t xml:space="preserve"> </w:t>
      </w:r>
      <w:proofErr w:type="spellStart"/>
      <w:r>
        <w:rPr>
          <w:i/>
          <w:iCs/>
          <w:sz w:val="20"/>
          <w:szCs w:val="20"/>
        </w:rPr>
        <w:t>included</w:t>
      </w:r>
      <w:proofErr w:type="spellEnd"/>
      <w:r>
        <w:rPr>
          <w:i/>
          <w:iCs/>
          <w:sz w:val="20"/>
          <w:szCs w:val="20"/>
        </w:rPr>
        <w:t xml:space="preserve"> </w:t>
      </w:r>
      <w:proofErr w:type="spellStart"/>
      <w:r>
        <w:rPr>
          <w:i/>
          <w:iCs/>
          <w:sz w:val="20"/>
          <w:szCs w:val="20"/>
        </w:rPr>
        <w:t>in</w:t>
      </w:r>
      <w:proofErr w:type="spellEnd"/>
      <w:r>
        <w:rPr>
          <w:i/>
          <w:iCs/>
          <w:sz w:val="20"/>
          <w:szCs w:val="20"/>
        </w:rPr>
        <w:t xml:space="preserve"> </w:t>
      </w:r>
      <w:proofErr w:type="spellStart"/>
      <w:r>
        <w:rPr>
          <w:i/>
          <w:iCs/>
          <w:sz w:val="20"/>
          <w:szCs w:val="20"/>
        </w:rPr>
        <w:t>the</w:t>
      </w:r>
      <w:proofErr w:type="spellEnd"/>
      <w:r>
        <w:rPr>
          <w:i/>
          <w:iCs/>
          <w:sz w:val="20"/>
          <w:szCs w:val="20"/>
        </w:rPr>
        <w:t xml:space="preserve"> </w:t>
      </w:r>
      <w:proofErr w:type="spellStart"/>
      <w:r>
        <w:rPr>
          <w:i/>
          <w:iCs/>
          <w:sz w:val="20"/>
          <w:szCs w:val="20"/>
        </w:rPr>
        <w:t>full</w:t>
      </w:r>
      <w:proofErr w:type="spellEnd"/>
      <w:r>
        <w:rPr>
          <w:i/>
          <w:iCs/>
          <w:sz w:val="20"/>
          <w:szCs w:val="20"/>
        </w:rPr>
        <w:t xml:space="preserve"> </w:t>
      </w:r>
      <w:proofErr w:type="spellStart"/>
      <w:r>
        <w:rPr>
          <w:i/>
          <w:iCs/>
          <w:sz w:val="20"/>
          <w:szCs w:val="20"/>
        </w:rPr>
        <w:t>specification</w:t>
      </w:r>
      <w:proofErr w:type="spellEnd"/>
      <w:r>
        <w:rPr>
          <w:i/>
          <w:iCs/>
          <w:sz w:val="20"/>
          <w:szCs w:val="20"/>
        </w:rPr>
        <w:t xml:space="preserve"> </w:t>
      </w:r>
      <w:proofErr w:type="spellStart"/>
      <w:r>
        <w:rPr>
          <w:i/>
          <w:iCs/>
          <w:sz w:val="20"/>
          <w:szCs w:val="20"/>
        </w:rPr>
        <w:t>but</w:t>
      </w:r>
      <w:proofErr w:type="spellEnd"/>
      <w:r>
        <w:rPr>
          <w:i/>
          <w:iCs/>
          <w:sz w:val="20"/>
          <w:szCs w:val="20"/>
        </w:rPr>
        <w:t xml:space="preserve"> </w:t>
      </w:r>
      <w:proofErr w:type="spellStart"/>
      <w:r>
        <w:rPr>
          <w:i/>
          <w:iCs/>
          <w:sz w:val="20"/>
          <w:szCs w:val="20"/>
        </w:rPr>
        <w:t>suppressed</w:t>
      </w:r>
      <w:proofErr w:type="spellEnd"/>
      <w:r>
        <w:rPr>
          <w:i/>
          <w:iCs/>
          <w:sz w:val="20"/>
          <w:szCs w:val="20"/>
        </w:rPr>
        <w:t xml:space="preserve"> </w:t>
      </w:r>
      <w:proofErr w:type="spellStart"/>
      <w:r>
        <w:rPr>
          <w:i/>
          <w:iCs/>
          <w:sz w:val="20"/>
          <w:szCs w:val="20"/>
        </w:rPr>
        <w:t>from</w:t>
      </w:r>
      <w:proofErr w:type="spellEnd"/>
      <w:r>
        <w:rPr>
          <w:i/>
          <w:iCs/>
          <w:sz w:val="20"/>
          <w:szCs w:val="20"/>
        </w:rPr>
        <w:t xml:space="preserve"> </w:t>
      </w:r>
      <w:proofErr w:type="spellStart"/>
      <w:r>
        <w:rPr>
          <w:i/>
          <w:iCs/>
          <w:sz w:val="20"/>
          <w:szCs w:val="20"/>
        </w:rPr>
        <w:t>the</w:t>
      </w:r>
      <w:proofErr w:type="spellEnd"/>
      <w:r>
        <w:rPr>
          <w:i/>
          <w:iCs/>
          <w:sz w:val="20"/>
          <w:szCs w:val="20"/>
        </w:rPr>
        <w:t xml:space="preserve"> </w:t>
      </w:r>
      <w:proofErr w:type="spellStart"/>
      <w:r>
        <w:rPr>
          <w:i/>
          <w:iCs/>
          <w:sz w:val="20"/>
          <w:szCs w:val="20"/>
        </w:rPr>
        <w:t>table</w:t>
      </w:r>
      <w:proofErr w:type="spellEnd"/>
      <w:r>
        <w:rPr>
          <w:i/>
          <w:iCs/>
          <w:sz w:val="20"/>
          <w:szCs w:val="20"/>
        </w:rPr>
        <w:t xml:space="preserve"> </w:t>
      </w:r>
      <w:proofErr w:type="spellStart"/>
      <w:r>
        <w:rPr>
          <w:i/>
          <w:iCs/>
          <w:sz w:val="20"/>
          <w:szCs w:val="20"/>
        </w:rPr>
        <w:t>for</w:t>
      </w:r>
      <w:proofErr w:type="spellEnd"/>
      <w:r>
        <w:rPr>
          <w:i/>
          <w:iCs/>
          <w:sz w:val="20"/>
          <w:szCs w:val="20"/>
        </w:rPr>
        <w:t xml:space="preserve"> </w:t>
      </w:r>
      <w:proofErr w:type="spellStart"/>
      <w:r>
        <w:rPr>
          <w:i/>
          <w:iCs/>
          <w:sz w:val="20"/>
          <w:szCs w:val="20"/>
        </w:rPr>
        <w:t>space</w:t>
      </w:r>
      <w:proofErr w:type="spellEnd"/>
      <w:r>
        <w:rPr>
          <w:i/>
          <w:iCs/>
          <w:sz w:val="20"/>
          <w:szCs w:val="20"/>
        </w:rPr>
        <w:t>.</w:t>
      </w:r>
    </w:p>
    <w:p w14:paraId="6B2B3CCC" w14:textId="77777777" w:rsidR="00F04928" w:rsidRPr="00C25708" w:rsidRDefault="00000000">
      <w:pPr>
        <w:pStyle w:val="2"/>
        <w:spacing w:before="280" w:after="160" w:line="480" w:lineRule="auto"/>
        <w:rPr>
          <w:lang w:val="en-US"/>
        </w:rPr>
      </w:pPr>
      <w:r w:rsidRPr="00C25708">
        <w:rPr>
          <w:b/>
          <w:bCs/>
          <w:i/>
          <w:iCs/>
          <w:lang w:val="en-US"/>
        </w:rPr>
        <w:t>5.4 Robustness and Endogeneity</w:t>
      </w:r>
    </w:p>
    <w:p w14:paraId="74C84116" w14:textId="77777777" w:rsidR="00F04928" w:rsidRPr="00C25708" w:rsidRDefault="00000000">
      <w:pPr>
        <w:spacing w:after="200" w:line="480" w:lineRule="auto"/>
        <w:jc w:val="both"/>
        <w:rPr>
          <w:lang w:val="en-US"/>
        </w:rPr>
      </w:pPr>
      <w:r w:rsidRPr="00C25708">
        <w:rPr>
          <w:lang w:val="en-US"/>
        </w:rPr>
        <w:t>Table 6 summarizes the robustness and endogeneity analysis for the DFS coefficient. The negative shadow-economy association is stable under Driscoll–Kraay standard errors (−0.056, p &lt; .10), larger when Kazakhstan is excluded (−0.084, p &lt; .01), present in the Central Asian subsample (−0.026, p &lt; .05), and reproduced when the single DIGPAY indicator replaces the composite (−0.051, p &lt; .05). It is not, however, robust to estimators that target endogeneity: the instrumental-variables estimate (mobile-network and broadband rollout) is negative but insignificant (−0.018), and the system-GMM estimate is small, positive, and insignificant (+0.027). The GMM diagnostics are themselves unreliable—the Hansen statistic is degenerate (p = 1.00) because the instrument count (57) far exceeds the eight groups—which is exactly why, per Section 4.4, the dynamic-panel results are exploratory. Across the tax equations the DFS coefficient is insignificant under every estimator. The evidence is thus best described as a robust conditional association whose causal interpretation remains suggestive.</w:t>
      </w:r>
      <w:r w:rsidRPr="00C25708">
        <w:rPr>
          <w:lang w:val="en-US"/>
        </w:rPr>
      </w:r>
    </w:p>
    <w:p w14:paraId="4175E73F" w14:textId="77777777" w:rsidR="00F04928" w:rsidRDefault="00000000">
      <w:pPr>
        <w:spacing w:before="320" w:after="80"/>
      </w:pPr>
      <w:proofErr w:type="spellStart"/>
      <w:r>
        <w:rPr>
          <w:b/>
          <w:bCs/>
          <w:i/>
          <w:iCs/>
        </w:rPr>
        <w:t>Table</w:t>
      </w:r>
      <w:proofErr w:type="spellEnd"/>
      <w:r>
        <w:rPr>
          <w:b/>
          <w:bCs/>
          <w:i/>
          <w:iCs/>
        </w:rPr>
        <w:t xml:space="preserve"> 6. </w:t>
      </w:r>
      <w:proofErr w:type="spellStart"/>
      <w:r>
        <w:rPr>
          <w:b/>
          <w:bCs/>
          <w:i/>
          <w:iCs/>
        </w:rPr>
        <w:t>Robustness</w:t>
      </w:r>
      <w:proofErr w:type="spellEnd"/>
      <w:r>
        <w:rPr>
          <w:b/>
          <w:bCs/>
          <w:i/>
          <w:iCs/>
        </w:rPr>
        <w:t xml:space="preserve"> </w:t>
      </w:r>
      <w:proofErr w:type="spellStart"/>
      <w:r>
        <w:rPr>
          <w:b/>
          <w:bCs/>
          <w:i/>
          <w:iCs/>
        </w:rPr>
        <w:t>and</w:t>
      </w:r>
      <w:proofErr w:type="spellEnd"/>
      <w:r>
        <w:rPr>
          <w:b/>
          <w:bCs/>
          <w:i/>
          <w:iCs/>
        </w:rPr>
        <w:t xml:space="preserve"> </w:t>
      </w:r>
      <w:proofErr w:type="spellStart"/>
      <w:r>
        <w:rPr>
          <w:b/>
          <w:bCs/>
          <w:i/>
          <w:iCs/>
        </w:rPr>
        <w:t>endogeneity</w:t>
      </w:r>
      <w:proofErr w:type="spellEnd"/>
      <w:r>
        <w:rPr>
          <w:b/>
          <w:bCs/>
          <w:i/>
          <w:iCs/>
        </w:rPr>
        <w:t xml:space="preserve">: DFS </w:t>
      </w:r>
      <w:proofErr w:type="spellStart"/>
      <w:r>
        <w:rPr>
          <w:b/>
          <w:bCs/>
          <w:i/>
          <w:iCs/>
        </w:rPr>
        <w:t>coefficient</w:t>
      </w:r>
      <w:proofErr w:type="spellEnd"/>
      <w:r>
        <w:rPr>
          <w:b/>
          <w:bCs/>
          <w:i/>
          <w:iCs/>
        </w:rPr>
        <w:t xml:space="preserve"> </w:t>
      </w:r>
      <w:proofErr w:type="spellStart"/>
      <w:r>
        <w:rPr>
          <w:b/>
          <w:bCs/>
          <w:i/>
          <w:iCs/>
        </w:rPr>
        <w:t>across</w:t>
      </w:r>
      <w:proofErr w:type="spellEnd"/>
      <w:r>
        <w:rPr>
          <w:b/>
          <w:bCs/>
          <w:i/>
          <w:iCs/>
        </w:rPr>
        <w:t xml:space="preserve"> </w:t>
      </w:r>
      <w:proofErr w:type="spellStart"/>
      <w:r>
        <w:rPr>
          <w:b/>
          <w:bCs/>
          <w:i/>
          <w:iCs/>
        </w:rPr>
        <w:t>estimators</w:t>
      </w:r>
      <w:proofErr w:type="spellEnd"/>
      <w:r>
        <w:rPr>
          <w:b/>
          <w:bCs/>
          <w:i/>
          <w:iCs/>
        </w:rPr>
        <w:t>.</w:t>
      </w:r>
    </w:p>
    <w:p>
      <w:r>
        <w:t>Table A1 (pre-trends). Dependent variable: shadow economy (% of GDP). Earlier window 2011–2015: DFS_INDEX = −0.090 (SE 0.035, p &lt; .05; N = 40). Later window 2016–2020: DFS_INDEX = −0.008 (SE 0.019, n.s.; N = 40). Two-way fixed effects, full controls. The association is concentrated in the earlier window and is not stable over time—a caution rather than a clean placebo result.</w:t>
      </w:r>
    </w:p>
    <w:p>
      <w:r>
        <w:t>Table 8 (control-set sensitivity). Dependent variable: shadow economy; DFS_INDEX coefficient. Full controls −0.056 (p &lt; .05); adding MOBILE −0.055 (p &lt; .10); dropping REMIT −0.063 (p &lt; .05); dropping INFL −0.056 (p &lt; .05); parsimonious set (LGDPPC, OPEN, INST) plus MOBILE −0.063 (p &lt; .05). The coefficient is stable across control sets as long as GDP per capita is included; it is the inclusion of income—not of MOBILE, REMIT, or INFL—that matters. Because MOBILE, REMIT, and INFL may lie on the causal pathway between DFS and informality, the preferred specification is read with that caveat, and the assumed causal structure is set out as a directed acyclic graph in Appendix Figure A1.</w:t>
      </w:r>
    </w:p>
    <w:p>
      <w:r>
        <w:t>Figure 2 (marginal effects). The marginal effect of DFS on the shadow economy across the observed institutional range (INST ≈ −1.2 to +0.7) is negative throughout, but its 95% confidence interval includes zero over most of the range, consistent with the insignificant DFS × INST interaction; the marginal effect on tax revenue is indistinguishable from zero. The figure does not support an institutional-complementarity reading.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8"/>
        <w:gridCol w:w="1602"/>
        <w:gridCol w:w="1204"/>
        <w:gridCol w:w="2232"/>
      </w:tblGrid>
      <w:tr w:rsidR="00F04928" w14:paraId="6CFF9C18"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3353845" w14:textId="77777777" w:rsidR="00F04928" w:rsidRDefault="00000000">
            <w:pPr>
              <w:spacing w:after="20"/>
            </w:pPr>
            <w:proofErr w:type="spellStart"/>
            <w:r>
              <w:rPr>
                <w:b/>
                <w:bCs/>
                <w:sz w:val="20"/>
                <w:szCs w:val="20"/>
              </w:rPr>
              <w:t>Estimator</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0BBCADD9" w14:textId="77777777" w:rsidR="00F04928" w:rsidRDefault="00000000">
            <w:pPr>
              <w:spacing w:after="20"/>
              <w:jc w:val="center"/>
            </w:pPr>
            <w:r>
              <w:rPr>
                <w:b/>
                <w:bCs/>
                <w:sz w:val="20"/>
                <w:szCs w:val="20"/>
              </w:rPr>
              <w:t>DFS → SHADOW</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0661E32" w14:textId="77777777" w:rsidR="00F04928" w:rsidRDefault="00000000">
            <w:pPr>
              <w:spacing w:after="20"/>
              <w:jc w:val="center"/>
            </w:pPr>
            <w:r>
              <w:rPr>
                <w:b/>
                <w:bCs/>
                <w:sz w:val="20"/>
                <w:szCs w:val="20"/>
              </w:rPr>
              <w:t>DFS → TAX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48A13F20" w14:textId="77777777" w:rsidR="00F04928" w:rsidRDefault="00000000">
            <w:pPr>
              <w:spacing w:after="20"/>
            </w:pPr>
            <w:r>
              <w:rPr>
                <w:b/>
                <w:bCs/>
                <w:sz w:val="20"/>
                <w:szCs w:val="20"/>
              </w:rPr>
              <w:t xml:space="preserve">Key </w:t>
            </w:r>
            <w:proofErr w:type="spellStart"/>
            <w:r>
              <w:rPr>
                <w:b/>
                <w:bCs/>
                <w:sz w:val="20"/>
                <w:szCs w:val="20"/>
              </w:rPr>
              <w:t>diagnostic</w:t>
            </w:r>
            <w:proofErr w:type="spellEnd"/>
          </w:p>
        </w:tc>
      </w:tr>
      <w:tr w:rsidR="00F04928" w14:paraId="7EAF28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FE (baseline, full panel)</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-0.056**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 = 80; within-country FE</w:t>
            </w:r>
          </w:p>
        </w:tc>
      </w:tr>
      <w:tr w:rsidR="00F04928" w14:paraId="597CA0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FE, Driscoll–Kraay SE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-0.056*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CSD-robust standard errors</w:t>
            </w:r>
          </w:p>
        </w:tc>
      </w:tr>
      <w:tr w:rsidR="00F04928" w14:paraId="3810C3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System GMM (exploratory — see 4.4)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Hansen p = 1.00 (instrument proliferation, 57 instr./8 groups → unreliable); AR(2) p = .60</w:t>
            </w:r>
          </w:p>
        </w:tc>
      </w:tr>
      <w:tr w:rsidR="00F04928" w14:paraId="5DDCB2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IV (2SLS: mobile/broadband)</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-0.018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+0.081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Effect insignificant under IV</w:t>
            </w:r>
          </w:p>
        </w:tc>
      </w:tr>
      <w:tr w:rsidR="00F04928" w14:paraId="660600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Excl. Kazakhstan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-0.084***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+0.011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Drop largest economy</w:t>
            </w:r>
          </w:p>
        </w:tc>
      </w:tr>
      <w:tr w:rsidR="00F04928" w14:paraId="60C9F0F3"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Central Asia subsample (N = 30)</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-0.026**</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+0.027</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Focus region</w:t>
            </w:r>
          </w:p>
        </w:tc>
      </w:tr>
    </w:tbl>
    <w:p w14:paraId="3E2D88CC" w14:textId="77777777" w:rsidR="00F04928" w:rsidRPr="00C25708" w:rsidRDefault="00000000">
      <w:pPr>
        <w:spacing w:before="100" w:after="260"/>
        <w:rPr>
          <w:lang w:val="en-US"/>
        </w:rPr>
      </w:pPr>
      <w:r w:rsidRPr="00C25708">
        <w:rPr>
          <w:i/>
          <w:iCs/>
          <w:sz w:val="20"/>
          <w:szCs w:val="20"/>
          <w:lang w:val="en-US"/>
        </w:rPr>
        <w:t>Note. Each cell reports the DFS coefficient from a separate regression with the full control set and country and year effects, unless otherwise noted. *p &lt; .10, **p &lt; .05, ***p &lt; .01. Because the IV and system-GMM estimates are statistically insignificant, the fixed-effects results should be read as descriptive associations, not causal effects; the paper does not claim that DFS causes formalization.</w:t>
      </w:r>
    </w:p>
    <w:p>
      <w:r>
        <w:t>Diagnostic tests support these estimation choices. A Hausman test rejects random effects in favour of fixed effects (χ² = 14.9, p = .02). Pesaran's CD test indicates cross-sectional dependence (CD = −2.20, p = .03), and the residuals show first-order serial correlation (ρ ≈ 0.57, p &lt; .001) and groupwise heteroskedasticity (country residual-variance ratio ≈ 8); we therefore report country-clustered and Driscoll–Kraay standard errors throughout. Variance-inflation factors are low for digital-payment usage (VIF = 1.6) but elevated for GDP per capita (15.9) and remittances (13.8), reflecting their mutual collinearity. Because the DIGPAY VIF is low, the coefficient of interest is not itself inflated; the high collinearity among the income-related controls is, however, one reason the DIGPAY estimate is sensitive to their inclusion (Table 5).</w:t>
      </w:r>
    </w:p>
    <w:p w14:paraId="73E5D0E0" w14:textId="77777777" w:rsidR="00F04928" w:rsidRPr="00C25708" w:rsidRDefault="00000000">
      <w:pPr>
        <w:pStyle w:val="2"/>
        <w:spacing w:before="280" w:after="160" w:line="480" w:lineRule="auto"/>
        <w:rPr>
          <w:lang w:val="en-US"/>
        </w:rPr>
      </w:pPr>
      <w:r w:rsidRPr="00C25708">
        <w:rPr>
          <w:b/>
          <w:bCs/>
          <w:i/>
          <w:iCs/>
          <w:lang w:val="en-US"/>
        </w:rPr>
        <w:t>5.5 Cash Channel and Institutional Complementarity</w:t>
      </w:r>
    </w:p>
    <w:p w14:paraId="528B0840" w14:textId="77777777" w:rsidR="00F04928" w:rsidRPr="00C25708" w:rsidRDefault="00000000">
      <w:pPr>
        <w:spacing w:after="200" w:line="480" w:lineRule="auto"/>
        <w:jc w:val="both"/>
        <w:rPr>
          <w:lang w:val="en-US"/>
        </w:rPr>
      </w:pPr>
      <w:r w:rsidRPr="00C25708">
        <w:rPr>
          <w:lang w:val="en-US"/>
        </w:rPr>
        <w:t>We originally hypothesised that reduced cash intensity mediates the DFS–informality association. However, a consistent currency-to-broad-money series was unavailable for this sample, so we do not test the mediation channel; it remains an important avenue for future research when data become available. For institutional complementarity (H2), the interaction DIGPAY × INST is negative for the shadow economy but statistically insignificant, and a squared interaction term is also insignificant, as is the interaction in the tax equation. We therefore find no evidence that stronger institutions amplify the association and advance no complementarity claim; Figure 2 confirms that the marginal effect of DFS is not distinguishable from zero over most of the observed institutional range.</w:t>
      </w:r>
      <w:r w:rsidRPr="00C25708">
        <w:rPr>
          <w:lang w:val="en-US"/>
        </w:rPr>
      </w:r>
    </w:p>
    <w:p w14:paraId="3AC8683A" w14:textId="77777777" w:rsidR="00F04928" w:rsidRPr="00C25708" w:rsidRDefault="00000000">
      <w:pPr>
        <w:pStyle w:val="1"/>
        <w:spacing w:before="360" w:after="200" w:line="480" w:lineRule="auto"/>
        <w:rPr>
          <w:lang w:val="en-US"/>
        </w:rPr>
      </w:pPr>
      <w:r w:rsidRPr="00C25708">
        <w:rPr>
          <w:b/>
          <w:bCs/>
          <w:sz w:val="28"/>
          <w:szCs w:val="28"/>
          <w:lang w:val="en-US"/>
        </w:rPr>
        <w:t>6. Discussion</w:t>
      </w:r>
    </w:p>
    <w:p w14:paraId="35533EE8" w14:textId="77777777" w:rsidR="00F04928" w:rsidRPr="00C25708" w:rsidRDefault="00000000">
      <w:pPr>
        <w:spacing w:after="200" w:line="480" w:lineRule="auto"/>
        <w:jc w:val="both"/>
        <w:rPr>
          <w:lang w:val="en-US"/>
        </w:rPr>
      </w:pPr>
      <w:r w:rsidRPr="00C25708">
        <w:rPr>
          <w:lang w:val="en-US"/>
        </w:rPr>
        <w:t>The evidence assembled here is consistent with digital financial services acting as a formalization technology, but it is more qualified than a strong reading would suggest. Deeper DFS penetration is robustly associated with a smaller shadow economy in fixed-effects and Driscoll–Kraay models and across subsamples, conditional on income. That association does not survive as a clean causal estimate: it is insignificant under instrumental-variable and dynamic-panel estimation, is concentrated in the earlier part of the sample, and does not extend to tax revenue. It is therefore best summarized as a robust conditional correlation with suggestive rather than conclusive causal content.</w:t>
      </w:r>
    </w:p>
    <w:p>
      <w:r>
        <w:t>A notable caveat is the temporal instability of the association. The negative DFS–shadow coefficient is present only in the 2011–2015 window and vanishes in 2016–2020. This suggests the effect may be period-specific—possibly reflecting early-stage digitalization, when the marginal informal-to-formal transition was largest, or confounding shocks such as commodity-price volatility. The absence of an effect in 2016–2020 cautions against interpreting DFS as a permanent or structural formalization driver, and longer panels are needed to test whether the pattern is replicated.</w:t>
      </w:r>
    </w:p>
    <w:p>
      <w:r>
        <w:t>When the sample is restricted to the three Central Asian republics with DGE estimates (Kazakhstan, the Kyrgyz Republic, Tajikistan), the negative DFS–shadow association remains statistically significant (−0.026, p &lt; .05), though smaller than in the full eight-country panel. The association therefore holds within the focal region, but its economic size is modest—plausibly reflecting narrower cross-country variation or the region's specific institutional and economic characteristics.</w:t>
      </w:r>
    </w:p>
    <w:p>
      <w:r>
        <w:t>Why might the association be conditional, early, and non-causal? Three interpretations are consistent with the data. First, the transition context matters: much of the 2011–2015 decline in informality coincided with the first, largest wave of account and payment adoption, when the marginal cash-to-digital transition was most consequential; later gains are intensive-margin and less visible in aggregate output. Second, the absence of a tax-revenue effect and of an institutional interaction suggests that traceability alone does not mechanically raise compliance: without enforcement capacity, the information that digital payments generate is not converted into revenue—consistent with the view that technology complements, but cannot substitute for, institutional capability. Third, the insignificance of the IV and GMM estimates is itself informative: it cautions that part of the fixed-effects association may reflect broader modernization trends that co-move with both digitalization and formalization, which aggregate data cannot fully separate. These readings point to firm- and transaction-level evidence as the necessary next step.</w:t>
      </w:r>
    </w:p>
    <w:p w14:paraId="55A108D8" w14:textId="77777777" w:rsidR="00F04928" w:rsidRPr="00C25708" w:rsidRDefault="00000000">
      <w:pPr>
        <w:spacing w:after="200" w:line="480" w:lineRule="auto"/>
        <w:jc w:val="both"/>
        <w:rPr>
          <w:lang w:val="en-US"/>
        </w:rPr>
      </w:pPr>
      <w:r w:rsidRPr="00C25708">
        <w:rPr>
          <w:lang w:val="en-US"/>
        </w:rPr>
        <w:t>The mechanism evidence is limited. The cash channel could not be tested for want of a cash-intensity series, and the DFS × institutions interaction that would indicate complementarity is statistically insignificant. We accordingly refrain from the stronger mechanism and complementarity claims and treat them as open questions. Two data limitations reinforce this caution: the shadow economy is model-based, so measurement error—if largely classical—attenuates coefficients toward zero and the true association may be somewhat larger than estimated; and DGE estimates are unavailable for Uzbekistan and Turkmenistan, so the analysis rests on eight economies with complete data, the three DGE-covered Central Asian republics being examined as a subsample.</w:t>
      </w:r>
    </w:p>
    <w:p w14:paraId="1DDD3A03" w14:textId="77777777" w:rsidR="00F04928" w:rsidRPr="00C25708" w:rsidRDefault="00000000">
      <w:pPr>
        <w:spacing w:after="200" w:line="480" w:lineRule="auto"/>
        <w:jc w:val="both"/>
        <w:rPr>
          <w:lang w:val="en-US"/>
        </w:rPr>
      </w:pPr>
      <w:r w:rsidRPr="00C25708">
        <w:rPr>
          <w:lang w:val="en-US"/>
        </w:rPr>
        <w:lastRenderedPageBreak/>
        <w:t>The findings also speak to the region's political economy and to the strategic calculus of firms operating within it. Because the Kyrgyz Republic and Tajikistan are heavily remittance-dependent, the digitalization of cross-border transfers is a particularly promising margin: shifting remittances from informal hawala-type channels to regulated digital corridors both formalizes flows and creates records that support household access to credit, expanding the addressable customer base for remittance-linked financial products. In the resource exporters, by contrast, the tax dividend from formalization is smaller relative to hydrocarbon revenue but may matter more for the resilience and diversification of the non-oil tax base, and correspondingly more for the growth of the SME lending market that a broader formal sector makes possible.</w:t>
      </w:r>
    </w:p>
    <w:p w14:paraId="4B073C03" w14:textId="77777777" w:rsidR="00F04928" w:rsidRPr="00C25708" w:rsidRDefault="00000000">
      <w:pPr>
        <w:pStyle w:val="1"/>
        <w:spacing w:before="360" w:after="200" w:line="480" w:lineRule="auto"/>
        <w:rPr>
          <w:lang w:val="en-US"/>
        </w:rPr>
      </w:pPr>
      <w:r w:rsidRPr="00C25708">
        <w:rPr>
          <w:b/>
          <w:bCs/>
          <w:sz w:val="28"/>
          <w:szCs w:val="28"/>
          <w:lang w:val="en-US"/>
        </w:rPr>
        <w:t>7. Theoretical Contributions</w:t>
      </w:r>
    </w:p>
    <w:p w14:paraId="6F961E65" w14:textId="77777777" w:rsidR="00F04928" w:rsidRPr="00C25708" w:rsidRDefault="00000000">
      <w:pPr>
        <w:spacing w:after="200" w:line="480" w:lineRule="auto"/>
        <w:jc w:val="both"/>
        <w:rPr>
          <w:lang w:val="en-US"/>
        </w:rPr>
      </w:pPr>
      <w:r w:rsidRPr="00C25708">
        <w:rPr>
          <w:lang w:val="en-US"/>
        </w:rPr>
        <w:t>This study's contribution to theory is to apply institutional-voids logic (Khanna &amp; Palepu, 2010; Meyer et al., 2009) to the digital-finance context rather than to claim a wholesale extension of it. The pattern we document—deeper shared payment infrastructure accompanying a smaller informal sector, conditional on income—is consistent with the idea that digital rails can partially substitute for firm-specific institutional bridging by generating verifiable information as a by-product of transacting. While our aggregate design cannot directly test this firm-level mechanism, the aggregate patterns are consistent with the institutional-voids-filling interpretation.</w:t>
      </w:r>
    </w:p>
    <w:p w14:paraId="6D190AB1" w14:textId="77777777" w:rsidR="00F04928" w:rsidRPr="00C25708" w:rsidRDefault="00000000">
      <w:pPr>
        <w:spacing w:after="200" w:line="480" w:lineRule="auto"/>
        <w:jc w:val="both"/>
        <w:rPr>
          <w:lang w:val="en-US"/>
        </w:rPr>
      </w:pPr>
      <w:r w:rsidRPr="00C25708">
        <w:rPr>
          <w:lang w:val="en-US"/>
        </w:rPr>
        <w:t>At the same time, we do not find the institutional-complementarity effect that a stronger version of the argument would predict: the DFS × institutions interaction is statistically insignificant in our data. Whether complementarity emerges with richer data, longer panels, or firm-level evidence is an open and testable question, and we flag it as a priority for future international-business research.</w:t>
      </w:r>
      <w:r w:rsidRPr="00C25708">
        <w:rPr>
          <w:lang w:val="en-US"/>
        </w:rPr>
      </w:r>
    </w:p>
    <w:p w14:paraId="74BC07D5" w14:textId="77777777" w:rsidR="00F04928" w:rsidRPr="00C25708" w:rsidRDefault="00000000">
      <w:pPr>
        <w:pStyle w:val="1"/>
        <w:spacing w:before="360" w:after="200" w:line="480" w:lineRule="auto"/>
        <w:rPr>
          <w:lang w:val="en-US"/>
        </w:rPr>
      </w:pPr>
      <w:r w:rsidRPr="00C25708">
        <w:rPr>
          <w:b/>
          <w:bCs/>
          <w:sz w:val="28"/>
          <w:szCs w:val="28"/>
          <w:lang w:val="en-US"/>
        </w:rPr>
        <w:t>8. Policy and Managerial Implications</w:t>
      </w:r>
    </w:p>
    <w:p w14:paraId="6C8566FE" w14:textId="77777777" w:rsidR="00F04928" w:rsidRPr="00C25708" w:rsidRDefault="00000000">
      <w:pPr>
        <w:pStyle w:val="2"/>
        <w:spacing w:before="280" w:after="160" w:line="480" w:lineRule="auto"/>
        <w:rPr>
          <w:lang w:val="en-US"/>
        </w:rPr>
      </w:pPr>
      <w:r w:rsidRPr="00C25708">
        <w:rPr>
          <w:b/>
          <w:bCs/>
          <w:i/>
          <w:iCs/>
          <w:lang w:val="en-US"/>
        </w:rPr>
        <w:t>8.1 Implications for Tax Administrations and Policymakers</w:t>
      </w:r>
    </w:p>
    <w:p w14:paraId="54CD1EC6" w14:textId="77777777" w:rsidR="00F04928" w:rsidRPr="00C25708" w:rsidRDefault="00000000">
      <w:pPr>
        <w:spacing w:after="200" w:line="480" w:lineRule="auto"/>
        <w:jc w:val="both"/>
        <w:rPr>
          <w:lang w:val="en-US"/>
        </w:rPr>
      </w:pPr>
      <w:r w:rsidRPr="00C25708">
        <w:rPr>
          <w:lang w:val="en-US"/>
        </w:rPr>
        <w:t>Our results do not support the hypothesis that stronger institutions amplify the DFS–formalization association, and we find no evidence that DFS raises tax revenue. Consequently, policymakers should not assume that investments in DFS will automatically yield larger returns where institutions are better, or that they will mechanically broaden the tax base. The primary implications are narrower: (i) interoperability and merchant digitization may be important prerequisites for transaction traceability, though neither is directly tested in our data; (ii) consumer protection, data privacy, and reliable connectivity build the trust that sustains digital adoption; and (iii) remittance digitalization in migrant-sending economies offers a promising route to increase the financial visibility of previously cash-based flows. Because we do not find a tax-revenue effect, DFS is best treated as a source of information that tax administrations must independently pair with enforcement capacity to convert visibility into compliance.</w:t>
      </w:r>
      <w:r w:rsidRPr="00C25708">
        <w:rPr>
          <w:lang w:val="en-US"/>
        </w:rPr>
      </w:r>
    </w:p>
    <w:p w14:paraId="5C227F8C" w14:textId="77777777" w:rsidR="00F04928" w:rsidRPr="00C25708" w:rsidRDefault="00000000">
      <w:pPr>
        <w:pStyle w:val="2"/>
        <w:spacing w:before="280" w:after="160" w:line="480" w:lineRule="auto"/>
        <w:rPr>
          <w:lang w:val="en-US"/>
        </w:rPr>
      </w:pPr>
      <w:r w:rsidRPr="00C25708">
        <w:rPr>
          <w:b/>
          <w:bCs/>
          <w:i/>
          <w:iCs/>
          <w:lang w:val="en-US"/>
        </w:rPr>
        <w:t>8.2 Implications for Financial-Sector Managers and Firms</w:t>
      </w:r>
    </w:p>
    <w:p w14:paraId="32841419" w14:textId="77777777" w:rsidR="00F04928" w:rsidRPr="00C25708" w:rsidRDefault="00000000">
      <w:pPr>
        <w:spacing w:after="200" w:line="480" w:lineRule="auto"/>
        <w:jc w:val="both"/>
        <w:rPr>
          <w:lang w:val="en-US"/>
        </w:rPr>
      </w:pPr>
      <w:r w:rsidRPr="00C25708">
        <w:rPr>
          <w:lang w:val="en-US"/>
        </w:rPr>
        <w:t>The findings also carry implications for banks, fintech firms, and payment-network operators. Although we find no evidence of institutional complementarity, firms should still calibrate market entry to local institutional conditions—not because institutions amplify the DFS effect, but because thin institutions affect overall business risk and payment-system reliability independently of DFS penetration. As DFS adoption reduces cash intensity, previously invisible microenterprises and households become more identifiable, which can expand the addressable market for formal financial services over time, and interoperable, open payment standards enlarge that market rather than fragmenting it. The remittance-digitization opportunity in the migrant-sending economies is a concrete product-strategy implication, converting informal transfers into recorded flows that can support household credit histories.</w:t>
      </w:r>
    </w:p>
    <w:p w14:paraId="1003CEB0" w14:textId="77777777" w:rsidR="00F04928" w:rsidRPr="00C25708" w:rsidRDefault="00000000">
      <w:pPr>
        <w:pStyle w:val="1"/>
        <w:spacing w:before="360" w:after="200" w:line="480" w:lineRule="auto"/>
        <w:rPr>
          <w:lang w:val="en-US"/>
        </w:rPr>
      </w:pPr>
      <w:r w:rsidRPr="00C25708">
        <w:rPr>
          <w:b/>
          <w:bCs/>
          <w:sz w:val="28"/>
          <w:szCs w:val="28"/>
          <w:lang w:val="en-US"/>
        </w:rPr>
        <w:lastRenderedPageBreak/>
        <w:t>9. Conclusion</w:t>
      </w:r>
    </w:p>
    <w:p w14:paraId="7D1CF3FA" w14:textId="77777777" w:rsidR="00F04928" w:rsidRPr="00C25708" w:rsidRDefault="00000000">
      <w:pPr>
        <w:spacing w:after="200" w:line="480" w:lineRule="auto"/>
        <w:jc w:val="both"/>
        <w:rPr>
          <w:lang w:val="en-US"/>
        </w:rPr>
      </w:pPr>
      <w:r w:rsidRPr="00C25708">
        <w:rPr>
          <w:lang w:val="en-US"/>
        </w:rPr>
        <w:t>This study asked whether the diffusion of digital financial services has accompanied a smaller shadow economy across post-Soviet transition economies, with Central Asia as the focal region. Using an annual panel of eight economies (2011–2020), digital-payment usage is robustly associated with a smaller informal sector in fixed-effects and Driscoll–Kraay models, conditional on income, but the association is concentrated in the earlier part of the sample, does not extend to tax revenue, and is statistically insignificant under instrumental-variable and system-GMM estimation. The evidence is consistent with a correlation, but the absence of robust IV/GMM results means we cannot rule out omitted-variable or reverse-causality explanations; no causal claim is advanced, and the formalization hypothesis remains to be tested with stronger identification. Theoretically, the study applies institutional-voids logic to a technology-mediated account of formalization; the evidence is consistent with, but does not establish, digital infrastructure and institutional capacity acting as complements—indeed we find no significant interaction between them.</w:t>
      </w:r>
    </w:p>
    <w:p w14:paraId="5AC8A6F2" w14:textId="77777777" w:rsidR="00F04928" w:rsidRPr="00C25708" w:rsidRDefault="00000000">
      <w:pPr>
        <w:pStyle w:val="1"/>
        <w:spacing w:before="360" w:after="200" w:line="480" w:lineRule="auto"/>
        <w:rPr>
          <w:lang w:val="en-US"/>
        </w:rPr>
      </w:pPr>
      <w:r w:rsidRPr="00C25708">
        <w:rPr>
          <w:b/>
          <w:bCs/>
          <w:sz w:val="28"/>
          <w:szCs w:val="28"/>
          <w:lang w:val="en-US"/>
        </w:rPr>
        <w:t>10. Limitations and Directions for Future Research</w:t>
      </w:r>
    </w:p>
    <w:p w14:paraId="5EB965C2" w14:textId="77777777" w:rsidR="00F04928" w:rsidRDefault="00000000">
      <w:pPr>
        <w:spacing w:after="200" w:line="480" w:lineRule="auto"/>
        <w:jc w:val="both"/>
      </w:pPr>
      <w:r w:rsidRPr="00C25708">
        <w:rPr>
          <w:lang w:val="en-US"/>
        </w:rPr>
        <w:t>Several limitations qualify these conclusions and point to future work. The modest cross-sectional dimension (eight economies) limits statistical power and, as discussed in Section 4.4, makes the system-GMM results illustrative rather than definitive; the addition of subnational or firm-level data, or longer panels, would materially strengthen inference. Shadow-economy figures are themselves model-based estimates subject to measurement error, and DGE estimates are unavailable for Uzbekistan and Turkmenistan. While our identification strategy addresses the leading endogeneity concerns, definitive causal claims would benefit from policy experiments or the staggered rollout of instant-payment systems as natural experiments. Future research could exploit administrative tax and payment micro-data, examine distributional consequences, test the institutional-voids mechanism directly with firm-level survey data (Polese et al., 2023), and assess whether the early-period association is replicated in longer panels.</w:t>
      </w:r>
      <w:r w:rsidRPr="00C25708">
        <w:rPr>
          <w:lang w:val="en-US"/>
        </w:rP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r>
        <w:t>Appendix A. Supplementary analyses.</w:t>
      </w:r>
    </w:p>
    <w:p>
      <w:r>
        <w:t>Figure A1 (directed acyclic graph). Simplified causal diagram for the baseline specification: DFS → SHADOW; GDP per capita → DFS and GDP per capita → SHADOW; INST → SHADOW; OPEN → SHADOW. MOBILE, REMIT, and INFL are included as additional controls but are not assumed to lie on the primary causal pathway; consistent with this, Table 8 shows the DFS coefficient is essentially unchanged when they are added or removed.</w:t>
      </w:r>
    </w:p>
    <w:p>
      <w:r>
        <w:t>The difference-in-differences design outlined in Section 4.4 requires coded reform dates that are not yet available; consistent with the position taken throughout this revision, no illustrative numbers are reported in its place.</w:t>
      </w:r>
    </w:p>
    <w:p w14:paraId="0981A723" w14:textId="77777777" w:rsidR="00F04928" w:rsidRPr="00C25708" w:rsidRDefault="00000000">
      <w:pPr>
        <w:pStyle w:val="1"/>
        <w:spacing w:before="360" w:after="200" w:line="480" w:lineRule="auto"/>
        <w:rPr>
          <w:lang w:val="en-US"/>
        </w:rPr>
      </w:pPr>
      <w:r w:rsidRPr="00C25708">
        <w:rPr>
          <w:b/>
          <w:bCs/>
          <w:sz w:val="28"/>
          <w:szCs w:val="28"/>
          <w:lang w:val="en-US"/>
        </w:rPr>
        <w:t>Declaration of Conflicting Interests</w:t>
      </w:r>
    </w:p>
    <w:p w14:paraId="4DF58D28" w14:textId="77777777" w:rsidR="00F04928" w:rsidRPr="00C25708" w:rsidRDefault="00000000">
      <w:pPr>
        <w:spacing w:after="200" w:line="480" w:lineRule="auto"/>
        <w:jc w:val="both"/>
        <w:rPr>
          <w:lang w:val="en-US"/>
        </w:rPr>
      </w:pPr>
      <w:r w:rsidRPr="00C25708">
        <w:rPr>
          <w:i/>
          <w:iCs/>
          <w:color w:val="C00000"/>
          <w:lang w:val="en-US"/>
        </w:rPr>
      </w:r>
      <w:r w:rsidRPr="00C25708">
        <w:rPr>
          <w:lang w:val="en-US"/>
        </w:rPr>
        <w:t>The author(s) declared no potential conflicts of interest with respect to the research, authorship, and/or publication of this article.</w:t>
      </w:r>
    </w:p>
    <w:p w14:paraId="60350E26" w14:textId="77777777" w:rsidR="00F04928" w:rsidRPr="00C25708" w:rsidRDefault="00000000">
      <w:pPr>
        <w:pStyle w:val="1"/>
        <w:spacing w:before="360" w:after="200" w:line="480" w:lineRule="auto"/>
        <w:rPr>
          <w:lang w:val="en-US"/>
        </w:rPr>
      </w:pPr>
      <w:r w:rsidRPr="00C25708">
        <w:rPr>
          <w:b/>
          <w:bCs/>
          <w:sz w:val="28"/>
          <w:szCs w:val="28"/>
          <w:lang w:val="en-US"/>
        </w:rPr>
        <w:t>Funding</w:t>
      </w:r>
    </w:p>
    <w:p w14:paraId="6E6CA0BE" w14:textId="77777777" w:rsidR="00F04928" w:rsidRPr="00C25708" w:rsidRDefault="00000000">
      <w:pPr>
        <w:spacing w:after="200" w:line="480" w:lineRule="auto"/>
        <w:jc w:val="both"/>
        <w:rPr>
          <w:lang w:val="en-US"/>
        </w:rPr>
      </w:pPr>
      <w:r w:rsidRPr="00C25708">
        <w:rPr>
          <w:i/>
          <w:iCs/>
          <w:color w:val="C00000"/>
          <w:lang w:val="en-US"/>
        </w:rPr>
      </w:r>
      <w:r w:rsidRPr="00C25708">
        <w:rPr>
          <w:lang w:val="en-US"/>
        </w:rPr>
        <w:t>The author(s) received no financial support for the research, authorship, and/or publication of this article.</w:t>
      </w:r>
    </w:p>
    <w:p w14:paraId="585F8A2A" w14:textId="77777777" w:rsidR="00F04928" w:rsidRPr="00C25708" w:rsidRDefault="00000000">
      <w:pPr>
        <w:pStyle w:val="1"/>
        <w:spacing w:before="360" w:after="200" w:line="480" w:lineRule="auto"/>
        <w:rPr>
          <w:lang w:val="en-US"/>
        </w:rPr>
      </w:pPr>
      <w:r w:rsidRPr="00C25708">
        <w:rPr>
          <w:b/>
          <w:bCs/>
          <w:sz w:val="28"/>
          <w:szCs w:val="28"/>
          <w:lang w:val="en-US"/>
        </w:rPr>
        <w:t>Data Availability Statement</w:t>
      </w:r>
    </w:p>
    <w:p w14:paraId="644451E2" w14:textId="77777777" w:rsidR="00F04928" w:rsidRPr="00C25708" w:rsidRDefault="00000000">
      <w:pPr>
        <w:spacing w:after="200" w:line="480" w:lineRule="auto"/>
        <w:jc w:val="both"/>
        <w:rPr>
          <w:lang w:val="en-US"/>
        </w:rPr>
      </w:pPr>
      <w:r w:rsidRPr="00C25708">
        <w:rPr>
          <w:lang w:val="en-US"/>
        </w:rPr>
        <w:t>The data supporting the findings of this study are derived from publicly available sources, including the World Bank World Development Indicators and Global Findex database, the World Bank informal-economy database, the IMF Financial Access Survey and World Revenue Longitudinal Dataset, and the Worldwide Governance Indicators. The compiled dataset and replication code are available from the corresponding author on reasonable request.</w:t>
      </w:r>
    </w:p>
    <w:p w14:paraId="2C064922" w14:textId="77777777" w:rsidR="00F04928" w:rsidRPr="00C25708" w:rsidRDefault="00000000">
      <w:pPr>
        <w:pStyle w:val="1"/>
        <w:spacing w:before="360" w:after="200" w:line="480" w:lineRule="auto"/>
        <w:rPr>
          <w:lang w:val="en-US"/>
        </w:rPr>
      </w:pPr>
      <w:r w:rsidRPr="00C25708">
        <w:rPr>
          <w:b/>
          <w:bCs/>
          <w:sz w:val="28"/>
          <w:szCs w:val="28"/>
          <w:lang w:val="en-US"/>
        </w:rPr>
        <w:lastRenderedPageBreak/>
        <w:t>References</w:t>
      </w:r>
    </w:p>
    <w:p w14:paraId="083064C3" w14:textId="77777777" w:rsidR="00F04928" w:rsidRPr="00C25708" w:rsidRDefault="00000000">
      <w:pPr>
        <w:spacing w:after="160" w:line="276" w:lineRule="auto"/>
        <w:ind w:left="360" w:hanging="360"/>
        <w:jc w:val="both"/>
        <w:rPr>
          <w:lang w:val="en-US"/>
        </w:rPr>
      </w:pPr>
      <w:r w:rsidRPr="00C25708">
        <w:rPr>
          <w:lang w:val="en-US"/>
        </w:rPr>
        <w:t>Ameer, W., Sohag, K., Zhan, Q., Shah, S. H., &amp; Yongjia, Z. (2025). Do financial development and institutional quality impede or stimulate the shadow economy? A comparative analysis of developed and developing countries. Humanities and Social Sciences Communications, 12, Article 17. https://doi.org/10.1057/s41599-024-04347-w</w:t>
      </w:r>
    </w:p>
    <w:p w14:paraId="43964449" w14:textId="77777777" w:rsidR="00F04928" w:rsidRPr="00C25708" w:rsidRDefault="00000000">
      <w:pPr>
        <w:spacing w:after="160" w:line="276" w:lineRule="auto"/>
        <w:ind w:left="360" w:hanging="360"/>
        <w:jc w:val="both"/>
        <w:rPr>
          <w:lang w:val="en-US"/>
        </w:rPr>
      </w:pPr>
      <w:r w:rsidRPr="00C25708">
        <w:rPr>
          <w:lang w:val="en-US"/>
        </w:rPr>
        <w:t>Awasthi, R., &amp; Engelschalk, M. (2018). Taxation and the shadow economy: How the tax system can stimulate and enforce the formalization of business activities (Policy Research Working Paper No. 8391). World Bank. https://doi.org/10.1596/1813-9450-8391</w:t>
      </w:r>
    </w:p>
    <w:p w14:paraId="76C68E3E" w14:textId="77777777" w:rsidR="00F04928" w:rsidRPr="00C25708" w:rsidRDefault="00000000">
      <w:pPr>
        <w:spacing w:after="160" w:line="276" w:lineRule="auto"/>
        <w:ind w:left="360" w:hanging="360"/>
        <w:jc w:val="both"/>
        <w:rPr>
          <w:lang w:val="en-US"/>
        </w:rPr>
      </w:pPr>
      <w:r w:rsidRPr="00C25708">
        <w:rPr>
          <w:lang w:val="en-US"/>
        </w:rPr>
        <w:t>Beck, T., Pamuk, H., Ramrattan, R., &amp; Uras, B. R. (2018). Payment instruments, finance and development. Journal of Development Economics, 133, 162–186. https://doi.org/10.1016/j.jdeveco.2018.01.005</w:t>
      </w:r>
    </w:p>
    <w:p w14:paraId="3A4BC5AD" w14:textId="77777777" w:rsidR="00F04928" w:rsidRPr="00C25708" w:rsidRDefault="00000000">
      <w:pPr>
        <w:spacing w:after="160" w:line="276" w:lineRule="auto"/>
        <w:ind w:left="360" w:hanging="360"/>
        <w:jc w:val="both"/>
        <w:rPr>
          <w:lang w:val="en-US"/>
        </w:rPr>
      </w:pPr>
      <w:r w:rsidRPr="00C25708">
        <w:rPr>
          <w:lang w:val="en-US"/>
        </w:rPr>
        <w:t>Berg, G., Guadamillas, M., Natarajan, H., &amp; Sarkar, A. (2020). Fintech in Europe and Central Asia: Maximizing benefits and managing risks. World Bank.</w:t>
      </w:r>
    </w:p>
    <w:p w14:paraId="07EB6015" w14:textId="77777777" w:rsidR="00F04928" w:rsidRPr="00C25708" w:rsidRDefault="00000000">
      <w:pPr>
        <w:spacing w:after="160" w:line="276" w:lineRule="auto"/>
        <w:ind w:left="360" w:hanging="360"/>
        <w:jc w:val="both"/>
        <w:rPr>
          <w:lang w:val="en-US"/>
        </w:rPr>
      </w:pPr>
      <w:r w:rsidRPr="00C25708">
        <w:rPr>
          <w:lang w:val="en-US"/>
        </w:rPr>
        <w:t>Bittencourt, M., Gupta, R., &amp; Stander, L. (2014). Tax evasion, financial development and inflation: Theory and empirical evidence. Journal of Banking &amp; Finance, 41, 194–208. https://doi.org/10.1016/j.jbankfin.2014.01.009</w:t>
      </w:r>
    </w:p>
    <w:p w14:paraId="6BD1BE1F" w14:textId="77777777" w:rsidR="00F04928" w:rsidRPr="00C25708" w:rsidRDefault="00000000">
      <w:pPr>
        <w:spacing w:after="160" w:line="276" w:lineRule="auto"/>
        <w:ind w:left="360" w:hanging="360"/>
        <w:jc w:val="both"/>
        <w:rPr>
          <w:lang w:val="en-US"/>
        </w:rPr>
      </w:pPr>
      <w:r w:rsidRPr="00C25708">
        <w:rPr>
          <w:lang w:val="en-US"/>
        </w:rPr>
        <w:t>Blundell, R., &amp; Bond, S. (1998). Initial conditions and moment restrictions in dynamic panel data models. Journal of Econometrics, 87(1), 115–143. https://doi.org/10.1016/S0304-4076(98)00009-8</w:t>
      </w:r>
    </w:p>
    <w:p w14:paraId="6877A9D0" w14:textId="77777777" w:rsidR="00F04928" w:rsidRPr="00C25708" w:rsidRDefault="00000000">
      <w:pPr>
        <w:spacing w:after="160" w:line="276" w:lineRule="auto"/>
        <w:ind w:left="360" w:hanging="360"/>
        <w:jc w:val="both"/>
        <w:rPr>
          <w:lang w:val="en-US"/>
        </w:rPr>
      </w:pPr>
      <w:r w:rsidRPr="00C25708">
        <w:rPr>
          <w:lang w:val="en-US"/>
        </w:rPr>
        <w:t>Capasso, S., &amp; Jappelli, T. (2013). Financial development and the underground economy. Journal of Development Economics, 101, 167–178. https://doi.org/10.1016/j.jdeveco.2012.10.005</w:t>
      </w:r>
    </w:p>
    <w:p w14:paraId="51BA88D2" w14:textId="77777777" w:rsidR="00F04928" w:rsidRPr="00C25708" w:rsidRDefault="00000000">
      <w:pPr>
        <w:spacing w:after="160" w:line="276" w:lineRule="auto"/>
        <w:ind w:left="360" w:hanging="360"/>
        <w:jc w:val="both"/>
        <w:rPr>
          <w:lang w:val="en-US"/>
        </w:rPr>
      </w:pPr>
      <w:r w:rsidRPr="00C25708">
        <w:rPr>
          <w:lang w:val="en-US"/>
        </w:rPr>
        <w:t>Demirgüç-Kunt, A., Klapper, L., Singer, D., &amp; Ansar, S. (2022). The Global Findex Database 2021: Financial inclusion, digital payments, and resilience in the age of COVID-19. World Bank. https://doi.org/10.1596/978-1-4648-1897-4</w:t>
      </w:r>
    </w:p>
    <w:p w14:paraId="7C1FCE95" w14:textId="77777777" w:rsidR="00F04928" w:rsidRPr="00C25708" w:rsidRDefault="00000000">
      <w:pPr>
        <w:spacing w:after="160" w:line="276" w:lineRule="auto"/>
        <w:ind w:left="360" w:hanging="360"/>
        <w:jc w:val="both"/>
        <w:rPr>
          <w:lang w:val="en-US"/>
        </w:rPr>
      </w:pPr>
      <w:r w:rsidRPr="00C25708">
        <w:rPr>
          <w:lang w:val="en-US"/>
        </w:rPr>
        <w:t>Elgin, C., Kose, M. A., Ohnsorge, F., &amp; Yu, S. (2021). Understanding informality (CEPR Discussion Paper No. 16497). Centre for Economic Policy Research.</w:t>
      </w:r>
    </w:p>
    <w:p w14:paraId="6B45125A" w14:textId="77777777" w:rsidR="00F04928" w:rsidRPr="00C25708" w:rsidRDefault="00000000">
      <w:pPr>
        <w:spacing w:after="160" w:line="276" w:lineRule="auto"/>
        <w:ind w:left="360" w:hanging="360"/>
        <w:jc w:val="both"/>
        <w:rPr>
          <w:lang w:val="en-US"/>
        </w:rPr>
      </w:pPr>
      <w:r w:rsidRPr="00C25708">
        <w:rPr>
          <w:lang w:val="en-US"/>
        </w:rPr>
        <w:t>Gomber, P., Kauffman, R. J., Parker, C., &amp; Weber, B. W. (2018). On the fintech revolution: Interpreting the forces of innovation, disruption, and transformation in financial services. Journal of Management Information Systems, 35(1), 220–265. https://doi.org/10.1080/07421222.2018.1440766</w:t>
      </w:r>
    </w:p>
    <w:p w14:paraId="53DDFA02" w14:textId="77777777" w:rsidR="00F04928" w:rsidRPr="00C25708" w:rsidRDefault="00000000">
      <w:pPr>
        <w:spacing w:after="160" w:line="276" w:lineRule="auto"/>
        <w:ind w:left="360" w:hanging="360"/>
        <w:jc w:val="both"/>
        <w:rPr>
          <w:lang w:val="en-US"/>
        </w:rPr>
      </w:pPr>
      <w:r w:rsidRPr="00C25708">
        <w:rPr>
          <w:lang w:val="en-US"/>
        </w:rPr>
        <w:t>Immordino, G., &amp; Russo, F. F. (2018). Cashless payments and tax evasion. European Journal of Political Economy, 55, 36–43. https://doi.org/10.1016/j.ejpoleco.2017.11.001</w:t>
      </w:r>
    </w:p>
    <w:p w14:paraId="05CD0D8D" w14:textId="77777777" w:rsidR="00F04928" w:rsidRPr="00C25708" w:rsidRDefault="00000000">
      <w:pPr>
        <w:spacing w:after="160" w:line="276" w:lineRule="auto"/>
        <w:ind w:left="360" w:hanging="360"/>
        <w:jc w:val="both"/>
        <w:rPr>
          <w:lang w:val="en-US"/>
        </w:rPr>
      </w:pPr>
      <w:r w:rsidRPr="00C25708">
        <w:rPr>
          <w:lang w:val="en-US"/>
        </w:rPr>
        <w:t>Jack, W., &amp; Suri, T. (2014). Risk sharing and transactions costs: Evidence from Kenya's mobile money revolution. American Economic Review, 104(1), 183–223. https://doi.org/10.1257/aer.104.1.183</w:t>
      </w:r>
    </w:p>
    <w:p w14:paraId="268D8023" w14:textId="77777777" w:rsidR="00F04928" w:rsidRPr="00C25708" w:rsidRDefault="00000000">
      <w:pPr>
        <w:spacing w:after="160" w:line="276" w:lineRule="auto"/>
        <w:ind w:left="360" w:hanging="360"/>
        <w:jc w:val="both"/>
        <w:rPr>
          <w:lang w:val="en-US"/>
        </w:rPr>
      </w:pPr>
      <w:r w:rsidRPr="00C25708">
        <w:rPr>
          <w:lang w:val="en-US"/>
        </w:rPr>
        <w:lastRenderedPageBreak/>
        <w:t>Khanna, T., &amp; Palepu, K. G. (2010). Winning in emerging markets: A road map for strategy and execution. Harvard Business Press.</w:t>
      </w:r>
    </w:p>
    <w:p w14:paraId="1D79951C" w14:textId="77777777" w:rsidR="00F04928" w:rsidRPr="00C25708" w:rsidRDefault="00000000">
      <w:pPr>
        <w:spacing w:after="160" w:line="276" w:lineRule="auto"/>
        <w:ind w:left="360" w:hanging="360"/>
        <w:jc w:val="both"/>
        <w:rPr>
          <w:lang w:val="en-US"/>
        </w:rPr>
      </w:pPr>
      <w:r w:rsidRPr="00C25708">
        <w:rPr>
          <w:lang w:val="en-US"/>
        </w:rPr>
        <w:t>Klapper, L., &amp; Singer, D. (2017). The opportunities and challenges of digitizing government-to-person payments. World Bank Research Observer, 32(2), 211–226. https://doi.org/10.1093/wbro/lkx003</w:t>
      </w:r>
    </w:p>
    <w:p w14:paraId="5C5A1735" w14:textId="77777777" w:rsidR="00F04928" w:rsidRPr="00C25708" w:rsidRDefault="00000000">
      <w:pPr>
        <w:spacing w:after="160" w:line="276" w:lineRule="auto"/>
        <w:ind w:left="360" w:hanging="360"/>
        <w:jc w:val="both"/>
        <w:rPr>
          <w:lang w:val="en-US"/>
        </w:rPr>
      </w:pPr>
      <w:r w:rsidRPr="00C25708">
        <w:rPr>
          <w:lang w:val="en-US"/>
        </w:rPr>
        <w:t>La Porta, R., &amp; Shleifer, A. (2008). The unofficial economy and economic development. Brookings Papers on Economic Activity, 39(2), 275–363.</w:t>
      </w:r>
    </w:p>
    <w:p w14:paraId="07392366" w14:textId="77777777" w:rsidR="00F04928" w:rsidRPr="00C25708" w:rsidRDefault="00000000">
      <w:pPr>
        <w:spacing w:after="160" w:line="276" w:lineRule="auto"/>
        <w:ind w:left="360" w:hanging="360"/>
        <w:jc w:val="both"/>
        <w:rPr>
          <w:lang w:val="en-US"/>
        </w:rPr>
      </w:pPr>
      <w:r w:rsidRPr="00C25708">
        <w:rPr>
          <w:lang w:val="en-US"/>
        </w:rPr>
        <w:t>Madzharova, B. (2014). The impact of cash and card transactions on VAT collection efficiency. In Deutsche Bundesbank (Ed.), The usage, costs and benefits of cash: Theory and evidence from macro and micro data (pp. 521–559). Deutsche Bundesbank.</w:t>
      </w:r>
    </w:p>
    <w:p w14:paraId="360FBD0C" w14:textId="77777777" w:rsidR="00F04928" w:rsidRPr="00C25708" w:rsidRDefault="00000000">
      <w:pPr>
        <w:spacing w:after="160" w:line="276" w:lineRule="auto"/>
        <w:ind w:left="360" w:hanging="360"/>
        <w:jc w:val="both"/>
        <w:rPr>
          <w:lang w:val="en-US"/>
        </w:rPr>
      </w:pPr>
      <w:r w:rsidRPr="00C25708">
        <w:rPr>
          <w:lang w:val="en-US"/>
        </w:rPr>
        <w:t>Medina, L., &amp; Schneider, F. (2018). Shadow economies around the world: What did we learn over the last 20 years? (IMF Working Paper No. 18/17). International Monetary Fund. https://doi.org/10.5089/9781484338636.001</w:t>
      </w:r>
    </w:p>
    <w:p w14:paraId="14D449A8" w14:textId="77777777" w:rsidR="00F04928" w:rsidRPr="00C25708" w:rsidRDefault="00000000">
      <w:pPr>
        <w:spacing w:after="160" w:line="276" w:lineRule="auto"/>
        <w:ind w:left="360" w:hanging="360"/>
        <w:jc w:val="both"/>
        <w:rPr>
          <w:lang w:val="en-US"/>
        </w:rPr>
      </w:pPr>
      <w:r w:rsidRPr="00C25708">
        <w:rPr>
          <w:lang w:val="en-US"/>
        </w:rPr>
        <w:t>Meyer, K. E., Estrin, S., Bhaumik, S. K., &amp; Peng, M. W. (2009). Institutions, resources, and entry strategies in emerging economies. Strategic Management Journal, 30(1), 61–80. https://doi.org/10.1002/smj.720</w:t>
      </w:r>
    </w:p>
    <w:p w14:paraId="2F1A72C5" w14:textId="77777777" w:rsidR="00F04928" w:rsidRPr="00C25708" w:rsidRDefault="00000000">
      <w:pPr>
        <w:spacing w:after="160" w:line="276" w:lineRule="auto"/>
        <w:ind w:left="360" w:hanging="360"/>
        <w:jc w:val="both"/>
        <w:rPr>
          <w:lang w:val="en-US"/>
        </w:rPr>
      </w:pPr>
      <w:r w:rsidRPr="00C25708">
        <w:rPr>
          <w:lang w:val="en-US"/>
        </w:rPr>
        <w:t>North, D. C. (1990). Institutions, institutional change and economic performance. Cambridge University Press.</w:t>
      </w:r>
    </w:p>
    <w:p w14:paraId="24B1C702" w14:textId="77777777" w:rsidR="00F04928" w:rsidRPr="00C25708" w:rsidRDefault="00000000">
      <w:pPr>
        <w:spacing w:after="160" w:line="276" w:lineRule="auto"/>
        <w:ind w:left="360" w:hanging="360"/>
        <w:jc w:val="both"/>
        <w:rPr>
          <w:lang w:val="en-US"/>
        </w:rPr>
      </w:pPr>
      <w:r w:rsidRPr="00C25708">
        <w:rPr>
          <w:lang w:val="en-US"/>
        </w:rPr>
        <w:t>Okunogbe, O., &amp; Santoro, F. (2023). The promise and limitations of information technology for tax mobilization. World Bank Research Observer, 38(2), 295–324. https://doi.org/10.1093/wbro/lkac008</w:t>
      </w:r>
    </w:p>
    <w:p w14:paraId="532C7097" w14:textId="77777777" w:rsidR="00F04928" w:rsidRPr="00C25708" w:rsidRDefault="00000000">
      <w:pPr>
        <w:spacing w:after="160" w:line="276" w:lineRule="auto"/>
        <w:ind w:left="360" w:hanging="360"/>
        <w:jc w:val="both"/>
        <w:rPr>
          <w:lang w:val="en-US"/>
        </w:rPr>
      </w:pPr>
      <w:r w:rsidRPr="00C25708">
        <w:rPr>
          <w:lang w:val="en-US"/>
        </w:rPr>
        <w:t>Oz-Yalaman, G. (2019). Financial inclusion and tax revenue. Central Bank Review, 19(3), 107–113. https://doi.org/10.1016/j.cbrev.2019.08.004</w:t>
      </w:r>
    </w:p>
    <w:p w14:paraId="6AE83B07" w14:textId="77777777" w:rsidR="00F04928" w:rsidRPr="00C25708" w:rsidRDefault="00000000">
      <w:pPr>
        <w:spacing w:after="160" w:line="276" w:lineRule="auto"/>
        <w:ind w:left="360" w:hanging="360"/>
        <w:jc w:val="both"/>
        <w:rPr>
          <w:lang w:val="en-US"/>
        </w:rPr>
      </w:pPr>
      <w:r w:rsidRPr="00C25708">
        <w:rPr>
          <w:lang w:val="en-US"/>
        </w:rPr>
        <w:t>Polese, A., Moisé, G. M., Tokyzhanova, T., Aguzzi, T., Kerikmäe, T., Sagynbaeva, A., Sauka, A., &amp; Seliverstova, O. (2023). Informality versus shadow economy: Reflecting on the first results of a manager's survey in Kyrgyzstan. Central Asian Survey, 42(1), 149–170. https://doi.org/10.1080/02634937.2022.2093328</w:t>
      </w:r>
    </w:p>
    <w:p w14:paraId="6A2D6424" w14:textId="77777777" w:rsidR="00F04928" w:rsidRPr="00C25708" w:rsidRDefault="00000000">
      <w:pPr>
        <w:spacing w:after="160" w:line="276" w:lineRule="auto"/>
        <w:ind w:left="360" w:hanging="360"/>
        <w:jc w:val="both"/>
        <w:rPr>
          <w:lang w:val="en-US"/>
        </w:rPr>
      </w:pPr>
      <w:r w:rsidRPr="00C25708">
        <w:rPr>
          <w:lang w:val="en-US"/>
        </w:rPr>
        <w:t>Rogoff, K. S. (2016). The curse of cash. Princeton University Press.</w:t>
      </w:r>
    </w:p>
    <w:p w14:paraId="6A67A8CB" w14:textId="77777777" w:rsidR="00F04928" w:rsidRPr="00C25708" w:rsidRDefault="00000000">
      <w:pPr>
        <w:spacing w:after="160" w:line="276" w:lineRule="auto"/>
        <w:ind w:left="360" w:hanging="360"/>
        <w:jc w:val="both"/>
        <w:rPr>
          <w:lang w:val="en-US"/>
        </w:rPr>
      </w:pPr>
      <w:r w:rsidRPr="00C25708">
        <w:rPr>
          <w:lang w:val="en-US"/>
        </w:rPr>
        <w:t>Schneider, F., &amp; Enste, D. H. (2000). Shadow economies: Size, causes, and consequences. Journal of Economic Literature, 38(1), 77–114. https://doi.org/10.1257/jel.38.1.77</w:t>
      </w:r>
    </w:p>
    <w:p w14:paraId="25C36D48" w14:textId="77777777" w:rsidR="00F04928" w:rsidRPr="00C25708" w:rsidRDefault="00000000">
      <w:pPr>
        <w:spacing w:after="160" w:line="276" w:lineRule="auto"/>
        <w:ind w:left="360" w:hanging="360"/>
        <w:jc w:val="both"/>
        <w:rPr>
          <w:lang w:val="en-US"/>
        </w:rPr>
      </w:pPr>
      <w:r w:rsidRPr="00C25708">
        <w:rPr>
          <w:lang w:val="en-US"/>
        </w:rPr>
        <w:t>Suri, T., &amp; Jack, W. (2016). The long-run poverty and gender impacts of mobile money. Science, 354(6317), 1288–1292. https://doi.org/10.1126/science.aah5309</w:t>
      </w:r>
    </w:p>
    <w:p w14:paraId="55442E75" w14:textId="77777777" w:rsidR="00F04928" w:rsidRDefault="00000000">
      <w:pPr>
        <w:spacing w:after="160" w:line="276" w:lineRule="auto"/>
        <w:ind w:left="360" w:hanging="360"/>
        <w:jc w:val="both"/>
      </w:pPr>
      <w:r w:rsidRPr="00C25708">
        <w:rPr>
          <w:lang w:val="en-US"/>
        </w:rPr>
        <w:t xml:space="preserve">Torgler, B., &amp; Schneider, F. (2009). The impact of tax morale and institutional quality on the shadow economy. </w:t>
      </w:r>
      <w:r>
        <w:t xml:space="preserve">Journal </w:t>
      </w:r>
      <w:proofErr w:type="spellStart"/>
      <w:r>
        <w:t>of</w:t>
      </w:r>
      <w:proofErr w:type="spellEnd"/>
      <w:r>
        <w:t xml:space="preserve"> Economic </w:t>
      </w:r>
      <w:proofErr w:type="spellStart"/>
      <w:r>
        <w:t>Psychology</w:t>
      </w:r>
      <w:proofErr w:type="spellEnd"/>
      <w:r>
        <w:t>, 30(2), 228–245. https://doi.org/10.1016/j.joep.2008.08.004</w:t>
      </w:r>
    </w:p>
    <w:sectPr w:rsidR="00F04928">
      <w:pgSz w:w="11906" w:h="16838"/>
      <w:pgMar w:top="1440" w:right="1440" w:bottom="1440" w:left="1440" w:header="708" w:footer="708"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1BA7"/>
    <w:multiLevelType w:val="hybridMultilevel"/>
    <w:tmpl w:val="5818031C"/>
    <w:lvl w:ilvl="0" w:tplc="BD5AC23E">
      <w:start w:val="1"/>
      <w:numFmt w:val="bullet"/>
      <w:lvlText w:val="●"/>
      <w:lvlJc w:val="left"/>
      <w:pPr>
        <w:ind w:left="720" w:hanging="360"/>
      </w:pPr>
    </w:lvl>
    <w:lvl w:ilvl="1" w:tplc="5E509792">
      <w:start w:val="1"/>
      <w:numFmt w:val="bullet"/>
      <w:lvlText w:val="○"/>
      <w:lvlJc w:val="left"/>
      <w:pPr>
        <w:ind w:left="1440" w:hanging="360"/>
      </w:pPr>
    </w:lvl>
    <w:lvl w:ilvl="2" w:tplc="35F08826">
      <w:start w:val="1"/>
      <w:numFmt w:val="bullet"/>
      <w:lvlText w:val="■"/>
      <w:lvlJc w:val="left"/>
      <w:pPr>
        <w:ind w:left="2160" w:hanging="360"/>
      </w:pPr>
    </w:lvl>
    <w:lvl w:ilvl="3" w:tplc="9A38E466">
      <w:start w:val="1"/>
      <w:numFmt w:val="bullet"/>
      <w:lvlText w:val="●"/>
      <w:lvlJc w:val="left"/>
      <w:pPr>
        <w:ind w:left="2880" w:hanging="360"/>
      </w:pPr>
    </w:lvl>
    <w:lvl w:ilvl="4" w:tplc="E07205FA">
      <w:start w:val="1"/>
      <w:numFmt w:val="bullet"/>
      <w:lvlText w:val="○"/>
      <w:lvlJc w:val="left"/>
      <w:pPr>
        <w:ind w:left="3600" w:hanging="360"/>
      </w:pPr>
    </w:lvl>
    <w:lvl w:ilvl="5" w:tplc="AA46B41A">
      <w:start w:val="1"/>
      <w:numFmt w:val="bullet"/>
      <w:lvlText w:val="■"/>
      <w:lvlJc w:val="left"/>
      <w:pPr>
        <w:ind w:left="4320" w:hanging="360"/>
      </w:pPr>
    </w:lvl>
    <w:lvl w:ilvl="6" w:tplc="B7888B16">
      <w:start w:val="1"/>
      <w:numFmt w:val="bullet"/>
      <w:lvlText w:val="●"/>
      <w:lvlJc w:val="left"/>
      <w:pPr>
        <w:ind w:left="5040" w:hanging="360"/>
      </w:pPr>
    </w:lvl>
    <w:lvl w:ilvl="7" w:tplc="3DECF50A">
      <w:start w:val="1"/>
      <w:numFmt w:val="bullet"/>
      <w:lvlText w:val="●"/>
      <w:lvlJc w:val="left"/>
      <w:pPr>
        <w:ind w:left="5760" w:hanging="360"/>
      </w:pPr>
    </w:lvl>
    <w:lvl w:ilvl="8" w:tplc="467EC4AC">
      <w:start w:val="1"/>
      <w:numFmt w:val="bullet"/>
      <w:lvlText w:val="●"/>
      <w:lvlJc w:val="left"/>
      <w:pPr>
        <w:ind w:left="6480" w:hanging="360"/>
      </w:pPr>
    </w:lvl>
  </w:abstractNum>
  <w:abstractNum w:abstractNumId="1" w15:restartNumberingAfterBreak="0">
    <w:nsid w:val="57854F17"/>
    <w:multiLevelType w:val="hybridMultilevel"/>
    <w:tmpl w:val="E9BC7DAC"/>
    <w:lvl w:ilvl="0" w:tplc="AF3C2F7A">
      <w:start w:val="1"/>
      <w:numFmt w:val="bullet"/>
      <w:lvlText w:val="•"/>
      <w:lvlJc w:val="left"/>
      <w:pPr>
        <w:ind w:left="480" w:hanging="240"/>
      </w:pPr>
    </w:lvl>
    <w:lvl w:ilvl="1" w:tplc="E2289B38">
      <w:numFmt w:val="decimal"/>
      <w:lvlText w:val=""/>
      <w:lvlJc w:val="left"/>
    </w:lvl>
    <w:lvl w:ilvl="2" w:tplc="32A8E612">
      <w:numFmt w:val="decimal"/>
      <w:lvlText w:val=""/>
      <w:lvlJc w:val="left"/>
    </w:lvl>
    <w:lvl w:ilvl="3" w:tplc="DB223D14">
      <w:numFmt w:val="decimal"/>
      <w:lvlText w:val=""/>
      <w:lvlJc w:val="left"/>
    </w:lvl>
    <w:lvl w:ilvl="4" w:tplc="96B08078">
      <w:numFmt w:val="decimal"/>
      <w:lvlText w:val=""/>
      <w:lvlJc w:val="left"/>
    </w:lvl>
    <w:lvl w:ilvl="5" w:tplc="0F8CE060">
      <w:numFmt w:val="decimal"/>
      <w:lvlText w:val=""/>
      <w:lvlJc w:val="left"/>
    </w:lvl>
    <w:lvl w:ilvl="6" w:tplc="623AE0F0">
      <w:numFmt w:val="decimal"/>
      <w:lvlText w:val=""/>
      <w:lvlJc w:val="left"/>
    </w:lvl>
    <w:lvl w:ilvl="7" w:tplc="E1AACA00">
      <w:numFmt w:val="decimal"/>
      <w:lvlText w:val=""/>
      <w:lvlJc w:val="left"/>
    </w:lvl>
    <w:lvl w:ilvl="8" w:tplc="EFCADA70">
      <w:numFmt w:val="decimal"/>
      <w:lvlText w:val=""/>
      <w:lvlJc w:val="left"/>
    </w:lvl>
  </w:abstractNum>
  <w:num w:numId="1" w16cid:durableId="707728993">
    <w:abstractNumId w:val="0"/>
    <w:lvlOverride w:ilvl="0">
      <w:startOverride w:val="1"/>
    </w:lvlOverride>
  </w:num>
  <w:num w:numId="2" w16cid:durableId="13556193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928"/>
    <w:rsid w:val="00011600"/>
    <w:rsid w:val="00C25708"/>
    <w:rsid w:val="00F049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D8F30"/>
  <w15:docId w15:val="{2B36B871-60B7-4DA9-B790-3BD5CAB39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character" w:styleId="ac">
    <w:name w:val="line number"/>
    <w:basedOn w:val="a0"/>
    <w:uiPriority w:val="99"/>
    <w:semiHidden/>
    <w:unhideWhenUsed/>
    <w:rsid w:val="00C257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8468</Words>
  <Characters>48271</Characters>
  <Application>Microsoft Office Word</Application>
  <DocSecurity>0</DocSecurity>
  <Lines>402</Lines>
  <Paragraphs>113</Paragraphs>
  <ScaleCrop>false</ScaleCrop>
  <Company/>
  <LinksUpToDate>false</LinksUpToDate>
  <CharactersWithSpaces>56626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2026-07-01T09:34:00Z</dcterms:created>
  <dcterms:modified xsi:type="dcterms:W3CDTF">2026-07-01T09:34:00Z</dcterms:modified>
</cp:coreProperties>
</file>