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5BBD" w:rsidRDefault="00CD5C48" w:rsidP="00F45D6E">
      <w:pPr>
        <w:spacing w:before="100" w:beforeAutospacing="1" w:after="100" w:afterAutospacing="1" w:line="240" w:lineRule="auto"/>
        <w:outlineLvl w:val="0"/>
        <w:rPr>
          <w:rFonts w:ascii="Times New Roman" w:eastAsia="Times New Roman" w:hAnsi="Times New Roman" w:cs="Times New Roman"/>
          <w:bCs/>
          <w:kern w:val="36"/>
          <w:sz w:val="48"/>
          <w:szCs w:val="48"/>
          <w:lang w:eastAsia="en-IN"/>
        </w:rPr>
      </w:pPr>
      <w:r>
        <w:rPr>
          <w:rFonts w:ascii="Times New Roman" w:eastAsia="Times New Roman" w:hAnsi="Times New Roman" w:cs="Times New Roman"/>
          <w:bCs/>
          <w:noProof/>
          <w:sz w:val="36"/>
          <w:szCs w:val="36"/>
          <w:lang w:eastAsia="en-IN"/>
        </w:rPr>
        <w:drawing>
          <wp:inline distT="0" distB="0" distL="0" distR="0">
            <wp:extent cx="5716270" cy="1840230"/>
            <wp:effectExtent l="0" t="0" r="0" b="7620"/>
            <wp:docPr id="2" name="Picture 2" descr="C:\Users\ADMIN\Downloads\12d8b05458184d0d8fde6f7180af6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ADMIN\Downloads\12d8b05458184d0d8fde6f7180af6382.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16270" cy="1840230"/>
                    </a:xfrm>
                    <a:prstGeom prst="rect">
                      <a:avLst/>
                    </a:prstGeom>
                    <a:noFill/>
                    <a:ln>
                      <a:noFill/>
                    </a:ln>
                  </pic:spPr>
                </pic:pic>
              </a:graphicData>
            </a:graphic>
          </wp:inline>
        </w:drawing>
      </w:r>
      <w:bookmarkStart w:id="0" w:name="_GoBack"/>
      <w:bookmarkEnd w:id="0"/>
    </w:p>
    <w:p w:rsidR="003D5BBD" w:rsidRDefault="003D5BBD" w:rsidP="00F45D6E">
      <w:pPr>
        <w:spacing w:before="100" w:beforeAutospacing="1" w:after="100" w:afterAutospacing="1" w:line="240" w:lineRule="auto"/>
        <w:outlineLvl w:val="0"/>
        <w:rPr>
          <w:rFonts w:ascii="Times New Roman" w:eastAsia="Times New Roman" w:hAnsi="Times New Roman" w:cs="Times New Roman"/>
          <w:bCs/>
          <w:kern w:val="36"/>
          <w:sz w:val="48"/>
          <w:szCs w:val="48"/>
          <w:lang w:eastAsia="en-IN"/>
        </w:rPr>
      </w:pPr>
    </w:p>
    <w:p w:rsidR="00F45D6E" w:rsidRPr="00F45D6E" w:rsidRDefault="00F45D6E" w:rsidP="003D5BBD">
      <w:pPr>
        <w:spacing w:before="100" w:beforeAutospacing="1" w:after="100" w:afterAutospacing="1" w:line="240" w:lineRule="auto"/>
        <w:jc w:val="center"/>
        <w:outlineLvl w:val="0"/>
        <w:rPr>
          <w:rFonts w:ascii="Times New Roman" w:eastAsia="Times New Roman" w:hAnsi="Times New Roman" w:cs="Times New Roman"/>
          <w:bCs/>
          <w:kern w:val="36"/>
          <w:sz w:val="48"/>
          <w:szCs w:val="48"/>
          <w:lang w:eastAsia="en-IN"/>
        </w:rPr>
      </w:pPr>
      <w:r w:rsidRPr="00036F65">
        <w:rPr>
          <w:rFonts w:ascii="Times New Roman" w:eastAsia="Times New Roman" w:hAnsi="Times New Roman" w:cs="Times New Roman"/>
          <w:bCs/>
          <w:kern w:val="36"/>
          <w:sz w:val="48"/>
          <w:szCs w:val="48"/>
          <w:lang w:eastAsia="en-IN"/>
        </w:rPr>
        <w:t>P</w:t>
      </w:r>
      <w:r w:rsidRPr="00F45D6E">
        <w:rPr>
          <w:rFonts w:ascii="Times New Roman" w:eastAsia="Times New Roman" w:hAnsi="Times New Roman" w:cs="Times New Roman"/>
          <w:bCs/>
          <w:kern w:val="36"/>
          <w:sz w:val="48"/>
          <w:szCs w:val="48"/>
          <w:lang w:eastAsia="en-IN"/>
        </w:rPr>
        <w:t xml:space="preserve">roject </w:t>
      </w:r>
      <w:proofErr w:type="spellStart"/>
      <w:r w:rsidRPr="00F45D6E">
        <w:rPr>
          <w:rFonts w:ascii="Times New Roman" w:eastAsia="Times New Roman" w:hAnsi="Times New Roman" w:cs="Times New Roman"/>
          <w:bCs/>
          <w:kern w:val="36"/>
          <w:sz w:val="48"/>
          <w:szCs w:val="48"/>
          <w:lang w:eastAsia="en-IN"/>
        </w:rPr>
        <w:t>Setu</w:t>
      </w:r>
      <w:proofErr w:type="spellEnd"/>
      <w:r w:rsidRPr="00F45D6E">
        <w:rPr>
          <w:rFonts w:ascii="Times New Roman" w:eastAsia="Times New Roman" w:hAnsi="Times New Roman" w:cs="Times New Roman"/>
          <w:bCs/>
          <w:kern w:val="36"/>
          <w:sz w:val="48"/>
          <w:szCs w:val="48"/>
          <w:lang w:eastAsia="en-IN"/>
        </w:rPr>
        <w:t xml:space="preserve">: Proactive </w:t>
      </w:r>
      <w:proofErr w:type="spellStart"/>
      <w:r w:rsidRPr="00F45D6E">
        <w:rPr>
          <w:rFonts w:ascii="Times New Roman" w:eastAsia="Times New Roman" w:hAnsi="Times New Roman" w:cs="Times New Roman"/>
          <w:bCs/>
          <w:kern w:val="36"/>
          <w:sz w:val="48"/>
          <w:szCs w:val="48"/>
          <w:lang w:eastAsia="en-IN"/>
        </w:rPr>
        <w:t>Aadhaar</w:t>
      </w:r>
      <w:proofErr w:type="spellEnd"/>
      <w:r w:rsidRPr="00F45D6E">
        <w:rPr>
          <w:rFonts w:ascii="Times New Roman" w:eastAsia="Times New Roman" w:hAnsi="Times New Roman" w:cs="Times New Roman"/>
          <w:bCs/>
          <w:kern w:val="36"/>
          <w:sz w:val="48"/>
          <w:szCs w:val="48"/>
          <w:lang w:eastAsia="en-IN"/>
        </w:rPr>
        <w:t xml:space="preserve"> Identity Management</w:t>
      </w:r>
    </w:p>
    <w:p w:rsidR="00F45D6E" w:rsidRDefault="00F45D6E" w:rsidP="003D5BBD">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F45D6E">
        <w:rPr>
          <w:rFonts w:ascii="Times New Roman" w:eastAsia="Times New Roman" w:hAnsi="Times New Roman" w:cs="Times New Roman"/>
          <w:sz w:val="24"/>
          <w:szCs w:val="24"/>
          <w:lang w:eastAsia="en-IN"/>
        </w:rPr>
        <w:t>A Project Report</w:t>
      </w:r>
      <w:r w:rsidR="003D5BBD">
        <w:rPr>
          <w:rFonts w:ascii="Times New Roman" w:eastAsia="Times New Roman" w:hAnsi="Times New Roman" w:cs="Times New Roman"/>
          <w:sz w:val="24"/>
          <w:szCs w:val="24"/>
          <w:lang w:eastAsia="en-IN"/>
        </w:rPr>
        <w:t>,</w:t>
      </w:r>
    </w:p>
    <w:p w:rsidR="003D5BBD" w:rsidRPr="00F45D6E" w:rsidRDefault="003D5BBD" w:rsidP="003D5BBD">
      <w:pPr>
        <w:spacing w:before="100" w:beforeAutospacing="1" w:after="100" w:afterAutospacing="1"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Submitted in Partial </w:t>
      </w:r>
      <w:proofErr w:type="spellStart"/>
      <w:r>
        <w:rPr>
          <w:rFonts w:ascii="Times New Roman" w:eastAsia="Times New Roman" w:hAnsi="Times New Roman" w:cs="Times New Roman"/>
          <w:sz w:val="24"/>
          <w:szCs w:val="24"/>
          <w:lang w:eastAsia="en-IN"/>
        </w:rPr>
        <w:t>f</w:t>
      </w:r>
      <w:r w:rsidRPr="003D5BBD">
        <w:rPr>
          <w:rFonts w:ascii="Times New Roman" w:eastAsia="Times New Roman" w:hAnsi="Times New Roman" w:cs="Times New Roman"/>
          <w:sz w:val="24"/>
          <w:szCs w:val="24"/>
          <w:lang w:eastAsia="en-IN"/>
        </w:rPr>
        <w:t>ul</w:t>
      </w:r>
      <w:r>
        <w:rPr>
          <w:rFonts w:ascii="Times New Roman" w:eastAsia="Times New Roman" w:hAnsi="Times New Roman" w:cs="Times New Roman"/>
          <w:sz w:val="24"/>
          <w:szCs w:val="24"/>
          <w:lang w:eastAsia="en-IN"/>
        </w:rPr>
        <w:t>l</w:t>
      </w:r>
      <w:r w:rsidRPr="003D5BBD">
        <w:rPr>
          <w:rFonts w:ascii="Times New Roman" w:eastAsia="Times New Roman" w:hAnsi="Times New Roman" w:cs="Times New Roman"/>
          <w:sz w:val="24"/>
          <w:szCs w:val="24"/>
          <w:lang w:eastAsia="en-IN"/>
        </w:rPr>
        <w:t>fillment</w:t>
      </w:r>
      <w:proofErr w:type="spellEnd"/>
      <w:r w:rsidRPr="003D5BBD">
        <w:rPr>
          <w:rFonts w:ascii="Times New Roman" w:eastAsia="Times New Roman" w:hAnsi="Times New Roman" w:cs="Times New Roman"/>
          <w:sz w:val="24"/>
          <w:szCs w:val="24"/>
          <w:lang w:eastAsia="en-IN"/>
        </w:rPr>
        <w:t xml:space="preserve"> of the requirements</w:t>
      </w:r>
    </w:p>
    <w:p w:rsidR="00F45D6E" w:rsidRPr="00F45D6E" w:rsidRDefault="00F45D6E" w:rsidP="003D5BBD">
      <w:pPr>
        <w:spacing w:before="100" w:beforeAutospacing="1" w:after="100" w:afterAutospacing="1" w:line="240" w:lineRule="auto"/>
        <w:jc w:val="center"/>
        <w:rPr>
          <w:rFonts w:ascii="Times New Roman" w:eastAsia="Times New Roman" w:hAnsi="Times New Roman" w:cs="Times New Roman"/>
          <w:sz w:val="32"/>
          <w:szCs w:val="32"/>
          <w:lang w:eastAsia="en-IN"/>
        </w:rPr>
      </w:pPr>
      <w:r w:rsidRPr="003D5BBD">
        <w:rPr>
          <w:rFonts w:ascii="Times New Roman" w:eastAsia="Times New Roman" w:hAnsi="Times New Roman" w:cs="Times New Roman"/>
          <w:bCs/>
          <w:sz w:val="32"/>
          <w:szCs w:val="32"/>
          <w:lang w:eastAsia="en-IN"/>
        </w:rPr>
        <w:t>UIDAI DATA HACKATHON 2026</w:t>
      </w:r>
    </w:p>
    <w:p w:rsidR="00F45D6E" w:rsidRPr="00F45D6E" w:rsidRDefault="00F45D6E" w:rsidP="003D5BBD">
      <w:pPr>
        <w:spacing w:after="0" w:line="240" w:lineRule="auto"/>
        <w:jc w:val="center"/>
        <w:rPr>
          <w:rFonts w:ascii="Times New Roman" w:eastAsia="Times New Roman" w:hAnsi="Times New Roman" w:cs="Times New Roman"/>
          <w:sz w:val="24"/>
          <w:szCs w:val="24"/>
          <w:lang w:eastAsia="en-IN"/>
        </w:rPr>
      </w:pPr>
      <w:r w:rsidRPr="00F45D6E">
        <w:rPr>
          <w:rFonts w:ascii="Times New Roman" w:eastAsia="Times New Roman" w:hAnsi="Times New Roman" w:cs="Times New Roman"/>
          <w:sz w:val="24"/>
          <w:szCs w:val="24"/>
          <w:lang w:eastAsia="en-IN"/>
        </w:rPr>
        <w:pict>
          <v:rect id="_x0000_i1025" style="width:0;height:1.5pt" o:hralign="center" o:hrstd="t" o:hr="t" fillcolor="#a0a0a0" stroked="f"/>
        </w:pict>
      </w:r>
    </w:p>
    <w:p w:rsidR="00F45D6E" w:rsidRPr="00036F65" w:rsidRDefault="00F45D6E" w:rsidP="003D5BBD">
      <w:pPr>
        <w:spacing w:before="100" w:beforeAutospacing="1" w:after="100" w:afterAutospacing="1" w:line="240" w:lineRule="auto"/>
        <w:outlineLvl w:val="1"/>
        <w:rPr>
          <w:rFonts w:ascii="Times New Roman" w:eastAsia="Times New Roman" w:hAnsi="Times New Roman" w:cs="Times New Roman"/>
          <w:bCs/>
          <w:sz w:val="36"/>
          <w:szCs w:val="36"/>
          <w:lang w:eastAsia="en-IN"/>
        </w:rPr>
      </w:pPr>
    </w:p>
    <w:p w:rsidR="00F45D6E" w:rsidRPr="00F45D6E" w:rsidRDefault="00F45D6E" w:rsidP="00F45D6E">
      <w:pPr>
        <w:spacing w:before="100" w:beforeAutospacing="1" w:after="100" w:afterAutospacing="1" w:line="240" w:lineRule="auto"/>
        <w:jc w:val="center"/>
        <w:outlineLvl w:val="1"/>
        <w:rPr>
          <w:rFonts w:ascii="Times New Roman" w:eastAsia="Times New Roman" w:hAnsi="Times New Roman" w:cs="Times New Roman"/>
          <w:bCs/>
          <w:sz w:val="36"/>
          <w:szCs w:val="36"/>
          <w:lang w:eastAsia="en-IN"/>
        </w:rPr>
      </w:pPr>
      <w:r w:rsidRPr="00F45D6E">
        <w:rPr>
          <w:rFonts w:ascii="Times New Roman" w:eastAsia="Times New Roman" w:hAnsi="Times New Roman" w:cs="Times New Roman"/>
          <w:bCs/>
          <w:sz w:val="36"/>
          <w:szCs w:val="36"/>
          <w:lang w:eastAsia="en-IN"/>
        </w:rPr>
        <w:t>Submitted by</w:t>
      </w:r>
    </w:p>
    <w:p w:rsidR="00F45D6E" w:rsidRPr="00036F65" w:rsidRDefault="00F45D6E" w:rsidP="00F45D6E">
      <w:pPr>
        <w:spacing w:before="100" w:beforeAutospacing="1" w:after="100" w:afterAutospacing="1" w:line="240" w:lineRule="auto"/>
        <w:jc w:val="center"/>
        <w:rPr>
          <w:rFonts w:ascii="Times New Roman" w:eastAsia="Times New Roman" w:hAnsi="Times New Roman" w:cs="Times New Roman"/>
          <w:sz w:val="24"/>
          <w:szCs w:val="24"/>
          <w:lang w:eastAsia="en-IN"/>
        </w:rPr>
      </w:pPr>
      <w:proofErr w:type="spellStart"/>
      <w:r w:rsidRPr="00036F65">
        <w:rPr>
          <w:rFonts w:ascii="Times New Roman" w:eastAsia="Times New Roman" w:hAnsi="Times New Roman" w:cs="Times New Roman"/>
          <w:bCs/>
          <w:sz w:val="24"/>
          <w:szCs w:val="24"/>
          <w:lang w:eastAsia="en-IN"/>
        </w:rPr>
        <w:t>Shamliya</w:t>
      </w:r>
      <w:proofErr w:type="spellEnd"/>
      <w:r w:rsidRPr="00036F65">
        <w:rPr>
          <w:rFonts w:ascii="Times New Roman" w:eastAsia="Times New Roman" w:hAnsi="Times New Roman" w:cs="Times New Roman"/>
          <w:bCs/>
          <w:sz w:val="24"/>
          <w:szCs w:val="24"/>
          <w:lang w:eastAsia="en-IN"/>
        </w:rPr>
        <w:t xml:space="preserve"> Faisal</w:t>
      </w:r>
      <w:r w:rsidRPr="00F45D6E">
        <w:rPr>
          <w:rFonts w:ascii="Times New Roman" w:eastAsia="Times New Roman" w:hAnsi="Times New Roman" w:cs="Times New Roman"/>
          <w:sz w:val="24"/>
          <w:szCs w:val="24"/>
          <w:lang w:eastAsia="en-IN"/>
        </w:rPr>
        <w:br/>
      </w:r>
      <w:hyperlink r:id="rId7" w:history="1">
        <w:r w:rsidRPr="00036F65">
          <w:rPr>
            <w:rStyle w:val="Hyperlink"/>
            <w:rFonts w:ascii="Times New Roman" w:eastAsia="Times New Roman" w:hAnsi="Times New Roman" w:cs="Times New Roman"/>
            <w:sz w:val="24"/>
            <w:szCs w:val="24"/>
            <w:lang w:eastAsia="en-IN"/>
          </w:rPr>
          <w:t>muhammedshazin@yahoo.com</w:t>
        </w:r>
      </w:hyperlink>
    </w:p>
    <w:p w:rsidR="00F45D6E" w:rsidRPr="00F45D6E" w:rsidRDefault="00F45D6E" w:rsidP="00F45D6E">
      <w:pPr>
        <w:spacing w:before="100" w:beforeAutospacing="1" w:after="100" w:afterAutospacing="1" w:line="240" w:lineRule="auto"/>
        <w:jc w:val="center"/>
        <w:rPr>
          <w:rFonts w:ascii="Times New Roman" w:eastAsia="Times New Roman" w:hAnsi="Times New Roman" w:cs="Times New Roman"/>
          <w:sz w:val="24"/>
          <w:szCs w:val="24"/>
          <w:lang w:eastAsia="en-IN"/>
        </w:rPr>
      </w:pPr>
    </w:p>
    <w:p w:rsidR="00F45D6E" w:rsidRPr="00036F65" w:rsidRDefault="00F45D6E" w:rsidP="00F45D6E">
      <w:pPr>
        <w:spacing w:before="100" w:beforeAutospacing="1" w:after="100" w:afterAutospacing="1" w:line="240" w:lineRule="auto"/>
        <w:jc w:val="center"/>
        <w:rPr>
          <w:rFonts w:ascii="Times New Roman" w:eastAsia="Times New Roman" w:hAnsi="Times New Roman" w:cs="Times New Roman"/>
          <w:sz w:val="24"/>
          <w:szCs w:val="24"/>
          <w:lang w:eastAsia="en-IN"/>
        </w:rPr>
      </w:pPr>
      <w:proofErr w:type="spellStart"/>
      <w:r w:rsidRPr="00036F65">
        <w:rPr>
          <w:rFonts w:ascii="Times New Roman" w:eastAsia="Times New Roman" w:hAnsi="Times New Roman" w:cs="Times New Roman"/>
          <w:bCs/>
          <w:sz w:val="24"/>
          <w:szCs w:val="24"/>
          <w:lang w:eastAsia="en-IN"/>
        </w:rPr>
        <w:t>Shadha</w:t>
      </w:r>
      <w:proofErr w:type="spellEnd"/>
      <w:r w:rsidRPr="00036F65">
        <w:rPr>
          <w:rFonts w:ascii="Times New Roman" w:eastAsia="Times New Roman" w:hAnsi="Times New Roman" w:cs="Times New Roman"/>
          <w:bCs/>
          <w:sz w:val="24"/>
          <w:szCs w:val="24"/>
          <w:lang w:eastAsia="en-IN"/>
        </w:rPr>
        <w:t xml:space="preserve"> VK</w:t>
      </w:r>
      <w:r w:rsidRPr="00F45D6E">
        <w:rPr>
          <w:rFonts w:ascii="Times New Roman" w:eastAsia="Times New Roman" w:hAnsi="Times New Roman" w:cs="Times New Roman"/>
          <w:sz w:val="24"/>
          <w:szCs w:val="24"/>
          <w:lang w:eastAsia="en-IN"/>
        </w:rPr>
        <w:br/>
      </w:r>
      <w:hyperlink r:id="rId8" w:history="1">
        <w:r w:rsidRPr="00036F65">
          <w:rPr>
            <w:rStyle w:val="Hyperlink"/>
            <w:rFonts w:ascii="Times New Roman" w:eastAsia="Times New Roman" w:hAnsi="Times New Roman" w:cs="Times New Roman"/>
            <w:sz w:val="24"/>
            <w:szCs w:val="24"/>
            <w:lang w:eastAsia="en-IN"/>
          </w:rPr>
          <w:t>shadhavk@gmail.com</w:t>
        </w:r>
      </w:hyperlink>
    </w:p>
    <w:p w:rsidR="00F45D6E" w:rsidRPr="00F45D6E" w:rsidRDefault="00F45D6E" w:rsidP="00F45D6E">
      <w:pPr>
        <w:spacing w:before="100" w:beforeAutospacing="1" w:after="100" w:afterAutospacing="1" w:line="240" w:lineRule="auto"/>
        <w:jc w:val="center"/>
        <w:rPr>
          <w:rFonts w:ascii="Times New Roman" w:eastAsia="Times New Roman" w:hAnsi="Times New Roman" w:cs="Times New Roman"/>
          <w:sz w:val="24"/>
          <w:szCs w:val="24"/>
          <w:lang w:eastAsia="en-IN"/>
        </w:rPr>
      </w:pPr>
    </w:p>
    <w:p w:rsidR="00F45D6E" w:rsidRPr="00036F65" w:rsidRDefault="00F45D6E" w:rsidP="00F45D6E">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036F65">
        <w:rPr>
          <w:rFonts w:ascii="Times New Roman" w:eastAsia="Times New Roman" w:hAnsi="Times New Roman" w:cs="Times New Roman"/>
          <w:bCs/>
          <w:sz w:val="24"/>
          <w:szCs w:val="24"/>
          <w:lang w:eastAsia="en-IN"/>
        </w:rPr>
        <w:t xml:space="preserve">Muhammed </w:t>
      </w:r>
      <w:proofErr w:type="spellStart"/>
      <w:r w:rsidRPr="00036F65">
        <w:rPr>
          <w:rFonts w:ascii="Times New Roman" w:eastAsia="Times New Roman" w:hAnsi="Times New Roman" w:cs="Times New Roman"/>
          <w:bCs/>
          <w:sz w:val="24"/>
          <w:szCs w:val="24"/>
          <w:lang w:eastAsia="en-IN"/>
        </w:rPr>
        <w:t>Anas</w:t>
      </w:r>
      <w:proofErr w:type="spellEnd"/>
      <w:r w:rsidRPr="00F45D6E">
        <w:rPr>
          <w:rFonts w:ascii="Times New Roman" w:eastAsia="Times New Roman" w:hAnsi="Times New Roman" w:cs="Times New Roman"/>
          <w:sz w:val="24"/>
          <w:szCs w:val="24"/>
          <w:lang w:eastAsia="en-IN"/>
        </w:rPr>
        <w:br/>
      </w:r>
      <w:hyperlink r:id="rId9" w:history="1">
        <w:r w:rsidRPr="00036F65">
          <w:rPr>
            <w:rStyle w:val="Hyperlink"/>
            <w:rFonts w:ascii="Times New Roman" w:eastAsia="Times New Roman" w:hAnsi="Times New Roman" w:cs="Times New Roman"/>
            <w:sz w:val="24"/>
            <w:szCs w:val="24"/>
            <w:lang w:eastAsia="en-IN"/>
          </w:rPr>
          <w:t>aayizahmed7c@gmail.com</w:t>
        </w:r>
      </w:hyperlink>
    </w:p>
    <w:p w:rsidR="00F45D6E" w:rsidRPr="00F45D6E" w:rsidRDefault="00F45D6E" w:rsidP="00F45D6E">
      <w:pPr>
        <w:spacing w:before="100" w:beforeAutospacing="1" w:after="100" w:afterAutospacing="1" w:line="240" w:lineRule="auto"/>
        <w:jc w:val="center"/>
        <w:rPr>
          <w:rFonts w:ascii="Times New Roman" w:eastAsia="Times New Roman" w:hAnsi="Times New Roman" w:cs="Times New Roman"/>
          <w:sz w:val="24"/>
          <w:szCs w:val="24"/>
          <w:lang w:eastAsia="en-IN"/>
        </w:rPr>
      </w:pPr>
    </w:p>
    <w:p w:rsidR="00F45D6E" w:rsidRPr="00036F65" w:rsidRDefault="00F45D6E" w:rsidP="00F45D6E">
      <w:pPr>
        <w:spacing w:before="100" w:beforeAutospacing="1" w:after="100" w:afterAutospacing="1" w:line="240" w:lineRule="auto"/>
        <w:jc w:val="center"/>
        <w:rPr>
          <w:rFonts w:ascii="Times New Roman" w:eastAsia="Times New Roman" w:hAnsi="Times New Roman" w:cs="Times New Roman"/>
          <w:sz w:val="24"/>
          <w:szCs w:val="24"/>
          <w:lang w:eastAsia="en-IN"/>
        </w:rPr>
      </w:pPr>
      <w:proofErr w:type="spellStart"/>
      <w:r w:rsidRPr="00036F65">
        <w:rPr>
          <w:rFonts w:ascii="Times New Roman" w:eastAsia="Times New Roman" w:hAnsi="Times New Roman" w:cs="Times New Roman"/>
          <w:bCs/>
          <w:sz w:val="24"/>
          <w:szCs w:val="24"/>
          <w:lang w:eastAsia="en-IN"/>
        </w:rPr>
        <w:t>Sabira</w:t>
      </w:r>
      <w:proofErr w:type="spellEnd"/>
      <w:r w:rsidRPr="00036F65">
        <w:rPr>
          <w:rFonts w:ascii="Times New Roman" w:eastAsia="Times New Roman" w:hAnsi="Times New Roman" w:cs="Times New Roman"/>
          <w:bCs/>
          <w:sz w:val="24"/>
          <w:szCs w:val="24"/>
          <w:lang w:eastAsia="en-IN"/>
        </w:rPr>
        <w:t xml:space="preserve"> </w:t>
      </w:r>
      <w:proofErr w:type="spellStart"/>
      <w:r w:rsidRPr="00036F65">
        <w:rPr>
          <w:rFonts w:ascii="Times New Roman" w:eastAsia="Times New Roman" w:hAnsi="Times New Roman" w:cs="Times New Roman"/>
          <w:bCs/>
          <w:sz w:val="24"/>
          <w:szCs w:val="24"/>
          <w:lang w:eastAsia="en-IN"/>
        </w:rPr>
        <w:t>Fathima</w:t>
      </w:r>
      <w:proofErr w:type="spellEnd"/>
      <w:r w:rsidRPr="00F45D6E">
        <w:rPr>
          <w:rFonts w:ascii="Times New Roman" w:eastAsia="Times New Roman" w:hAnsi="Times New Roman" w:cs="Times New Roman"/>
          <w:sz w:val="24"/>
          <w:szCs w:val="24"/>
          <w:lang w:eastAsia="en-IN"/>
        </w:rPr>
        <w:br/>
      </w:r>
      <w:hyperlink r:id="rId10" w:history="1">
        <w:r w:rsidRPr="00036F65">
          <w:rPr>
            <w:rStyle w:val="Hyperlink"/>
            <w:rFonts w:ascii="Times New Roman" w:eastAsia="Times New Roman" w:hAnsi="Times New Roman" w:cs="Times New Roman"/>
            <w:sz w:val="24"/>
            <w:szCs w:val="24"/>
            <w:lang w:eastAsia="en-IN"/>
          </w:rPr>
          <w:t>khaleelmuhammed73@gmail.com</w:t>
        </w:r>
      </w:hyperlink>
    </w:p>
    <w:p w:rsidR="00F45D6E" w:rsidRPr="00F45D6E" w:rsidRDefault="00F45D6E" w:rsidP="00F45D6E">
      <w:pPr>
        <w:spacing w:before="100" w:beforeAutospacing="1" w:after="100" w:afterAutospacing="1" w:line="240" w:lineRule="auto"/>
        <w:jc w:val="center"/>
        <w:rPr>
          <w:rFonts w:ascii="Times New Roman" w:eastAsia="Times New Roman" w:hAnsi="Times New Roman" w:cs="Times New Roman"/>
          <w:sz w:val="24"/>
          <w:szCs w:val="24"/>
          <w:lang w:eastAsia="en-IN"/>
        </w:rPr>
      </w:pPr>
    </w:p>
    <w:p w:rsidR="00F45D6E" w:rsidRPr="00036F65" w:rsidRDefault="00F45D6E"/>
    <w:p w:rsidR="00F45D6E" w:rsidRPr="00036F65" w:rsidRDefault="00F45D6E" w:rsidP="0031342E">
      <w:pPr>
        <w:pStyle w:val="Heading1"/>
        <w:jc w:val="center"/>
        <w:rPr>
          <w:b w:val="0"/>
          <w:sz w:val="72"/>
          <w:szCs w:val="72"/>
        </w:rPr>
      </w:pPr>
      <w:r w:rsidRPr="00036F65">
        <w:rPr>
          <w:b w:val="0"/>
          <w:sz w:val="72"/>
          <w:szCs w:val="72"/>
        </w:rPr>
        <w:t>ABSTRACT</w:t>
      </w:r>
    </w:p>
    <w:p w:rsidR="00F45D6E" w:rsidRPr="00036F65" w:rsidRDefault="00F45D6E" w:rsidP="00F45D6E">
      <w:pPr>
        <w:pStyle w:val="NormalWeb"/>
      </w:pPr>
    </w:p>
    <w:p w:rsidR="00F45D6E" w:rsidRPr="00036F65" w:rsidRDefault="00F45D6E" w:rsidP="00F45D6E">
      <w:pPr>
        <w:pStyle w:val="NormalWeb"/>
      </w:pPr>
    </w:p>
    <w:p w:rsidR="00F45D6E" w:rsidRPr="00036F65" w:rsidRDefault="00F45D6E" w:rsidP="00F45D6E">
      <w:pPr>
        <w:pStyle w:val="NormalWeb"/>
        <w:rPr>
          <w:sz w:val="32"/>
          <w:szCs w:val="32"/>
        </w:rPr>
      </w:pPr>
      <w:r w:rsidRPr="00036F65">
        <w:rPr>
          <w:sz w:val="32"/>
          <w:szCs w:val="32"/>
        </w:rPr>
        <w:t xml:space="preserve">Project </w:t>
      </w:r>
      <w:proofErr w:type="spellStart"/>
      <w:r w:rsidRPr="00036F65">
        <w:rPr>
          <w:sz w:val="32"/>
          <w:szCs w:val="32"/>
        </w:rPr>
        <w:t>Setu</w:t>
      </w:r>
      <w:proofErr w:type="spellEnd"/>
      <w:r w:rsidRPr="00036F65">
        <w:rPr>
          <w:sz w:val="32"/>
          <w:szCs w:val="32"/>
        </w:rPr>
        <w:t xml:space="preserve"> proposes a fundamental shift in </w:t>
      </w:r>
      <w:proofErr w:type="spellStart"/>
      <w:r w:rsidRPr="00036F65">
        <w:rPr>
          <w:sz w:val="32"/>
          <w:szCs w:val="32"/>
        </w:rPr>
        <w:t>Aadhaar</w:t>
      </w:r>
      <w:proofErr w:type="spellEnd"/>
      <w:r w:rsidRPr="00036F65">
        <w:rPr>
          <w:sz w:val="32"/>
          <w:szCs w:val="32"/>
        </w:rPr>
        <w:t xml:space="preserve"> identity management: from a reactive system to a proactive, life-event-aware public infrastructure. Currently, residents often discover the need for Mandatory Biometric Updates (MBU) only after service failures. Project </w:t>
      </w:r>
      <w:proofErr w:type="spellStart"/>
      <w:r w:rsidRPr="00036F65">
        <w:rPr>
          <w:sz w:val="32"/>
          <w:szCs w:val="32"/>
        </w:rPr>
        <w:t>Setu</w:t>
      </w:r>
      <w:proofErr w:type="spellEnd"/>
      <w:r w:rsidRPr="00036F65">
        <w:rPr>
          <w:sz w:val="32"/>
          <w:szCs w:val="32"/>
        </w:rPr>
        <w:t xml:space="preserve"> anticipates these needs by converting historical activity and life-event signals into population-level foresight.</w:t>
      </w:r>
    </w:p>
    <w:p w:rsidR="00F45D6E" w:rsidRPr="00036F65" w:rsidRDefault="00F45D6E" w:rsidP="00F45D6E">
      <w:pPr>
        <w:pStyle w:val="NormalWeb"/>
        <w:rPr>
          <w:sz w:val="32"/>
          <w:szCs w:val="32"/>
        </w:rPr>
      </w:pPr>
      <w:r w:rsidRPr="00036F65">
        <w:rPr>
          <w:sz w:val="32"/>
          <w:szCs w:val="32"/>
        </w:rPr>
        <w:t xml:space="preserve">The methodology utilizes anonymized, aggregated </w:t>
      </w:r>
      <w:proofErr w:type="spellStart"/>
      <w:r w:rsidRPr="00036F65">
        <w:rPr>
          <w:sz w:val="32"/>
          <w:szCs w:val="32"/>
        </w:rPr>
        <w:t>Aadhaar</w:t>
      </w:r>
      <w:proofErr w:type="spellEnd"/>
      <w:r w:rsidRPr="00036F65">
        <w:rPr>
          <w:sz w:val="32"/>
          <w:szCs w:val="32"/>
        </w:rPr>
        <w:t xml:space="preserve"> datasets to forecast MBU demand at a six-month horizon with </w:t>
      </w:r>
      <w:proofErr w:type="spellStart"/>
      <w:r w:rsidRPr="00036F65">
        <w:rPr>
          <w:sz w:val="32"/>
          <w:szCs w:val="32"/>
        </w:rPr>
        <w:t>pincode</w:t>
      </w:r>
      <w:proofErr w:type="spellEnd"/>
      <w:r w:rsidRPr="00036F65">
        <w:rPr>
          <w:sz w:val="32"/>
          <w:szCs w:val="32"/>
        </w:rPr>
        <w:t>-level granularity. This enables UIDAI to optimize infrastructure such as mobile van deployment and update camp scheduling before congestion occurs. Furthermore, the project introduces a voluntary, citizen-visible Identity Health Score (IHS) to encourage proactive identity hygiene without compromising privacy through a Zero-Linkage architecture.</w:t>
      </w:r>
    </w:p>
    <w:p w:rsidR="00F45D6E" w:rsidRPr="00036F65" w:rsidRDefault="00F45D6E" w:rsidP="00F45D6E">
      <w:pPr>
        <w:pStyle w:val="NormalWeb"/>
        <w:rPr>
          <w:sz w:val="32"/>
          <w:szCs w:val="32"/>
        </w:rPr>
      </w:pPr>
      <w:r w:rsidRPr="00036F65">
        <w:rPr>
          <w:sz w:val="32"/>
          <w:szCs w:val="32"/>
        </w:rPr>
        <w:t xml:space="preserve">The results demonstrate that predictive analytics can effectively identify geographic surge zones and classify </w:t>
      </w:r>
      <w:r w:rsidR="000730FA" w:rsidRPr="00036F65">
        <w:rPr>
          <w:sz w:val="32"/>
          <w:szCs w:val="32"/>
        </w:rPr>
        <w:t>pin codes</w:t>
      </w:r>
      <w:r w:rsidRPr="00036F65">
        <w:rPr>
          <w:sz w:val="32"/>
          <w:szCs w:val="32"/>
        </w:rPr>
        <w:t xml:space="preserve"> into policy-relevant risk bands. Project </w:t>
      </w:r>
      <w:proofErr w:type="spellStart"/>
      <w:r w:rsidRPr="00036F65">
        <w:rPr>
          <w:sz w:val="32"/>
          <w:szCs w:val="32"/>
        </w:rPr>
        <w:t>Setu</w:t>
      </w:r>
      <w:proofErr w:type="spellEnd"/>
      <w:r w:rsidRPr="00036F65">
        <w:rPr>
          <w:sz w:val="32"/>
          <w:szCs w:val="32"/>
        </w:rPr>
        <w:t xml:space="preserve"> provides a scalable, auditable, and trust-preserving framework for evolving </w:t>
      </w:r>
      <w:proofErr w:type="spellStart"/>
      <w:r w:rsidRPr="00036F65">
        <w:rPr>
          <w:sz w:val="32"/>
          <w:szCs w:val="32"/>
        </w:rPr>
        <w:t>Aadhaar</w:t>
      </w:r>
      <w:proofErr w:type="spellEnd"/>
      <w:r w:rsidRPr="00036F65">
        <w:rPr>
          <w:sz w:val="32"/>
          <w:szCs w:val="32"/>
        </w:rPr>
        <w:t xml:space="preserve"> into an intelligent public service that anticipates and assists citizens securely.</w:t>
      </w:r>
    </w:p>
    <w:p w:rsidR="00036F65" w:rsidRDefault="00036F65"/>
    <w:p w:rsidR="00036F65" w:rsidRDefault="00036F65">
      <w:r>
        <w:br w:type="page"/>
      </w:r>
    </w:p>
    <w:p w:rsidR="00036F65" w:rsidRDefault="00036F65" w:rsidP="00036F65">
      <w:pPr>
        <w:pStyle w:val="Heading1"/>
      </w:pPr>
      <w:r>
        <w:lastRenderedPageBreak/>
        <w:t>CHAPTER 1: INTRODUCTION</w:t>
      </w:r>
    </w:p>
    <w:p w:rsidR="00036F65" w:rsidRDefault="00036F65" w:rsidP="00036F65">
      <w:pPr>
        <w:pStyle w:val="Heading2"/>
      </w:pPr>
      <w:r>
        <w:t>1.1 Problem Statement</w:t>
      </w:r>
    </w:p>
    <w:p w:rsidR="00036F65" w:rsidRDefault="00036F65" w:rsidP="00036F65">
      <w:pPr>
        <w:pStyle w:val="NormalWeb"/>
      </w:pPr>
      <w:r>
        <w:t xml:space="preserve">The </w:t>
      </w:r>
      <w:proofErr w:type="spellStart"/>
      <w:r>
        <w:t>Aadhaar</w:t>
      </w:r>
      <w:proofErr w:type="spellEnd"/>
      <w:r>
        <w:t xml:space="preserve"> ecosystem, while robust, operates primarily on a reactive basis. Residents are responsible for remembering mandatory updates, leading to sudden congestion at </w:t>
      </w:r>
      <w:proofErr w:type="spellStart"/>
      <w:r>
        <w:t>Seva</w:t>
      </w:r>
      <w:proofErr w:type="spellEnd"/>
      <w:r>
        <w:t xml:space="preserve"> </w:t>
      </w:r>
      <w:proofErr w:type="spellStart"/>
      <w:r>
        <w:t>Kendras</w:t>
      </w:r>
      <w:proofErr w:type="spellEnd"/>
      <w:r>
        <w:t xml:space="preserve"> and authentication failures during critical life events. UIDAI lacks forward-looking intelligence to proactively plan manpower and infrastructure, resulting in operational blind spots.</w:t>
      </w:r>
    </w:p>
    <w:p w:rsidR="00036F65" w:rsidRDefault="00036F65" w:rsidP="00036F65">
      <w:pPr>
        <w:pStyle w:val="Heading2"/>
      </w:pPr>
      <w:r>
        <w:t>1.2 Motivation</w:t>
      </w:r>
    </w:p>
    <w:p w:rsidR="00036F65" w:rsidRDefault="00036F65" w:rsidP="00036F65">
      <w:pPr>
        <w:pStyle w:val="NormalWeb"/>
      </w:pPr>
      <w:r>
        <w:t xml:space="preserve">As </w:t>
      </w:r>
      <w:proofErr w:type="spellStart"/>
      <w:r>
        <w:t>Aadhaar</w:t>
      </w:r>
      <w:proofErr w:type="spellEnd"/>
      <w:r>
        <w:t xml:space="preserve"> becomes foundational to India’s digital public infrastructure, identity upkeep must evolve. Project </w:t>
      </w:r>
      <w:proofErr w:type="spellStart"/>
      <w:r>
        <w:t>Setu</w:t>
      </w:r>
      <w:proofErr w:type="spellEnd"/>
      <w:r>
        <w:t xml:space="preserve"> is motivated by the need to move from reactive queue management to preventive service orchestration, empower citizens through early nudges rather than last-minute failures, and demonstrate that population-level foresight can be achieved without compromising individual privacy.</w:t>
      </w:r>
    </w:p>
    <w:p w:rsidR="00036F65" w:rsidRDefault="00036F65" w:rsidP="00036F65">
      <w:pPr>
        <w:pStyle w:val="Heading2"/>
      </w:pPr>
      <w:r>
        <w:t>1.3 Objectives</w:t>
      </w:r>
    </w:p>
    <w:p w:rsidR="00036F65" w:rsidRDefault="00036F65" w:rsidP="00036F65">
      <w:pPr>
        <w:pStyle w:val="NormalWeb"/>
      </w:pPr>
      <w:r>
        <w:t xml:space="preserve">The primary objectives of this project are to forecast six-month MBU demand at </w:t>
      </w:r>
      <w:proofErr w:type="spellStart"/>
      <w:r>
        <w:t>pincode</w:t>
      </w:r>
      <w:proofErr w:type="spellEnd"/>
      <w:r>
        <w:t xml:space="preserve"> granularity, identify geographic surge zones for targeted resource deployment, design a non-punitive Identity Health Score (IHS) for citizen awareness, and implement a Zero-Linkage privacy model for all analytics.</w:t>
      </w:r>
    </w:p>
    <w:p w:rsidR="00036F65" w:rsidRDefault="00036F65" w:rsidP="00036F65">
      <w:pPr>
        <w:pStyle w:val="Heading2"/>
      </w:pPr>
      <w:r>
        <w:t>1.4 Scope of the Project</w:t>
      </w:r>
    </w:p>
    <w:p w:rsidR="00036F65" w:rsidRDefault="00036F65" w:rsidP="00036F65">
      <w:pPr>
        <w:pStyle w:val="NormalWeb"/>
      </w:pPr>
      <w:r>
        <w:t>The scope of this project includes analysis of anonymized UIDAI enrolment and update datasets, construction of predictive time-series models, and generation of governance-relevant insights for UIDAI administrators.</w:t>
      </w:r>
    </w:p>
    <w:p w:rsidR="00036F65" w:rsidRDefault="00036F65" w:rsidP="00036F65">
      <w:pPr>
        <w:pStyle w:val="Heading2"/>
      </w:pPr>
      <w:r>
        <w:t>1.5 Limitation of the Project</w:t>
      </w:r>
    </w:p>
    <w:p w:rsidR="00036F65" w:rsidRDefault="00036F65" w:rsidP="00036F65">
      <w:pPr>
        <w:pStyle w:val="NormalWeb"/>
      </w:pPr>
      <w:r>
        <w:t>The analysis relies on aggregate data; individual-level causal factors are inferred indirectly. The Identity Health Score is a simulated construct based on population-level hygiene metrics and requires voluntary adoption for individual-level impact.</w:t>
      </w:r>
    </w:p>
    <w:p w:rsidR="00036F65" w:rsidRDefault="00036F65" w:rsidP="00036F65"/>
    <w:p w:rsidR="00036F65" w:rsidRDefault="00036F65">
      <w:r>
        <w:br w:type="page"/>
      </w:r>
    </w:p>
    <w:p w:rsidR="00036F65" w:rsidRDefault="00036F65" w:rsidP="00036F65">
      <w:pPr>
        <w:pStyle w:val="Heading1"/>
      </w:pPr>
      <w:r>
        <w:lastRenderedPageBreak/>
        <w:t>CHAPTER 2: CASE STUDY</w:t>
      </w:r>
    </w:p>
    <w:p w:rsidR="00B43902" w:rsidRDefault="00B43902" w:rsidP="00B43902">
      <w:pPr>
        <w:pStyle w:val="Heading3"/>
      </w:pPr>
      <w:r>
        <w:t>2.1 Introduction</w:t>
      </w:r>
    </w:p>
    <w:p w:rsidR="00B43902" w:rsidRDefault="00B43902" w:rsidP="00B43902">
      <w:pPr>
        <w:pStyle w:val="NormalWeb"/>
      </w:pPr>
      <w:r>
        <w:t xml:space="preserve">Traditional identity management systems rely largely on citizen-initiated compliance, requiring individuals to remember update requirements and approach service </w:t>
      </w:r>
      <w:proofErr w:type="spellStart"/>
      <w:r>
        <w:t>centers</w:t>
      </w:r>
      <w:proofErr w:type="spellEnd"/>
      <w:r>
        <w:t xml:space="preserve"> when necessary. While this approach functions operationally, it offers limited institutional foresight and places the responsibility of compliance primarily on citizens. This chapter examines the limitations of such reactive identity management models and introduces Project </w:t>
      </w:r>
      <w:proofErr w:type="spellStart"/>
      <w:r>
        <w:t>Setu</w:t>
      </w:r>
      <w:proofErr w:type="spellEnd"/>
      <w:r>
        <w:t xml:space="preserve"> as a proactive, intelligence-driven alternative.</w:t>
      </w:r>
    </w:p>
    <w:p w:rsidR="00B43902" w:rsidRDefault="00B43902" w:rsidP="00B43902">
      <w:pPr>
        <w:pStyle w:val="NormalWeb"/>
      </w:pPr>
      <w:r>
        <w:t xml:space="preserve">The case study highlights how data-driven insights can improve service planning and citizen experience while strengthening operational efficiency within large-scale public identity systems such as </w:t>
      </w:r>
      <w:proofErr w:type="spellStart"/>
      <w:r>
        <w:t>Aadhaar</w:t>
      </w:r>
      <w:proofErr w:type="spellEnd"/>
      <w:r>
        <w:t>.</w:t>
      </w:r>
    </w:p>
    <w:p w:rsidR="00B43902" w:rsidRDefault="00B43902" w:rsidP="00B43902">
      <w:r>
        <w:pict>
          <v:rect id="_x0000_i1044" style="width:0;height:1.5pt" o:hralign="center" o:hrstd="t" o:hr="t" fillcolor="#a0a0a0" stroked="f"/>
        </w:pict>
      </w:r>
    </w:p>
    <w:p w:rsidR="00B43902" w:rsidRDefault="00B43902" w:rsidP="00B43902">
      <w:pPr>
        <w:pStyle w:val="Heading3"/>
      </w:pPr>
      <w:r>
        <w:t>2.2 Current Reactive Management</w:t>
      </w:r>
    </w:p>
    <w:p w:rsidR="00B43902" w:rsidRDefault="00B43902" w:rsidP="00B43902">
      <w:pPr>
        <w:pStyle w:val="NormalWeb"/>
      </w:pPr>
      <w:r>
        <w:t xml:space="preserve">UIDAI currently manages operational load mainly through real-time footfall and immediate service demand at </w:t>
      </w:r>
      <w:proofErr w:type="spellStart"/>
      <w:r>
        <w:t>Aadhaar</w:t>
      </w:r>
      <w:proofErr w:type="spellEnd"/>
      <w:r>
        <w:t xml:space="preserve"> </w:t>
      </w:r>
      <w:proofErr w:type="spellStart"/>
      <w:r>
        <w:t>centers</w:t>
      </w:r>
      <w:proofErr w:type="spellEnd"/>
      <w:r>
        <w:t>. Although this enables short-term responsiveness, it does not account for future demand patterns. As a result, certain districts experience sudden surges in update requests triggered by deadlines, authentication failures, or policy requirements.</w:t>
      </w:r>
    </w:p>
    <w:p w:rsidR="00B43902" w:rsidRDefault="00B43902" w:rsidP="00B43902">
      <w:pPr>
        <w:pStyle w:val="NormalWeb"/>
      </w:pPr>
      <w:r>
        <w:t>These demand spikes often lead to long queues, increased waiting times, and uneven service quality, particularly in regions with limited infrastructure. The absence of predictive planning restricts efficient resource deployment and limits UIDAI’s ability to proactively manage service capacity.</w:t>
      </w:r>
    </w:p>
    <w:p w:rsidR="00B43902" w:rsidRDefault="00B43902" w:rsidP="00B43902">
      <w:r>
        <w:pict>
          <v:rect id="_x0000_i1045" style="width:0;height:1.5pt" o:hralign="center" o:hrstd="t" o:hr="t" fillcolor="#a0a0a0" stroked="f"/>
        </w:pict>
      </w:r>
    </w:p>
    <w:p w:rsidR="00B43902" w:rsidRDefault="00B43902" w:rsidP="00B43902">
      <w:pPr>
        <w:pStyle w:val="Heading3"/>
      </w:pPr>
      <w:r>
        <w:t xml:space="preserve">2.3 The </w:t>
      </w:r>
      <w:proofErr w:type="spellStart"/>
      <w:r>
        <w:t>Setu</w:t>
      </w:r>
      <w:proofErr w:type="spellEnd"/>
      <w:r>
        <w:t xml:space="preserve"> Approach</w:t>
      </w:r>
    </w:p>
    <w:p w:rsidR="00B43902" w:rsidRDefault="00B43902" w:rsidP="00B43902">
      <w:pPr>
        <w:pStyle w:val="NormalWeb"/>
      </w:pPr>
      <w:r>
        <w:t xml:space="preserve">Project </w:t>
      </w:r>
      <w:proofErr w:type="spellStart"/>
      <w:r>
        <w:t>Setu</w:t>
      </w:r>
      <w:proofErr w:type="spellEnd"/>
      <w:r>
        <w:t xml:space="preserve"> introduces a shift from reactive management to proactive intelligence by functioning as an analytical layer over existing data streams. Rather than tracking individuals, it forecasts population-level demand patterns using aggregated historical data and demographic trends.</w:t>
      </w:r>
    </w:p>
    <w:p w:rsidR="00B43902" w:rsidRDefault="00B43902" w:rsidP="00B43902">
      <w:pPr>
        <w:pStyle w:val="NormalWeb"/>
      </w:pPr>
      <w:r>
        <w:t xml:space="preserve">By identifying high-risk regions in advance, Project </w:t>
      </w:r>
      <w:proofErr w:type="spellStart"/>
      <w:r>
        <w:t>Setu</w:t>
      </w:r>
      <w:proofErr w:type="spellEnd"/>
      <w:r>
        <w:t xml:space="preserve"> enables targeted interventions such as advance scheduling of update camps and mobile van deployment. This approach improves service readiness, reduces congestion, and enhances operational efficiency while preserving privacy through a non-intrusive, Zero-Linkage design</w:t>
      </w:r>
    </w:p>
    <w:p w:rsidR="00036F65" w:rsidRDefault="00036F65" w:rsidP="00036F65"/>
    <w:p w:rsidR="00036F65" w:rsidRDefault="00036F65">
      <w:r>
        <w:br w:type="page"/>
      </w:r>
    </w:p>
    <w:p w:rsidR="00036F65" w:rsidRDefault="00036F65" w:rsidP="00036F65">
      <w:pPr>
        <w:pStyle w:val="Heading1"/>
      </w:pPr>
      <w:r>
        <w:lastRenderedPageBreak/>
        <w:t>CHAPTER 3: PROPOSED METHODOLOGY</w:t>
      </w:r>
    </w:p>
    <w:p w:rsidR="00B43902" w:rsidRDefault="00B43902" w:rsidP="00B43902">
      <w:pPr>
        <w:pStyle w:val="Heading3"/>
      </w:pPr>
      <w:r>
        <w:t>3.1 Overview of Methodological Framework</w:t>
      </w:r>
    </w:p>
    <w:p w:rsidR="00B43902" w:rsidRDefault="00B43902" w:rsidP="00B43902">
      <w:pPr>
        <w:pStyle w:val="NormalWeb"/>
      </w:pPr>
      <w:r>
        <w:t xml:space="preserve">The proposed methodology of Project </w:t>
      </w:r>
      <w:proofErr w:type="spellStart"/>
      <w:r>
        <w:t>Setu</w:t>
      </w:r>
      <w:proofErr w:type="spellEnd"/>
      <w:r>
        <w:t xml:space="preserve"> is designed as a structured, end-to-end analytical pipeline that transforms raw administrative data into actionable, policy-relevant insights. The framework follows five clearly defined stages: data aggregation and standardization, demand signal engineering focused on Mandatory Biometric Updates (MBU), time-series forecasting using Holt–Winters models, Identity Health Score (IHS) policy-band construction, and the design of a Zero-Linkage interoperability architecture.</w:t>
      </w:r>
    </w:p>
    <w:p w:rsidR="00B43902" w:rsidRDefault="00B43902" w:rsidP="00B43902">
      <w:pPr>
        <w:pStyle w:val="NormalWeb"/>
      </w:pPr>
      <w:r>
        <w:t xml:space="preserve">Each stage of the methodology is modular, enabling independent validation and scalability. Data aggregation consolidates multiple </w:t>
      </w:r>
      <w:proofErr w:type="spellStart"/>
      <w:r>
        <w:t>Aadhaar</w:t>
      </w:r>
      <w:proofErr w:type="spellEnd"/>
      <w:r>
        <w:t>-related datasets into a unified analytical base, while demand signal engineering extracts meaningful indicators related to biometric update requirements. Time-series forecasting converts historical demand patterns into six-month forward projections, providing UIDAI with a proactive planning horizon. The IHS framework translates complex hygiene indicators into an intuitive policy metric, and the Zero-Linkage design ensures that analytical insights remain detached from individual identities, preserving privacy by design. Together, these stages create a robust and ethically grounded methodology for proactive identity management.</w:t>
      </w:r>
    </w:p>
    <w:p w:rsidR="00B43902" w:rsidRDefault="00B43902" w:rsidP="00B43902">
      <w:r>
        <w:pict>
          <v:rect id="_x0000_i1036" style="width:0;height:1.5pt" o:hralign="center" o:hrstd="t" o:hr="t" fillcolor="#a0a0a0" stroked="f"/>
        </w:pict>
      </w:r>
    </w:p>
    <w:p w:rsidR="00B43902" w:rsidRDefault="00B43902" w:rsidP="00B43902">
      <w:pPr>
        <w:pStyle w:val="Heading3"/>
      </w:pPr>
      <w:r>
        <w:t xml:space="preserve">3.2 Data Understanding and </w:t>
      </w:r>
      <w:proofErr w:type="spellStart"/>
      <w:r>
        <w:t>Preprocessing</w:t>
      </w:r>
      <w:proofErr w:type="spellEnd"/>
    </w:p>
    <w:p w:rsidR="00B43902" w:rsidRDefault="00B43902" w:rsidP="00B43902">
      <w:pPr>
        <w:pStyle w:val="NormalWeb"/>
      </w:pPr>
      <w:r>
        <w:t xml:space="preserve">The data understanding and </w:t>
      </w:r>
      <w:proofErr w:type="spellStart"/>
      <w:r>
        <w:t>preprocessing</w:t>
      </w:r>
      <w:proofErr w:type="spellEnd"/>
      <w:r>
        <w:t xml:space="preserve"> stage focused on preparing heterogeneous </w:t>
      </w:r>
      <w:proofErr w:type="spellStart"/>
      <w:r>
        <w:t>Aadhaar</w:t>
      </w:r>
      <w:proofErr w:type="spellEnd"/>
      <w:r>
        <w:t xml:space="preserve"> datasets for reliable analysis. Biometric update records, demographic summaries, and enrolment statistics were examined to understand temporal patterns, geographic coverage, and data quality variations. All datasets were cleaned to remove inconsistencies, missing values, and duplicate records that could distort analytical outcomes.</w:t>
      </w:r>
    </w:p>
    <w:p w:rsidR="00B43902" w:rsidRDefault="00B43902" w:rsidP="00B43902">
      <w:pPr>
        <w:pStyle w:val="NormalWeb"/>
      </w:pPr>
      <w:r>
        <w:t xml:space="preserve">To ensure temporal alignment, records were standardized into a uniform YYYY–MM format, enabling consistent month-wise trend analysis across multiple years. Geographic harmonization was performed at the </w:t>
      </w:r>
      <w:proofErr w:type="spellStart"/>
      <w:r>
        <w:t>pincode</w:t>
      </w:r>
      <w:proofErr w:type="spellEnd"/>
      <w:r>
        <w:t xml:space="preserve"> level, allowing meaningful aggregation and comparison across regions. This </w:t>
      </w:r>
      <w:proofErr w:type="spellStart"/>
      <w:r>
        <w:t>preprocessing</w:t>
      </w:r>
      <w:proofErr w:type="spellEnd"/>
      <w:r>
        <w:t xml:space="preserve"> ensured that the datasets were analytically compatible, minimized noise, and provided a stable foundation for subsequent demand forecasting and risk profiling stages</w:t>
      </w:r>
    </w:p>
    <w:p w:rsidR="00036F65" w:rsidRDefault="00036F65" w:rsidP="00036F65"/>
    <w:p w:rsidR="00036F65" w:rsidRDefault="00036F65">
      <w:r>
        <w:br w:type="page"/>
      </w:r>
    </w:p>
    <w:p w:rsidR="00036F65" w:rsidRDefault="00036F65" w:rsidP="00036F65">
      <w:pPr>
        <w:pStyle w:val="Heading1"/>
      </w:pPr>
      <w:r>
        <w:lastRenderedPageBreak/>
        <w:t>CHAPTER 4: IMPLEMENTATION</w:t>
      </w:r>
    </w:p>
    <w:p w:rsidR="00B43902" w:rsidRDefault="00B43902" w:rsidP="00B43902">
      <w:pPr>
        <w:pStyle w:val="Heading3"/>
      </w:pPr>
      <w:r>
        <w:t>4.1 Analytics Layer</w:t>
      </w:r>
    </w:p>
    <w:p w:rsidR="00B43902" w:rsidRDefault="00B43902" w:rsidP="00B43902">
      <w:pPr>
        <w:pStyle w:val="NormalWeb"/>
      </w:pPr>
      <w:r>
        <w:t xml:space="preserve">The analytics layer forms the core proof of concept of Project </w:t>
      </w:r>
      <w:proofErr w:type="spellStart"/>
      <w:r>
        <w:t>Setu</w:t>
      </w:r>
      <w:proofErr w:type="spellEnd"/>
      <w:r>
        <w:t xml:space="preserve"> and was implemented using three focused </w:t>
      </w:r>
      <w:proofErr w:type="spellStart"/>
      <w:r>
        <w:t>Jupyter</w:t>
      </w:r>
      <w:proofErr w:type="spellEnd"/>
      <w:r>
        <w:t xml:space="preserve"> notebooks, each addressing a specific analytical objective. The first notebook is dedicated to MBU demand forecasting and handles data ingestion, </w:t>
      </w:r>
      <w:proofErr w:type="spellStart"/>
      <w:r>
        <w:t>preprocessing</w:t>
      </w:r>
      <w:proofErr w:type="spellEnd"/>
      <w:r>
        <w:t xml:space="preserve">, feature aggregation, and time-series </w:t>
      </w:r>
      <w:proofErr w:type="spellStart"/>
      <w:r>
        <w:t>modeling</w:t>
      </w:r>
      <w:proofErr w:type="spellEnd"/>
      <w:r>
        <w:t xml:space="preserve">. The second notebook focuses on </w:t>
      </w:r>
      <w:proofErr w:type="spellStart"/>
      <w:r>
        <w:t>pincode</w:t>
      </w:r>
      <w:proofErr w:type="spellEnd"/>
      <w:r>
        <w:t xml:space="preserve">-level risk profiling, where forecasted demand outputs are translated into spatial risk indicators and visualized using </w:t>
      </w:r>
      <w:proofErr w:type="spellStart"/>
      <w:r>
        <w:t>heatmaps</w:t>
      </w:r>
      <w:proofErr w:type="spellEnd"/>
      <w:r>
        <w:t xml:space="preserve"> to highlight high-pressure regions. The third notebook implements the Identity Health Score (IHS) framework, transforming multiple hygiene indicators into a single policy-friendly metric.</w:t>
      </w:r>
    </w:p>
    <w:p w:rsidR="00B43902" w:rsidRDefault="00B43902" w:rsidP="00B43902">
      <w:pPr>
        <w:pStyle w:val="NormalWeb"/>
      </w:pPr>
      <w:r>
        <w:t>This modular notebook-based architecture ensures clarity, reproducibility, and auditability of results. Each analytical component can be independently validated or enhanced without affecting the overall system. The design also allows seamless scalability, enabling UIDAI to integrate additional data sources or analytical layers in the future without disrupting existing workflows.</w:t>
      </w:r>
    </w:p>
    <w:p w:rsidR="00B43902" w:rsidRDefault="00B43902" w:rsidP="00B43902">
      <w:r>
        <w:pict>
          <v:rect id="_x0000_i1034" style="width:0;height:1.5pt" o:hralign="center" o:hrstd="t" o:hr="t" fillcolor="#a0a0a0" stroked="f"/>
        </w:pict>
      </w:r>
    </w:p>
    <w:p w:rsidR="00B43902" w:rsidRDefault="00B43902" w:rsidP="00B43902">
      <w:pPr>
        <w:pStyle w:val="Heading3"/>
      </w:pPr>
      <w:r>
        <w:t>4.2 Forecasting Engine</w:t>
      </w:r>
    </w:p>
    <w:p w:rsidR="00B43902" w:rsidRDefault="00B43902" w:rsidP="00B43902">
      <w:pPr>
        <w:pStyle w:val="NormalWeb"/>
      </w:pPr>
      <w:r>
        <w:t xml:space="preserve">The forecasting engine employs Exponential Smoothing techniques, specifically Holt–Winters models, to predict Mandatory Biometric Update demand at a six-month horizon. These models were selected due to their effectiveness in capturing level and trend components in time-series data, making them suitable for </w:t>
      </w:r>
      <w:proofErr w:type="spellStart"/>
      <w:r>
        <w:t>modeling</w:t>
      </w:r>
      <w:proofErr w:type="spellEnd"/>
      <w:r>
        <w:t xml:space="preserve"> gradual population growth and age-based biometric update cycles.</w:t>
      </w:r>
    </w:p>
    <w:p w:rsidR="00B43902" w:rsidRDefault="00B43902" w:rsidP="00B43902">
      <w:pPr>
        <w:pStyle w:val="NormalWeb"/>
      </w:pPr>
      <w:r>
        <w:t xml:space="preserve">The engine accounts for linear growth trends associated with cohorts reaching mandatory biometric update thresholds, while smoothing short-term fluctuations to avoid over-reaction to temporary anomalies. Forecast outputs are generated at the </w:t>
      </w:r>
      <w:proofErr w:type="spellStart"/>
      <w:r>
        <w:t>pincode</w:t>
      </w:r>
      <w:proofErr w:type="spellEnd"/>
      <w:r>
        <w:t xml:space="preserve"> level, enabling fine-grained planning and localized interventions. By translating historical patterns into forward-looking demand estimates, the forecasting engine provides UIDAI with a reliable decision-support tool for proactive infrastructure deployment and capacity planning</w:t>
      </w:r>
    </w:p>
    <w:p w:rsidR="00036F65" w:rsidRDefault="00036F65" w:rsidP="00036F65"/>
    <w:p w:rsidR="00036F65" w:rsidRDefault="00036F65">
      <w:r>
        <w:br w:type="page"/>
      </w:r>
    </w:p>
    <w:p w:rsidR="00036F65" w:rsidRDefault="00036F65" w:rsidP="00036F65">
      <w:pPr>
        <w:pStyle w:val="Heading1"/>
      </w:pPr>
      <w:r>
        <w:lastRenderedPageBreak/>
        <w:t>CHAPTER 5: DATA ANALYSIS, RESULTS AND VISUALIZATION</w:t>
      </w:r>
    </w:p>
    <w:p w:rsidR="00B43902" w:rsidRDefault="00B43902" w:rsidP="00B43902">
      <w:pPr>
        <w:pStyle w:val="Heading3"/>
      </w:pPr>
      <w:r>
        <w:t>5.1 MBU Demand Forecasting Results</w:t>
      </w:r>
    </w:p>
    <w:p w:rsidR="00B43902" w:rsidRDefault="00B43902" w:rsidP="00B43902">
      <w:pPr>
        <w:pStyle w:val="NormalWeb"/>
      </w:pPr>
      <w:r>
        <w:t xml:space="preserve">The MBU demand forecasting model demonstrated strong capability in identifying upcoming surge periods across high-activity </w:t>
      </w:r>
      <w:proofErr w:type="spellStart"/>
      <w:r>
        <w:t>pincodes</w:t>
      </w:r>
      <w:proofErr w:type="spellEnd"/>
      <w:r>
        <w:t xml:space="preserve">. By </w:t>
      </w:r>
      <w:proofErr w:type="spellStart"/>
      <w:r>
        <w:t>analyzing</w:t>
      </w:r>
      <w:proofErr w:type="spellEnd"/>
      <w:r>
        <w:t xml:space="preserve"> historical enrolment and update patterns, the model generated reliable six-month demand projections that highlight months and regions likely to experience increased biometric update requirements. These forecasts provide UIDAI with a valuable planning horizon to proactively deploy mobile </w:t>
      </w:r>
      <w:proofErr w:type="spellStart"/>
      <w:r>
        <w:t>Aadhaar</w:t>
      </w:r>
      <w:proofErr w:type="spellEnd"/>
      <w:r>
        <w:t xml:space="preserve"> vans, schedule special update camps, and allocate trained operators in advance.</w:t>
      </w:r>
    </w:p>
    <w:p w:rsidR="00B43902" w:rsidRDefault="00B43902" w:rsidP="00B43902">
      <w:pPr>
        <w:pStyle w:val="NormalWeb"/>
      </w:pPr>
      <w:r>
        <w:t xml:space="preserve">Visualization of the forecasted demand trends revealed clear seasonal and demographic patterns, particularly in regions with higher populations approaching age-based biometric update thresholds. </w:t>
      </w:r>
      <w:proofErr w:type="spellStart"/>
      <w:r>
        <w:t>Heatmaps</w:t>
      </w:r>
      <w:proofErr w:type="spellEnd"/>
      <w:r>
        <w:t xml:space="preserve"> and time-series plots helped distinguish persistent high-demand areas from temporary spikes, allowing administrators to prioritize interventions more effectively. Overall, the forecasting results validate the use of time-series analytics as a practical tool for reducing congestion, improving service availability, and ensuring smoother </w:t>
      </w:r>
      <w:proofErr w:type="spellStart"/>
      <w:r>
        <w:t>Aadhaar</w:t>
      </w:r>
      <w:proofErr w:type="spellEnd"/>
      <w:r>
        <w:t xml:space="preserve"> update operations.</w:t>
      </w:r>
    </w:p>
    <w:p w:rsidR="00B43902" w:rsidRDefault="00B43902" w:rsidP="00B43902">
      <w:r>
        <w:pict>
          <v:rect id="_x0000_i1032" style="width:0;height:1.5pt" o:hralign="center" o:hrstd="t" o:hr="t" fillcolor="#a0a0a0" stroked="f"/>
        </w:pict>
      </w:r>
    </w:p>
    <w:p w:rsidR="00B43902" w:rsidRDefault="00B43902" w:rsidP="00B43902">
      <w:pPr>
        <w:pStyle w:val="Heading3"/>
      </w:pPr>
      <w:r>
        <w:t>5.2 IHS Policy Band Analysis</w:t>
      </w:r>
    </w:p>
    <w:p w:rsidR="00B43902" w:rsidRDefault="00B43902" w:rsidP="00B43902">
      <w:pPr>
        <w:pStyle w:val="NormalWeb"/>
      </w:pPr>
      <w:r>
        <w:t xml:space="preserve">The Identity Health Score (IHS) analysis classified </w:t>
      </w:r>
      <w:proofErr w:type="spellStart"/>
      <w:r>
        <w:t>pincodes</w:t>
      </w:r>
      <w:proofErr w:type="spellEnd"/>
      <w:r>
        <w:t xml:space="preserve"> into three policy-relevant bands: Critical (0–399), Warning (400–699), and Healthy (700–900). This classification enabled a clear and intuitive assessment of identity hygiene across regions, allowing policymakers to quickly identify areas requiring attention. While a majority of </w:t>
      </w:r>
      <w:proofErr w:type="spellStart"/>
      <w:r>
        <w:t>pincodes</w:t>
      </w:r>
      <w:proofErr w:type="spellEnd"/>
      <w:r>
        <w:t xml:space="preserve"> maintained healthy baseline scores, a smaller set of regions consistently appeared in the Critical and Warning bands, indicating elevated risks of authentication failures and service disruption.</w:t>
      </w:r>
    </w:p>
    <w:p w:rsidR="00B43902" w:rsidRDefault="00B43902" w:rsidP="00B43902">
      <w:pPr>
        <w:pStyle w:val="NormalWeb"/>
      </w:pPr>
      <w:r>
        <w:t>Geospatial visualization of IHS bands revealed clustered risk patterns rather than isolated cases, suggesting the influence of shared demographic or infrastructural factors. These insights support targeted, non-punitive interventions such as awareness campaigns, additional update camps, and prioritized resource deployment. By presenting complex identity health metrics in an accessible policy format, the IHS framework bridges the gap between data analysis and actionable governance decisions.</w:t>
      </w:r>
    </w:p>
    <w:p w:rsidR="00036F65" w:rsidRDefault="00036F65" w:rsidP="00036F65"/>
    <w:p w:rsidR="00036F65" w:rsidRDefault="00036F65">
      <w:r>
        <w:br w:type="page"/>
      </w:r>
    </w:p>
    <w:p w:rsidR="00036F65" w:rsidRDefault="00036F65" w:rsidP="00036F65">
      <w:pPr>
        <w:pStyle w:val="Heading1"/>
      </w:pPr>
      <w:r>
        <w:lastRenderedPageBreak/>
        <w:t>CHAPTER 6: DISCUSSION AND CONCLUSION</w:t>
      </w:r>
    </w:p>
    <w:p w:rsidR="00B43902" w:rsidRDefault="00B43902" w:rsidP="00B43902">
      <w:pPr>
        <w:pStyle w:val="Heading3"/>
      </w:pPr>
      <w:r>
        <w:t>6.1 Impact at National Scale</w:t>
      </w:r>
    </w:p>
    <w:p w:rsidR="00B43902" w:rsidRDefault="00B43902" w:rsidP="00B43902">
      <w:pPr>
        <w:pStyle w:val="NormalWeb"/>
      </w:pPr>
      <w:r>
        <w:t xml:space="preserve">At a national level, Project </w:t>
      </w:r>
      <w:proofErr w:type="spellStart"/>
      <w:r>
        <w:t>Setu</w:t>
      </w:r>
      <w:proofErr w:type="spellEnd"/>
      <w:r>
        <w:t xml:space="preserve"> enables UIDAI to transition from reactive service management to predictable, data-driven infrastructure planning. By forecasting Mandatory Biometric Update (MBU) demand at the </w:t>
      </w:r>
      <w:proofErr w:type="spellStart"/>
      <w:r>
        <w:t>pincode</w:t>
      </w:r>
      <w:proofErr w:type="spellEnd"/>
      <w:r>
        <w:t xml:space="preserve"> level, UIDAI can optimize the allocation of resources such as enrolment operators, update </w:t>
      </w:r>
      <w:proofErr w:type="spellStart"/>
      <w:r>
        <w:t>centers</w:t>
      </w:r>
      <w:proofErr w:type="spellEnd"/>
      <w:r>
        <w:t xml:space="preserve">, and mobile </w:t>
      </w:r>
      <w:proofErr w:type="spellStart"/>
      <w:r>
        <w:t>Aadhaar</w:t>
      </w:r>
      <w:proofErr w:type="spellEnd"/>
      <w:r>
        <w:t xml:space="preserve"> vans well in advance. This proactive planning reduces sudden congestion, improves service availability in high-risk regions, and lowers operational costs associated with emergency deployments and last-minute capacity expansion.</w:t>
      </w:r>
    </w:p>
    <w:p w:rsidR="00B43902" w:rsidRDefault="00B43902" w:rsidP="00B43902">
      <w:pPr>
        <w:pStyle w:val="NormalWeb"/>
      </w:pPr>
      <w:r>
        <w:t xml:space="preserve">For citizens, Project </w:t>
      </w:r>
      <w:proofErr w:type="spellStart"/>
      <w:r>
        <w:t>Setu</w:t>
      </w:r>
      <w:proofErr w:type="spellEnd"/>
      <w:r>
        <w:t xml:space="preserve"> significantly minimizes service disruptions caused by outdated biometric or demographic data. Authentication failures during critical life events—such as education admissions, welfare access, banking, or travel—can be reduced through timely nudges and awareness. Shorter waiting times, fewer repeat visits, and improved service reliability enhance public trust in </w:t>
      </w:r>
      <w:proofErr w:type="spellStart"/>
      <w:r>
        <w:t>Aadhaar</w:t>
      </w:r>
      <w:proofErr w:type="spellEnd"/>
      <w:r>
        <w:t xml:space="preserve"> as a foundational digital identity system. Importantly, these benefits are achieved without compromising individual privacy, as all insights are generated from anonymized and aggregated data.</w:t>
      </w:r>
    </w:p>
    <w:p w:rsidR="00B43902" w:rsidRDefault="00B43902" w:rsidP="00B43902">
      <w:pPr>
        <w:pStyle w:val="NormalWeb"/>
      </w:pPr>
      <w:r>
        <w:t xml:space="preserve">At a governance level, Project </w:t>
      </w:r>
      <w:proofErr w:type="spellStart"/>
      <w:r>
        <w:t>Setu</w:t>
      </w:r>
      <w:proofErr w:type="spellEnd"/>
      <w:r>
        <w:t xml:space="preserve"> provides policymakers with actionable intelligence to design region-specific interventions, prioritize underserved areas, and ensure equitable access to identity services across urban and rural populations. This strengthens </w:t>
      </w:r>
      <w:proofErr w:type="spellStart"/>
      <w:r>
        <w:t>Aadhaar’s</w:t>
      </w:r>
      <w:proofErr w:type="spellEnd"/>
      <w:r>
        <w:t xml:space="preserve"> role as a resilient and citizen-centric component of India’s digital public infrastructure.</w:t>
      </w:r>
    </w:p>
    <w:p w:rsidR="00B43902" w:rsidRDefault="00B43902" w:rsidP="00B43902">
      <w:r>
        <w:pict>
          <v:rect id="_x0000_i1030" style="width:0;height:1.5pt" o:hralign="center" o:hrstd="t" o:hr="t" fillcolor="#a0a0a0" stroked="f"/>
        </w:pict>
      </w:r>
    </w:p>
    <w:p w:rsidR="00B43902" w:rsidRDefault="00B43902" w:rsidP="00B43902">
      <w:pPr>
        <w:pStyle w:val="Heading3"/>
      </w:pPr>
      <w:r>
        <w:t>6.2 Conclusion</w:t>
      </w:r>
    </w:p>
    <w:p w:rsidR="00B43902" w:rsidRDefault="00B43902" w:rsidP="00B43902">
      <w:pPr>
        <w:pStyle w:val="NormalWeb"/>
      </w:pPr>
      <w:r>
        <w:t xml:space="preserve">Project </w:t>
      </w:r>
      <w:proofErr w:type="spellStart"/>
      <w:r>
        <w:t>Setu</w:t>
      </w:r>
      <w:proofErr w:type="spellEnd"/>
      <w:r>
        <w:t xml:space="preserve"> demonstrates that </w:t>
      </w:r>
      <w:proofErr w:type="spellStart"/>
      <w:r>
        <w:t>Aadhaar</w:t>
      </w:r>
      <w:proofErr w:type="spellEnd"/>
      <w:r>
        <w:t xml:space="preserve"> can evolve beyond a static identification system into an intelligent, life-event-driven public infrastructure. By bridging the gap between data analytics and service delivery, the project shows how population-level foresight can be used to anticipate citizen needs rather than respond to failures after they occur. The integration of demand forecasting, </w:t>
      </w:r>
      <w:proofErr w:type="spellStart"/>
      <w:r>
        <w:t>pincode</w:t>
      </w:r>
      <w:proofErr w:type="spellEnd"/>
      <w:r>
        <w:t xml:space="preserve"> risk profiling, and the voluntary Identity Health Score introduces a balanced approach that encourages proactive identity maintenance without punitive enforcement.</w:t>
      </w:r>
    </w:p>
    <w:p w:rsidR="00B43902" w:rsidRDefault="00B43902" w:rsidP="00B43902">
      <w:pPr>
        <w:pStyle w:val="NormalWeb"/>
      </w:pPr>
      <w:r>
        <w:t xml:space="preserve">Furthermore, the adoption of a Zero-Linkage privacy architecture ensures that trust remains central to the system’s design. By avoiding individual-level tracking and preserving anonymity, Project </w:t>
      </w:r>
      <w:proofErr w:type="spellStart"/>
      <w:r>
        <w:t>Setu</w:t>
      </w:r>
      <w:proofErr w:type="spellEnd"/>
      <w:r>
        <w:t xml:space="preserve"> aligns with both the </w:t>
      </w:r>
      <w:proofErr w:type="spellStart"/>
      <w:r>
        <w:t>Aadhaar</w:t>
      </w:r>
      <w:proofErr w:type="spellEnd"/>
      <w:r>
        <w:t xml:space="preserve"> Act and modern privacy-by-design principles. Overall, the project presents a scalable, auditable, and ethically grounded framework that can support UIDAI in strengthening service delivery while maintaining citizen confidence. Project </w:t>
      </w:r>
      <w:proofErr w:type="spellStart"/>
      <w:r>
        <w:t>Setu</w:t>
      </w:r>
      <w:proofErr w:type="spellEnd"/>
      <w:r>
        <w:t xml:space="preserve"> thus illustrates a forward-looking model for the future of digital identity management in India.</w:t>
      </w:r>
    </w:p>
    <w:p w:rsidR="00827B2D" w:rsidRDefault="00B43902" w:rsidP="00B43902">
      <w:pPr>
        <w:pStyle w:val="NormalWeb"/>
      </w:pPr>
      <w:r>
        <w:t xml:space="preserve"> </w:t>
      </w:r>
    </w:p>
    <w:p w:rsidR="00827B2D" w:rsidRDefault="00827B2D" w:rsidP="00827B2D">
      <w:pPr>
        <w:pStyle w:val="Heading2"/>
      </w:pPr>
      <w:r>
        <w:br w:type="page"/>
      </w:r>
      <w:r>
        <w:lastRenderedPageBreak/>
        <w:t>FINAL REMARKS</w:t>
      </w:r>
    </w:p>
    <w:p w:rsidR="00827B2D" w:rsidRDefault="00827B2D" w:rsidP="00827B2D">
      <w:pPr>
        <w:pStyle w:val="NormalWeb"/>
      </w:pPr>
      <w:r>
        <w:t xml:space="preserve">Project </w:t>
      </w:r>
      <w:proofErr w:type="spellStart"/>
      <w:r>
        <w:t>Setu</w:t>
      </w:r>
      <w:proofErr w:type="spellEnd"/>
      <w:r>
        <w:t xml:space="preserve"> represents a forward-looking approach to strengthening </w:t>
      </w:r>
      <w:proofErr w:type="spellStart"/>
      <w:r>
        <w:t>Aadhaar</w:t>
      </w:r>
      <w:proofErr w:type="spellEnd"/>
      <w:r>
        <w:t xml:space="preserve"> as a core pillar of India’s digital public infrastructure. By shifting identity management from a reactive, citizen-driven process to a proactive, intelligence-supported system, the project demonstrates how data analytics can be responsibly leveraged to improve public service delivery at scale. The proposed framework highlights that anticipating identity update requirements is not only operationally efficient but also essential for enhancing citizen experience and trust.</w:t>
      </w:r>
    </w:p>
    <w:p w:rsidR="00827B2D" w:rsidRDefault="00827B2D" w:rsidP="00827B2D">
      <w:pPr>
        <w:pStyle w:val="NormalWeb"/>
      </w:pPr>
      <w:r>
        <w:t>Throughout this project, emphasis has been placed on balancing innovation with responsibility. The use of anonymized, aggregated data and the adoption of a Zero-Linkage privacy architecture ensure that predictive insights do not compromise individual rights. The introduction of the Identity Health Score further reinforces a non-punitive, awareness-driven approach that encourages proactive identity maintenance without coercion.</w:t>
      </w:r>
    </w:p>
    <w:p w:rsidR="00827B2D" w:rsidRDefault="00827B2D" w:rsidP="00827B2D">
      <w:pPr>
        <w:pStyle w:val="NormalWeb"/>
      </w:pPr>
      <w:r>
        <w:t xml:space="preserve">Overall, Project </w:t>
      </w:r>
      <w:proofErr w:type="spellStart"/>
      <w:r>
        <w:t>Setu</w:t>
      </w:r>
      <w:proofErr w:type="spellEnd"/>
      <w:r>
        <w:t xml:space="preserve"> illustrates how population-level foresight, when combined with ethical data practices, can help UIDAI plan infrastructure more effectively, reduce service disruptions, and support inclusive governance. The project serves as a proof of concept for how </w:t>
      </w:r>
      <w:proofErr w:type="spellStart"/>
      <w:r>
        <w:t>Aadhaar</w:t>
      </w:r>
      <w:proofErr w:type="spellEnd"/>
      <w:r>
        <w:t xml:space="preserve"> can evolve into a more intelligent, anticipatory, and citizen-centric system, setting a strong foundation for future enhancements in digital identity management</w:t>
      </w:r>
    </w:p>
    <w:p w:rsidR="00827B2D" w:rsidRDefault="00827B2D">
      <w:pPr>
        <w:rPr>
          <w:rFonts w:ascii="Times New Roman" w:eastAsia="Times New Roman" w:hAnsi="Times New Roman" w:cs="Times New Roman"/>
          <w:sz w:val="24"/>
          <w:szCs w:val="24"/>
          <w:lang w:eastAsia="en-IN"/>
        </w:rPr>
      </w:pPr>
    </w:p>
    <w:p w:rsidR="00827B2D" w:rsidRDefault="00827B2D">
      <w:pPr>
        <w:rPr>
          <w:rFonts w:ascii="Times New Roman" w:eastAsia="Times New Roman" w:hAnsi="Times New Roman" w:cs="Times New Roman"/>
          <w:sz w:val="24"/>
          <w:szCs w:val="24"/>
          <w:lang w:eastAsia="en-IN"/>
        </w:rPr>
      </w:pPr>
    </w:p>
    <w:p w:rsidR="00827B2D" w:rsidRDefault="00827B2D">
      <w:pPr>
        <w:rPr>
          <w:rFonts w:ascii="Times New Roman" w:eastAsia="Times New Roman" w:hAnsi="Times New Roman" w:cs="Times New Roman"/>
          <w:sz w:val="24"/>
          <w:szCs w:val="24"/>
          <w:lang w:eastAsia="en-IN"/>
        </w:rPr>
      </w:pPr>
    </w:p>
    <w:p w:rsidR="00827B2D" w:rsidRDefault="00827B2D">
      <w:pPr>
        <w:rPr>
          <w:rFonts w:ascii="Times New Roman" w:eastAsia="Times New Roman" w:hAnsi="Times New Roman" w:cs="Times New Roman"/>
          <w:sz w:val="24"/>
          <w:szCs w:val="24"/>
          <w:lang w:eastAsia="en-IN"/>
        </w:rPr>
      </w:pPr>
    </w:p>
    <w:p w:rsidR="00827B2D" w:rsidRDefault="00827B2D">
      <w:pPr>
        <w:rPr>
          <w:rFonts w:ascii="Times New Roman" w:eastAsia="Times New Roman" w:hAnsi="Times New Roman" w:cs="Times New Roman"/>
          <w:sz w:val="24"/>
          <w:szCs w:val="24"/>
          <w:lang w:eastAsia="en-IN"/>
        </w:rPr>
      </w:pPr>
    </w:p>
    <w:p w:rsidR="00827B2D" w:rsidRDefault="00827B2D">
      <w:pPr>
        <w:rPr>
          <w:rFonts w:ascii="Times New Roman" w:eastAsia="Times New Roman" w:hAnsi="Times New Roman" w:cs="Times New Roman"/>
          <w:sz w:val="24"/>
          <w:szCs w:val="24"/>
          <w:lang w:eastAsia="en-IN"/>
        </w:rPr>
      </w:pPr>
    </w:p>
    <w:p w:rsidR="00827B2D" w:rsidRDefault="00827B2D">
      <w:pPr>
        <w:rPr>
          <w:rFonts w:ascii="Times New Roman" w:eastAsia="Times New Roman" w:hAnsi="Times New Roman" w:cs="Times New Roman"/>
          <w:sz w:val="24"/>
          <w:szCs w:val="24"/>
          <w:lang w:eastAsia="en-IN"/>
        </w:rPr>
      </w:pPr>
    </w:p>
    <w:p w:rsidR="00827B2D" w:rsidRDefault="00827B2D">
      <w:pPr>
        <w:rPr>
          <w:rFonts w:ascii="Times New Roman" w:eastAsia="Times New Roman" w:hAnsi="Times New Roman" w:cs="Times New Roman"/>
          <w:sz w:val="24"/>
          <w:szCs w:val="24"/>
          <w:lang w:eastAsia="en-IN"/>
        </w:rPr>
      </w:pPr>
    </w:p>
    <w:p w:rsidR="00827B2D" w:rsidRDefault="00827B2D">
      <w:pPr>
        <w:rPr>
          <w:rFonts w:ascii="Times New Roman" w:eastAsia="Times New Roman" w:hAnsi="Times New Roman" w:cs="Times New Roman"/>
          <w:sz w:val="24"/>
          <w:szCs w:val="24"/>
          <w:lang w:eastAsia="en-IN"/>
        </w:rPr>
      </w:pPr>
    </w:p>
    <w:p w:rsidR="00827B2D" w:rsidRDefault="00827B2D">
      <w:pPr>
        <w:rPr>
          <w:rFonts w:ascii="Times New Roman" w:eastAsia="Times New Roman" w:hAnsi="Times New Roman" w:cs="Times New Roman"/>
          <w:sz w:val="24"/>
          <w:szCs w:val="24"/>
          <w:lang w:eastAsia="en-IN"/>
        </w:rPr>
      </w:pPr>
    </w:p>
    <w:p w:rsidR="00827B2D" w:rsidRDefault="00827B2D">
      <w:pPr>
        <w:rPr>
          <w:rFonts w:ascii="Times New Roman" w:eastAsia="Times New Roman" w:hAnsi="Times New Roman" w:cs="Times New Roman"/>
          <w:sz w:val="24"/>
          <w:szCs w:val="24"/>
          <w:lang w:eastAsia="en-IN"/>
        </w:rPr>
      </w:pPr>
    </w:p>
    <w:p w:rsidR="00827B2D" w:rsidRDefault="00827B2D">
      <w:pPr>
        <w:rPr>
          <w:rFonts w:ascii="Times New Roman" w:eastAsia="Times New Roman" w:hAnsi="Times New Roman" w:cs="Times New Roman"/>
          <w:sz w:val="24"/>
          <w:szCs w:val="24"/>
          <w:lang w:eastAsia="en-IN"/>
        </w:rPr>
      </w:pPr>
    </w:p>
    <w:p w:rsidR="00827B2D" w:rsidRDefault="00827B2D">
      <w:pPr>
        <w:rPr>
          <w:rFonts w:ascii="Times New Roman" w:eastAsia="Times New Roman" w:hAnsi="Times New Roman" w:cs="Times New Roman"/>
          <w:sz w:val="24"/>
          <w:szCs w:val="24"/>
          <w:lang w:eastAsia="en-IN"/>
        </w:rPr>
      </w:pPr>
    </w:p>
    <w:p w:rsidR="00827B2D" w:rsidRDefault="00827B2D">
      <w:pPr>
        <w:rPr>
          <w:rFonts w:ascii="Times New Roman" w:eastAsia="Times New Roman" w:hAnsi="Times New Roman" w:cs="Times New Roman"/>
          <w:sz w:val="24"/>
          <w:szCs w:val="24"/>
          <w:lang w:eastAsia="en-IN"/>
        </w:rPr>
      </w:pPr>
    </w:p>
    <w:p w:rsidR="00312C5B" w:rsidRDefault="00CD5C48" w:rsidP="00B43902">
      <w:pPr>
        <w:pStyle w:val="NormalWeb"/>
      </w:pPr>
    </w:p>
    <w:p w:rsidR="00B43902" w:rsidRPr="00827B2D" w:rsidRDefault="00B43902" w:rsidP="00827B2D">
      <w:pPr>
        <w:jc w:val="center"/>
        <w:rPr>
          <w:rFonts w:ascii="Arial Black" w:hAnsi="Arial Black"/>
          <w:b/>
          <w:sz w:val="52"/>
          <w:szCs w:val="52"/>
        </w:rPr>
      </w:pPr>
    </w:p>
    <w:p w:rsidR="00B43902" w:rsidRPr="00827B2D" w:rsidRDefault="00827B2D" w:rsidP="00827B2D">
      <w:pPr>
        <w:jc w:val="center"/>
        <w:rPr>
          <w:rFonts w:ascii="Arial Black" w:hAnsi="Arial Black"/>
          <w:b/>
          <w:sz w:val="52"/>
          <w:szCs w:val="52"/>
        </w:rPr>
      </w:pPr>
      <w:r w:rsidRPr="00827B2D">
        <w:rPr>
          <w:rFonts w:ascii="Arial Black" w:hAnsi="Arial Black"/>
          <w:b/>
          <w:sz w:val="52"/>
          <w:szCs w:val="52"/>
        </w:rPr>
        <w:lastRenderedPageBreak/>
        <w:t>REFERENCES</w:t>
      </w:r>
    </w:p>
    <w:p w:rsidR="00B43902" w:rsidRDefault="00B43902" w:rsidP="00036F65"/>
    <w:p w:rsidR="00B43902" w:rsidRDefault="00B43902" w:rsidP="00036F65"/>
    <w:p w:rsidR="00827B2D" w:rsidRPr="00827B2D" w:rsidRDefault="00827B2D" w:rsidP="00827B2D">
      <w:pPr>
        <w:spacing w:before="100" w:beforeAutospacing="1" w:after="100" w:afterAutospacing="1" w:line="240" w:lineRule="auto"/>
        <w:rPr>
          <w:rFonts w:ascii="Times New Roman" w:eastAsia="Times New Roman" w:hAnsi="Times New Roman" w:cs="Times New Roman"/>
          <w:sz w:val="24"/>
          <w:szCs w:val="24"/>
          <w:lang w:eastAsia="en-IN"/>
        </w:rPr>
      </w:pPr>
      <w:r w:rsidRPr="00827B2D">
        <w:rPr>
          <w:rFonts w:ascii="Times New Roman" w:eastAsia="Times New Roman" w:hAnsi="Times New Roman" w:cs="Times New Roman"/>
          <w:sz w:val="24"/>
          <w:szCs w:val="24"/>
          <w:lang w:eastAsia="en-IN"/>
        </w:rPr>
        <w:t xml:space="preserve">[1] Unique Identification Authority of India (UIDAI), </w:t>
      </w:r>
      <w:proofErr w:type="spellStart"/>
      <w:r w:rsidRPr="00827B2D">
        <w:rPr>
          <w:rFonts w:ascii="Times New Roman" w:eastAsia="Times New Roman" w:hAnsi="Times New Roman" w:cs="Times New Roman"/>
          <w:i/>
          <w:iCs/>
          <w:sz w:val="24"/>
          <w:szCs w:val="24"/>
          <w:lang w:eastAsia="en-IN"/>
        </w:rPr>
        <w:t>Aadhaar</w:t>
      </w:r>
      <w:proofErr w:type="spellEnd"/>
      <w:r w:rsidRPr="00827B2D">
        <w:rPr>
          <w:rFonts w:ascii="Times New Roman" w:eastAsia="Times New Roman" w:hAnsi="Times New Roman" w:cs="Times New Roman"/>
          <w:i/>
          <w:iCs/>
          <w:sz w:val="24"/>
          <w:szCs w:val="24"/>
          <w:lang w:eastAsia="en-IN"/>
        </w:rPr>
        <w:t xml:space="preserve"> Act, 2016 and Associated Regulations</w:t>
      </w:r>
      <w:r w:rsidRPr="00827B2D">
        <w:rPr>
          <w:rFonts w:ascii="Times New Roman" w:eastAsia="Times New Roman" w:hAnsi="Times New Roman" w:cs="Times New Roman"/>
          <w:sz w:val="24"/>
          <w:szCs w:val="24"/>
          <w:lang w:eastAsia="en-IN"/>
        </w:rPr>
        <w:t>, Government of India, New Delhi, India.</w:t>
      </w:r>
    </w:p>
    <w:p w:rsidR="00827B2D" w:rsidRPr="00827B2D" w:rsidRDefault="00827B2D" w:rsidP="00827B2D">
      <w:pPr>
        <w:spacing w:before="100" w:beforeAutospacing="1" w:after="100" w:afterAutospacing="1" w:line="240" w:lineRule="auto"/>
        <w:rPr>
          <w:rFonts w:ascii="Times New Roman" w:eastAsia="Times New Roman" w:hAnsi="Times New Roman" w:cs="Times New Roman"/>
          <w:sz w:val="24"/>
          <w:szCs w:val="24"/>
          <w:lang w:eastAsia="en-IN"/>
        </w:rPr>
      </w:pPr>
      <w:r w:rsidRPr="00827B2D">
        <w:rPr>
          <w:rFonts w:ascii="Times New Roman" w:eastAsia="Times New Roman" w:hAnsi="Times New Roman" w:cs="Times New Roman"/>
          <w:sz w:val="24"/>
          <w:szCs w:val="24"/>
          <w:lang w:eastAsia="en-IN"/>
        </w:rPr>
        <w:t xml:space="preserve">[2] Unique Identification Authority of India (UIDAI), </w:t>
      </w:r>
      <w:r w:rsidRPr="00827B2D">
        <w:rPr>
          <w:rFonts w:ascii="Times New Roman" w:eastAsia="Times New Roman" w:hAnsi="Times New Roman" w:cs="Times New Roman"/>
          <w:i/>
          <w:iCs/>
          <w:sz w:val="24"/>
          <w:szCs w:val="24"/>
          <w:lang w:eastAsia="en-IN"/>
        </w:rPr>
        <w:t xml:space="preserve">Operational Guidelines for </w:t>
      </w:r>
      <w:proofErr w:type="spellStart"/>
      <w:r w:rsidRPr="00827B2D">
        <w:rPr>
          <w:rFonts w:ascii="Times New Roman" w:eastAsia="Times New Roman" w:hAnsi="Times New Roman" w:cs="Times New Roman"/>
          <w:i/>
          <w:iCs/>
          <w:sz w:val="24"/>
          <w:szCs w:val="24"/>
          <w:lang w:eastAsia="en-IN"/>
        </w:rPr>
        <w:t>Aadhaar</w:t>
      </w:r>
      <w:proofErr w:type="spellEnd"/>
      <w:r w:rsidRPr="00827B2D">
        <w:rPr>
          <w:rFonts w:ascii="Times New Roman" w:eastAsia="Times New Roman" w:hAnsi="Times New Roman" w:cs="Times New Roman"/>
          <w:i/>
          <w:iCs/>
          <w:sz w:val="24"/>
          <w:szCs w:val="24"/>
          <w:lang w:eastAsia="en-IN"/>
        </w:rPr>
        <w:t xml:space="preserve"> Enrolment and Update Ecosystem</w:t>
      </w:r>
      <w:r w:rsidRPr="00827B2D">
        <w:rPr>
          <w:rFonts w:ascii="Times New Roman" w:eastAsia="Times New Roman" w:hAnsi="Times New Roman" w:cs="Times New Roman"/>
          <w:sz w:val="24"/>
          <w:szCs w:val="24"/>
          <w:lang w:eastAsia="en-IN"/>
        </w:rPr>
        <w:t>, Government of India, 2023.</w:t>
      </w:r>
    </w:p>
    <w:p w:rsidR="00827B2D" w:rsidRPr="00827B2D" w:rsidRDefault="00827B2D" w:rsidP="00827B2D">
      <w:pPr>
        <w:spacing w:before="100" w:beforeAutospacing="1" w:after="100" w:afterAutospacing="1" w:line="240" w:lineRule="auto"/>
        <w:rPr>
          <w:rFonts w:ascii="Times New Roman" w:eastAsia="Times New Roman" w:hAnsi="Times New Roman" w:cs="Times New Roman"/>
          <w:sz w:val="24"/>
          <w:szCs w:val="24"/>
          <w:lang w:eastAsia="en-IN"/>
        </w:rPr>
      </w:pPr>
      <w:r w:rsidRPr="00827B2D">
        <w:rPr>
          <w:rFonts w:ascii="Times New Roman" w:eastAsia="Times New Roman" w:hAnsi="Times New Roman" w:cs="Times New Roman"/>
          <w:sz w:val="24"/>
          <w:szCs w:val="24"/>
          <w:lang w:eastAsia="en-IN"/>
        </w:rPr>
        <w:t>[3] Ministry of Electronics and Information Technology (</w:t>
      </w:r>
      <w:proofErr w:type="spellStart"/>
      <w:r w:rsidRPr="00827B2D">
        <w:rPr>
          <w:rFonts w:ascii="Times New Roman" w:eastAsia="Times New Roman" w:hAnsi="Times New Roman" w:cs="Times New Roman"/>
          <w:sz w:val="24"/>
          <w:szCs w:val="24"/>
          <w:lang w:eastAsia="en-IN"/>
        </w:rPr>
        <w:t>MeitY</w:t>
      </w:r>
      <w:proofErr w:type="spellEnd"/>
      <w:r w:rsidRPr="00827B2D">
        <w:rPr>
          <w:rFonts w:ascii="Times New Roman" w:eastAsia="Times New Roman" w:hAnsi="Times New Roman" w:cs="Times New Roman"/>
          <w:sz w:val="24"/>
          <w:szCs w:val="24"/>
          <w:lang w:eastAsia="en-IN"/>
        </w:rPr>
        <w:t xml:space="preserve">), </w:t>
      </w:r>
      <w:r w:rsidRPr="00827B2D">
        <w:rPr>
          <w:rFonts w:ascii="Times New Roman" w:eastAsia="Times New Roman" w:hAnsi="Times New Roman" w:cs="Times New Roman"/>
          <w:i/>
          <w:iCs/>
          <w:sz w:val="24"/>
          <w:szCs w:val="24"/>
          <w:lang w:eastAsia="en-IN"/>
        </w:rPr>
        <w:t>India Digital Public Infrastructure (DPI) Framework</w:t>
      </w:r>
      <w:r w:rsidRPr="00827B2D">
        <w:rPr>
          <w:rFonts w:ascii="Times New Roman" w:eastAsia="Times New Roman" w:hAnsi="Times New Roman" w:cs="Times New Roman"/>
          <w:sz w:val="24"/>
          <w:szCs w:val="24"/>
          <w:lang w:eastAsia="en-IN"/>
        </w:rPr>
        <w:t>, Government of India, 2022.</w:t>
      </w:r>
    </w:p>
    <w:p w:rsidR="00827B2D" w:rsidRPr="00827B2D" w:rsidRDefault="00827B2D" w:rsidP="00827B2D">
      <w:pPr>
        <w:spacing w:before="100" w:beforeAutospacing="1" w:after="100" w:afterAutospacing="1" w:line="240" w:lineRule="auto"/>
        <w:rPr>
          <w:rFonts w:ascii="Times New Roman" w:eastAsia="Times New Roman" w:hAnsi="Times New Roman" w:cs="Times New Roman"/>
          <w:sz w:val="24"/>
          <w:szCs w:val="24"/>
          <w:lang w:eastAsia="en-IN"/>
        </w:rPr>
      </w:pPr>
      <w:r w:rsidRPr="00827B2D">
        <w:rPr>
          <w:rFonts w:ascii="Times New Roman" w:eastAsia="Times New Roman" w:hAnsi="Times New Roman" w:cs="Times New Roman"/>
          <w:sz w:val="24"/>
          <w:szCs w:val="24"/>
          <w:lang w:eastAsia="en-IN"/>
        </w:rPr>
        <w:t xml:space="preserve">[4] NITI </w:t>
      </w:r>
      <w:proofErr w:type="spellStart"/>
      <w:r w:rsidRPr="00827B2D">
        <w:rPr>
          <w:rFonts w:ascii="Times New Roman" w:eastAsia="Times New Roman" w:hAnsi="Times New Roman" w:cs="Times New Roman"/>
          <w:sz w:val="24"/>
          <w:szCs w:val="24"/>
          <w:lang w:eastAsia="en-IN"/>
        </w:rPr>
        <w:t>Aayog</w:t>
      </w:r>
      <w:proofErr w:type="spellEnd"/>
      <w:r w:rsidRPr="00827B2D">
        <w:rPr>
          <w:rFonts w:ascii="Times New Roman" w:eastAsia="Times New Roman" w:hAnsi="Times New Roman" w:cs="Times New Roman"/>
          <w:sz w:val="24"/>
          <w:szCs w:val="24"/>
          <w:lang w:eastAsia="en-IN"/>
        </w:rPr>
        <w:t xml:space="preserve">, </w:t>
      </w:r>
      <w:r w:rsidRPr="00827B2D">
        <w:rPr>
          <w:rFonts w:ascii="Times New Roman" w:eastAsia="Times New Roman" w:hAnsi="Times New Roman" w:cs="Times New Roman"/>
          <w:i/>
          <w:iCs/>
          <w:sz w:val="24"/>
          <w:szCs w:val="24"/>
          <w:lang w:eastAsia="en-IN"/>
        </w:rPr>
        <w:t>Data Empowerment and Protection Architecture (DEPA): Policy Framework</w:t>
      </w:r>
      <w:r w:rsidRPr="00827B2D">
        <w:rPr>
          <w:rFonts w:ascii="Times New Roman" w:eastAsia="Times New Roman" w:hAnsi="Times New Roman" w:cs="Times New Roman"/>
          <w:sz w:val="24"/>
          <w:szCs w:val="24"/>
          <w:lang w:eastAsia="en-IN"/>
        </w:rPr>
        <w:t>, Government of India, 2021.</w:t>
      </w:r>
    </w:p>
    <w:p w:rsidR="00827B2D" w:rsidRPr="00827B2D" w:rsidRDefault="00827B2D" w:rsidP="00827B2D">
      <w:pPr>
        <w:spacing w:before="100" w:beforeAutospacing="1" w:after="100" w:afterAutospacing="1" w:line="240" w:lineRule="auto"/>
        <w:rPr>
          <w:rFonts w:ascii="Times New Roman" w:eastAsia="Times New Roman" w:hAnsi="Times New Roman" w:cs="Times New Roman"/>
          <w:sz w:val="24"/>
          <w:szCs w:val="24"/>
          <w:lang w:eastAsia="en-IN"/>
        </w:rPr>
      </w:pPr>
      <w:r w:rsidRPr="00827B2D">
        <w:rPr>
          <w:rFonts w:ascii="Times New Roman" w:eastAsia="Times New Roman" w:hAnsi="Times New Roman" w:cs="Times New Roman"/>
          <w:sz w:val="24"/>
          <w:szCs w:val="24"/>
          <w:lang w:eastAsia="en-IN"/>
        </w:rPr>
        <w:t xml:space="preserve">[5] P. G. Cerf and J. L. Williams, “Predictive analytics for public service delivery: Applications in large-scale government systems,” </w:t>
      </w:r>
      <w:r w:rsidRPr="00827B2D">
        <w:rPr>
          <w:rFonts w:ascii="Times New Roman" w:eastAsia="Times New Roman" w:hAnsi="Times New Roman" w:cs="Times New Roman"/>
          <w:i/>
          <w:iCs/>
          <w:sz w:val="24"/>
          <w:szCs w:val="24"/>
          <w:lang w:eastAsia="en-IN"/>
        </w:rPr>
        <w:t>Government Information Quarterly</w:t>
      </w:r>
      <w:r w:rsidRPr="00827B2D">
        <w:rPr>
          <w:rFonts w:ascii="Times New Roman" w:eastAsia="Times New Roman" w:hAnsi="Times New Roman" w:cs="Times New Roman"/>
          <w:sz w:val="24"/>
          <w:szCs w:val="24"/>
          <w:lang w:eastAsia="en-IN"/>
        </w:rPr>
        <w:t>, vol. 37, no. 4, pp. 101–118, 2020.</w:t>
      </w:r>
    </w:p>
    <w:p w:rsidR="00827B2D" w:rsidRPr="00827B2D" w:rsidRDefault="00827B2D" w:rsidP="00827B2D">
      <w:pPr>
        <w:spacing w:before="100" w:beforeAutospacing="1" w:after="100" w:afterAutospacing="1" w:line="240" w:lineRule="auto"/>
        <w:rPr>
          <w:rFonts w:ascii="Times New Roman" w:eastAsia="Times New Roman" w:hAnsi="Times New Roman" w:cs="Times New Roman"/>
          <w:sz w:val="24"/>
          <w:szCs w:val="24"/>
          <w:lang w:eastAsia="en-IN"/>
        </w:rPr>
      </w:pPr>
      <w:r w:rsidRPr="00827B2D">
        <w:rPr>
          <w:rFonts w:ascii="Times New Roman" w:eastAsia="Times New Roman" w:hAnsi="Times New Roman" w:cs="Times New Roman"/>
          <w:sz w:val="24"/>
          <w:szCs w:val="24"/>
          <w:lang w:eastAsia="en-IN"/>
        </w:rPr>
        <w:t xml:space="preserve">[6] R. J. Hyndman and G. </w:t>
      </w:r>
      <w:proofErr w:type="spellStart"/>
      <w:r w:rsidRPr="00827B2D">
        <w:rPr>
          <w:rFonts w:ascii="Times New Roman" w:eastAsia="Times New Roman" w:hAnsi="Times New Roman" w:cs="Times New Roman"/>
          <w:sz w:val="24"/>
          <w:szCs w:val="24"/>
          <w:lang w:eastAsia="en-IN"/>
        </w:rPr>
        <w:t>Athanasopoulos</w:t>
      </w:r>
      <w:proofErr w:type="spellEnd"/>
      <w:r w:rsidRPr="00827B2D">
        <w:rPr>
          <w:rFonts w:ascii="Times New Roman" w:eastAsia="Times New Roman" w:hAnsi="Times New Roman" w:cs="Times New Roman"/>
          <w:sz w:val="24"/>
          <w:szCs w:val="24"/>
          <w:lang w:eastAsia="en-IN"/>
        </w:rPr>
        <w:t xml:space="preserve">, </w:t>
      </w:r>
      <w:r w:rsidRPr="00827B2D">
        <w:rPr>
          <w:rFonts w:ascii="Times New Roman" w:eastAsia="Times New Roman" w:hAnsi="Times New Roman" w:cs="Times New Roman"/>
          <w:i/>
          <w:iCs/>
          <w:sz w:val="24"/>
          <w:szCs w:val="24"/>
          <w:lang w:eastAsia="en-IN"/>
        </w:rPr>
        <w:t>Forecasting: Principles and Practice</w:t>
      </w:r>
      <w:r w:rsidRPr="00827B2D">
        <w:rPr>
          <w:rFonts w:ascii="Times New Roman" w:eastAsia="Times New Roman" w:hAnsi="Times New Roman" w:cs="Times New Roman"/>
          <w:sz w:val="24"/>
          <w:szCs w:val="24"/>
          <w:lang w:eastAsia="en-IN"/>
        </w:rPr>
        <w:t xml:space="preserve">, 3rd ed. Melbourne, Australia: </w:t>
      </w:r>
      <w:proofErr w:type="spellStart"/>
      <w:r w:rsidRPr="00827B2D">
        <w:rPr>
          <w:rFonts w:ascii="Times New Roman" w:eastAsia="Times New Roman" w:hAnsi="Times New Roman" w:cs="Times New Roman"/>
          <w:sz w:val="24"/>
          <w:szCs w:val="24"/>
          <w:lang w:eastAsia="en-IN"/>
        </w:rPr>
        <w:t>OTexts</w:t>
      </w:r>
      <w:proofErr w:type="spellEnd"/>
      <w:r w:rsidRPr="00827B2D">
        <w:rPr>
          <w:rFonts w:ascii="Times New Roman" w:eastAsia="Times New Roman" w:hAnsi="Times New Roman" w:cs="Times New Roman"/>
          <w:sz w:val="24"/>
          <w:szCs w:val="24"/>
          <w:lang w:eastAsia="en-IN"/>
        </w:rPr>
        <w:t>, 2021.</w:t>
      </w:r>
    </w:p>
    <w:p w:rsidR="00827B2D" w:rsidRPr="00827B2D" w:rsidRDefault="00827B2D" w:rsidP="00827B2D">
      <w:pPr>
        <w:spacing w:before="100" w:beforeAutospacing="1" w:after="100" w:afterAutospacing="1" w:line="240" w:lineRule="auto"/>
        <w:rPr>
          <w:rFonts w:ascii="Times New Roman" w:eastAsia="Times New Roman" w:hAnsi="Times New Roman" w:cs="Times New Roman"/>
          <w:sz w:val="24"/>
          <w:szCs w:val="24"/>
          <w:lang w:eastAsia="en-IN"/>
        </w:rPr>
      </w:pPr>
      <w:r w:rsidRPr="00827B2D">
        <w:rPr>
          <w:rFonts w:ascii="Times New Roman" w:eastAsia="Times New Roman" w:hAnsi="Times New Roman" w:cs="Times New Roman"/>
          <w:sz w:val="24"/>
          <w:szCs w:val="24"/>
          <w:lang w:eastAsia="en-IN"/>
        </w:rPr>
        <w:t xml:space="preserve">[7] European Commission, </w:t>
      </w:r>
      <w:r w:rsidRPr="00827B2D">
        <w:rPr>
          <w:rFonts w:ascii="Times New Roman" w:eastAsia="Times New Roman" w:hAnsi="Times New Roman" w:cs="Times New Roman"/>
          <w:i/>
          <w:iCs/>
          <w:sz w:val="24"/>
          <w:szCs w:val="24"/>
          <w:lang w:eastAsia="en-IN"/>
        </w:rPr>
        <w:t>Ethics Guidelines for Trustworthy Artificial Intelligence</w:t>
      </w:r>
      <w:r w:rsidRPr="00827B2D">
        <w:rPr>
          <w:rFonts w:ascii="Times New Roman" w:eastAsia="Times New Roman" w:hAnsi="Times New Roman" w:cs="Times New Roman"/>
          <w:sz w:val="24"/>
          <w:szCs w:val="24"/>
          <w:lang w:eastAsia="en-IN"/>
        </w:rPr>
        <w:t>, Brussels, Belgium, 2019.</w:t>
      </w:r>
    </w:p>
    <w:p w:rsidR="00827B2D" w:rsidRPr="00827B2D" w:rsidRDefault="00827B2D" w:rsidP="00827B2D">
      <w:pPr>
        <w:spacing w:before="100" w:beforeAutospacing="1" w:after="100" w:afterAutospacing="1" w:line="240" w:lineRule="auto"/>
        <w:rPr>
          <w:rFonts w:ascii="Times New Roman" w:eastAsia="Times New Roman" w:hAnsi="Times New Roman" w:cs="Times New Roman"/>
          <w:sz w:val="24"/>
          <w:szCs w:val="24"/>
          <w:lang w:eastAsia="en-IN"/>
        </w:rPr>
      </w:pPr>
      <w:r w:rsidRPr="00827B2D">
        <w:rPr>
          <w:rFonts w:ascii="Times New Roman" w:eastAsia="Times New Roman" w:hAnsi="Times New Roman" w:cs="Times New Roman"/>
          <w:sz w:val="24"/>
          <w:szCs w:val="24"/>
          <w:lang w:eastAsia="en-IN"/>
        </w:rPr>
        <w:t xml:space="preserve">[8] A. </w:t>
      </w:r>
      <w:proofErr w:type="spellStart"/>
      <w:r w:rsidRPr="00827B2D">
        <w:rPr>
          <w:rFonts w:ascii="Times New Roman" w:eastAsia="Times New Roman" w:hAnsi="Times New Roman" w:cs="Times New Roman"/>
          <w:sz w:val="24"/>
          <w:szCs w:val="24"/>
          <w:lang w:eastAsia="en-IN"/>
        </w:rPr>
        <w:t>Cavoukian</w:t>
      </w:r>
      <w:proofErr w:type="spellEnd"/>
      <w:r w:rsidRPr="00827B2D">
        <w:rPr>
          <w:rFonts w:ascii="Times New Roman" w:eastAsia="Times New Roman" w:hAnsi="Times New Roman" w:cs="Times New Roman"/>
          <w:sz w:val="24"/>
          <w:szCs w:val="24"/>
          <w:lang w:eastAsia="en-IN"/>
        </w:rPr>
        <w:t xml:space="preserve">, “Privacy by design: The 7 foundational principles,” </w:t>
      </w:r>
      <w:r w:rsidRPr="00827B2D">
        <w:rPr>
          <w:rFonts w:ascii="Times New Roman" w:eastAsia="Times New Roman" w:hAnsi="Times New Roman" w:cs="Times New Roman"/>
          <w:i/>
          <w:iCs/>
          <w:sz w:val="24"/>
          <w:szCs w:val="24"/>
          <w:lang w:eastAsia="en-IN"/>
        </w:rPr>
        <w:t>Information and Privacy Commissioner of Ontario</w:t>
      </w:r>
      <w:r w:rsidRPr="00827B2D">
        <w:rPr>
          <w:rFonts w:ascii="Times New Roman" w:eastAsia="Times New Roman" w:hAnsi="Times New Roman" w:cs="Times New Roman"/>
          <w:sz w:val="24"/>
          <w:szCs w:val="24"/>
          <w:lang w:eastAsia="en-IN"/>
        </w:rPr>
        <w:t>, Canada, 2011.</w:t>
      </w:r>
    </w:p>
    <w:p w:rsidR="00827B2D" w:rsidRPr="00827B2D" w:rsidRDefault="00827B2D" w:rsidP="00827B2D">
      <w:pPr>
        <w:spacing w:before="100" w:beforeAutospacing="1" w:after="100" w:afterAutospacing="1" w:line="240" w:lineRule="auto"/>
        <w:rPr>
          <w:rFonts w:ascii="Times New Roman" w:eastAsia="Times New Roman" w:hAnsi="Times New Roman" w:cs="Times New Roman"/>
          <w:sz w:val="24"/>
          <w:szCs w:val="24"/>
          <w:lang w:eastAsia="en-IN"/>
        </w:rPr>
      </w:pPr>
      <w:r w:rsidRPr="00827B2D">
        <w:rPr>
          <w:rFonts w:ascii="Times New Roman" w:eastAsia="Times New Roman" w:hAnsi="Times New Roman" w:cs="Times New Roman"/>
          <w:sz w:val="24"/>
          <w:szCs w:val="24"/>
          <w:lang w:eastAsia="en-IN"/>
        </w:rPr>
        <w:t xml:space="preserve">[9] World Economic Forum, </w:t>
      </w:r>
      <w:r w:rsidRPr="00827B2D">
        <w:rPr>
          <w:rFonts w:ascii="Times New Roman" w:eastAsia="Times New Roman" w:hAnsi="Times New Roman" w:cs="Times New Roman"/>
          <w:i/>
          <w:iCs/>
          <w:sz w:val="24"/>
          <w:szCs w:val="24"/>
          <w:lang w:eastAsia="en-IN"/>
        </w:rPr>
        <w:t>Digital Identity: On the Threshold of a Digital Identity Revolution</w:t>
      </w:r>
      <w:r w:rsidRPr="00827B2D">
        <w:rPr>
          <w:rFonts w:ascii="Times New Roman" w:eastAsia="Times New Roman" w:hAnsi="Times New Roman" w:cs="Times New Roman"/>
          <w:sz w:val="24"/>
          <w:szCs w:val="24"/>
          <w:lang w:eastAsia="en-IN"/>
        </w:rPr>
        <w:t>, Geneva, Switzerland, 2018.</w:t>
      </w:r>
    </w:p>
    <w:p w:rsidR="00827B2D" w:rsidRPr="00827B2D" w:rsidRDefault="00827B2D" w:rsidP="00827B2D">
      <w:pPr>
        <w:spacing w:before="100" w:beforeAutospacing="1" w:after="100" w:afterAutospacing="1" w:line="240" w:lineRule="auto"/>
        <w:rPr>
          <w:rFonts w:ascii="Times New Roman" w:eastAsia="Times New Roman" w:hAnsi="Times New Roman" w:cs="Times New Roman"/>
          <w:sz w:val="24"/>
          <w:szCs w:val="24"/>
          <w:lang w:eastAsia="en-IN"/>
        </w:rPr>
      </w:pPr>
      <w:r w:rsidRPr="00827B2D">
        <w:rPr>
          <w:rFonts w:ascii="Times New Roman" w:eastAsia="Times New Roman" w:hAnsi="Times New Roman" w:cs="Times New Roman"/>
          <w:sz w:val="24"/>
          <w:szCs w:val="24"/>
          <w:lang w:eastAsia="en-IN"/>
        </w:rPr>
        <w:t xml:space="preserve">[10] Government of India, </w:t>
      </w:r>
      <w:r w:rsidRPr="00827B2D">
        <w:rPr>
          <w:rFonts w:ascii="Times New Roman" w:eastAsia="Times New Roman" w:hAnsi="Times New Roman" w:cs="Times New Roman"/>
          <w:i/>
          <w:iCs/>
          <w:sz w:val="24"/>
          <w:szCs w:val="24"/>
          <w:lang w:eastAsia="en-IN"/>
        </w:rPr>
        <w:t>National Data Governance Framework Policy</w:t>
      </w:r>
      <w:r w:rsidRPr="00827B2D">
        <w:rPr>
          <w:rFonts w:ascii="Times New Roman" w:eastAsia="Times New Roman" w:hAnsi="Times New Roman" w:cs="Times New Roman"/>
          <w:sz w:val="24"/>
          <w:szCs w:val="24"/>
          <w:lang w:eastAsia="en-IN"/>
        </w:rPr>
        <w:t>, Ministry of Electronics and Information Technology, 2022.</w:t>
      </w:r>
    </w:p>
    <w:p w:rsidR="00B43902" w:rsidRPr="00036F65" w:rsidRDefault="00B43902" w:rsidP="00036F65"/>
    <w:sectPr w:rsidR="00B43902" w:rsidRPr="00036F65" w:rsidSect="003D5BBD">
      <w:pgSz w:w="11906" w:h="16838"/>
      <w:pgMar w:top="1440" w:right="1440" w:bottom="1440" w:left="1440" w:header="708" w:footer="708" w:gutter="0"/>
      <w:pgBorders w:offsetFrom="page">
        <w:top w:val="single" w:sz="18" w:space="24" w:color="44546A" w:themeColor="text2"/>
        <w:left w:val="single" w:sz="18" w:space="24" w:color="44546A" w:themeColor="text2"/>
        <w:bottom w:val="single" w:sz="18" w:space="24" w:color="44546A" w:themeColor="text2"/>
        <w:right w:val="single" w:sz="18" w:space="24" w:color="44546A" w:themeColor="text2"/>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26A553E"/>
    <w:multiLevelType w:val="multilevel"/>
    <w:tmpl w:val="00C4C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5D6E"/>
    <w:rsid w:val="00036F65"/>
    <w:rsid w:val="000730FA"/>
    <w:rsid w:val="0031342E"/>
    <w:rsid w:val="003D5BBD"/>
    <w:rsid w:val="00827B2D"/>
    <w:rsid w:val="00B43902"/>
    <w:rsid w:val="00C01BEC"/>
    <w:rsid w:val="00CD5C48"/>
    <w:rsid w:val="00F45D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B5309"/>
  <w15:chartTrackingRefBased/>
  <w15:docId w15:val="{E593F09E-AAB1-4959-B496-3C40BED33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45D6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45D6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B4390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D6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45D6E"/>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F45D6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45D6E"/>
    <w:rPr>
      <w:b/>
      <w:bCs/>
    </w:rPr>
  </w:style>
  <w:style w:type="character" w:styleId="Hyperlink">
    <w:name w:val="Hyperlink"/>
    <w:basedOn w:val="DefaultParagraphFont"/>
    <w:uiPriority w:val="99"/>
    <w:unhideWhenUsed/>
    <w:rsid w:val="00F45D6E"/>
    <w:rPr>
      <w:color w:val="0563C1" w:themeColor="hyperlink"/>
      <w:u w:val="single"/>
    </w:rPr>
  </w:style>
  <w:style w:type="character" w:customStyle="1" w:styleId="Heading3Char">
    <w:name w:val="Heading 3 Char"/>
    <w:basedOn w:val="DefaultParagraphFont"/>
    <w:link w:val="Heading3"/>
    <w:uiPriority w:val="9"/>
    <w:semiHidden/>
    <w:rsid w:val="00B43902"/>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827B2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493779">
      <w:bodyDiv w:val="1"/>
      <w:marLeft w:val="0"/>
      <w:marRight w:val="0"/>
      <w:marTop w:val="0"/>
      <w:marBottom w:val="0"/>
      <w:divBdr>
        <w:top w:val="none" w:sz="0" w:space="0" w:color="auto"/>
        <w:left w:val="none" w:sz="0" w:space="0" w:color="auto"/>
        <w:bottom w:val="none" w:sz="0" w:space="0" w:color="auto"/>
        <w:right w:val="none" w:sz="0" w:space="0" w:color="auto"/>
      </w:divBdr>
    </w:div>
    <w:div w:id="180901366">
      <w:bodyDiv w:val="1"/>
      <w:marLeft w:val="0"/>
      <w:marRight w:val="0"/>
      <w:marTop w:val="0"/>
      <w:marBottom w:val="0"/>
      <w:divBdr>
        <w:top w:val="none" w:sz="0" w:space="0" w:color="auto"/>
        <w:left w:val="none" w:sz="0" w:space="0" w:color="auto"/>
        <w:bottom w:val="none" w:sz="0" w:space="0" w:color="auto"/>
        <w:right w:val="none" w:sz="0" w:space="0" w:color="auto"/>
      </w:divBdr>
    </w:div>
    <w:div w:id="809522462">
      <w:bodyDiv w:val="1"/>
      <w:marLeft w:val="0"/>
      <w:marRight w:val="0"/>
      <w:marTop w:val="0"/>
      <w:marBottom w:val="0"/>
      <w:divBdr>
        <w:top w:val="none" w:sz="0" w:space="0" w:color="auto"/>
        <w:left w:val="none" w:sz="0" w:space="0" w:color="auto"/>
        <w:bottom w:val="none" w:sz="0" w:space="0" w:color="auto"/>
        <w:right w:val="none" w:sz="0" w:space="0" w:color="auto"/>
      </w:divBdr>
    </w:div>
    <w:div w:id="995570209">
      <w:bodyDiv w:val="1"/>
      <w:marLeft w:val="0"/>
      <w:marRight w:val="0"/>
      <w:marTop w:val="0"/>
      <w:marBottom w:val="0"/>
      <w:divBdr>
        <w:top w:val="none" w:sz="0" w:space="0" w:color="auto"/>
        <w:left w:val="none" w:sz="0" w:space="0" w:color="auto"/>
        <w:bottom w:val="none" w:sz="0" w:space="0" w:color="auto"/>
        <w:right w:val="none" w:sz="0" w:space="0" w:color="auto"/>
      </w:divBdr>
    </w:div>
    <w:div w:id="1123841059">
      <w:bodyDiv w:val="1"/>
      <w:marLeft w:val="0"/>
      <w:marRight w:val="0"/>
      <w:marTop w:val="0"/>
      <w:marBottom w:val="0"/>
      <w:divBdr>
        <w:top w:val="none" w:sz="0" w:space="0" w:color="auto"/>
        <w:left w:val="none" w:sz="0" w:space="0" w:color="auto"/>
        <w:bottom w:val="none" w:sz="0" w:space="0" w:color="auto"/>
        <w:right w:val="none" w:sz="0" w:space="0" w:color="auto"/>
      </w:divBdr>
    </w:div>
    <w:div w:id="1328944969">
      <w:bodyDiv w:val="1"/>
      <w:marLeft w:val="0"/>
      <w:marRight w:val="0"/>
      <w:marTop w:val="0"/>
      <w:marBottom w:val="0"/>
      <w:divBdr>
        <w:top w:val="none" w:sz="0" w:space="0" w:color="auto"/>
        <w:left w:val="none" w:sz="0" w:space="0" w:color="auto"/>
        <w:bottom w:val="none" w:sz="0" w:space="0" w:color="auto"/>
        <w:right w:val="none" w:sz="0" w:space="0" w:color="auto"/>
      </w:divBdr>
    </w:div>
    <w:div w:id="1597790308">
      <w:bodyDiv w:val="1"/>
      <w:marLeft w:val="0"/>
      <w:marRight w:val="0"/>
      <w:marTop w:val="0"/>
      <w:marBottom w:val="0"/>
      <w:divBdr>
        <w:top w:val="none" w:sz="0" w:space="0" w:color="auto"/>
        <w:left w:val="none" w:sz="0" w:space="0" w:color="auto"/>
        <w:bottom w:val="none" w:sz="0" w:space="0" w:color="auto"/>
        <w:right w:val="none" w:sz="0" w:space="0" w:color="auto"/>
      </w:divBdr>
    </w:div>
    <w:div w:id="1677149588">
      <w:bodyDiv w:val="1"/>
      <w:marLeft w:val="0"/>
      <w:marRight w:val="0"/>
      <w:marTop w:val="0"/>
      <w:marBottom w:val="0"/>
      <w:divBdr>
        <w:top w:val="none" w:sz="0" w:space="0" w:color="auto"/>
        <w:left w:val="none" w:sz="0" w:space="0" w:color="auto"/>
        <w:bottom w:val="none" w:sz="0" w:space="0" w:color="auto"/>
        <w:right w:val="none" w:sz="0" w:space="0" w:color="auto"/>
      </w:divBdr>
      <w:divsChild>
        <w:div w:id="546070454">
          <w:marLeft w:val="0"/>
          <w:marRight w:val="0"/>
          <w:marTop w:val="0"/>
          <w:marBottom w:val="0"/>
          <w:divBdr>
            <w:top w:val="none" w:sz="0" w:space="0" w:color="auto"/>
            <w:left w:val="none" w:sz="0" w:space="0" w:color="auto"/>
            <w:bottom w:val="none" w:sz="0" w:space="0" w:color="auto"/>
            <w:right w:val="none" w:sz="0" w:space="0" w:color="auto"/>
          </w:divBdr>
        </w:div>
      </w:divsChild>
    </w:div>
    <w:div w:id="1693679331">
      <w:bodyDiv w:val="1"/>
      <w:marLeft w:val="0"/>
      <w:marRight w:val="0"/>
      <w:marTop w:val="0"/>
      <w:marBottom w:val="0"/>
      <w:divBdr>
        <w:top w:val="none" w:sz="0" w:space="0" w:color="auto"/>
        <w:left w:val="none" w:sz="0" w:space="0" w:color="auto"/>
        <w:bottom w:val="none" w:sz="0" w:space="0" w:color="auto"/>
        <w:right w:val="none" w:sz="0" w:space="0" w:color="auto"/>
      </w:divBdr>
    </w:div>
    <w:div w:id="1765684762">
      <w:bodyDiv w:val="1"/>
      <w:marLeft w:val="0"/>
      <w:marRight w:val="0"/>
      <w:marTop w:val="0"/>
      <w:marBottom w:val="0"/>
      <w:divBdr>
        <w:top w:val="none" w:sz="0" w:space="0" w:color="auto"/>
        <w:left w:val="none" w:sz="0" w:space="0" w:color="auto"/>
        <w:bottom w:val="none" w:sz="0" w:space="0" w:color="auto"/>
        <w:right w:val="none" w:sz="0" w:space="0" w:color="auto"/>
      </w:divBdr>
    </w:div>
    <w:div w:id="1862352729">
      <w:bodyDiv w:val="1"/>
      <w:marLeft w:val="0"/>
      <w:marRight w:val="0"/>
      <w:marTop w:val="0"/>
      <w:marBottom w:val="0"/>
      <w:divBdr>
        <w:top w:val="none" w:sz="0" w:space="0" w:color="auto"/>
        <w:left w:val="none" w:sz="0" w:space="0" w:color="auto"/>
        <w:bottom w:val="none" w:sz="0" w:space="0" w:color="auto"/>
        <w:right w:val="none" w:sz="0" w:space="0" w:color="auto"/>
      </w:divBdr>
    </w:div>
    <w:div w:id="1913809389">
      <w:bodyDiv w:val="1"/>
      <w:marLeft w:val="0"/>
      <w:marRight w:val="0"/>
      <w:marTop w:val="0"/>
      <w:marBottom w:val="0"/>
      <w:divBdr>
        <w:top w:val="none" w:sz="0" w:space="0" w:color="auto"/>
        <w:left w:val="none" w:sz="0" w:space="0" w:color="auto"/>
        <w:bottom w:val="none" w:sz="0" w:space="0" w:color="auto"/>
        <w:right w:val="none" w:sz="0" w:space="0" w:color="auto"/>
      </w:divBdr>
    </w:div>
    <w:div w:id="1942643685">
      <w:bodyDiv w:val="1"/>
      <w:marLeft w:val="0"/>
      <w:marRight w:val="0"/>
      <w:marTop w:val="0"/>
      <w:marBottom w:val="0"/>
      <w:divBdr>
        <w:top w:val="none" w:sz="0" w:space="0" w:color="auto"/>
        <w:left w:val="none" w:sz="0" w:space="0" w:color="auto"/>
        <w:bottom w:val="none" w:sz="0" w:space="0" w:color="auto"/>
        <w:right w:val="none" w:sz="0" w:space="0" w:color="auto"/>
      </w:divBdr>
    </w:div>
    <w:div w:id="1983731686">
      <w:bodyDiv w:val="1"/>
      <w:marLeft w:val="0"/>
      <w:marRight w:val="0"/>
      <w:marTop w:val="0"/>
      <w:marBottom w:val="0"/>
      <w:divBdr>
        <w:top w:val="none" w:sz="0" w:space="0" w:color="auto"/>
        <w:left w:val="none" w:sz="0" w:space="0" w:color="auto"/>
        <w:bottom w:val="none" w:sz="0" w:space="0" w:color="auto"/>
        <w:right w:val="none" w:sz="0" w:space="0" w:color="auto"/>
      </w:divBdr>
    </w:div>
    <w:div w:id="2064476616">
      <w:bodyDiv w:val="1"/>
      <w:marLeft w:val="0"/>
      <w:marRight w:val="0"/>
      <w:marTop w:val="0"/>
      <w:marBottom w:val="0"/>
      <w:divBdr>
        <w:top w:val="none" w:sz="0" w:space="0" w:color="auto"/>
        <w:left w:val="none" w:sz="0" w:space="0" w:color="auto"/>
        <w:bottom w:val="none" w:sz="0" w:space="0" w:color="auto"/>
        <w:right w:val="none" w:sz="0" w:space="0" w:color="auto"/>
      </w:divBdr>
    </w:div>
    <w:div w:id="2078933887">
      <w:bodyDiv w:val="1"/>
      <w:marLeft w:val="0"/>
      <w:marRight w:val="0"/>
      <w:marTop w:val="0"/>
      <w:marBottom w:val="0"/>
      <w:divBdr>
        <w:top w:val="none" w:sz="0" w:space="0" w:color="auto"/>
        <w:left w:val="none" w:sz="0" w:space="0" w:color="auto"/>
        <w:bottom w:val="none" w:sz="0" w:space="0" w:color="auto"/>
        <w:right w:val="none" w:sz="0" w:space="0" w:color="auto"/>
      </w:divBdr>
    </w:div>
    <w:div w:id="2135100791">
      <w:bodyDiv w:val="1"/>
      <w:marLeft w:val="0"/>
      <w:marRight w:val="0"/>
      <w:marTop w:val="0"/>
      <w:marBottom w:val="0"/>
      <w:divBdr>
        <w:top w:val="none" w:sz="0" w:space="0" w:color="auto"/>
        <w:left w:val="none" w:sz="0" w:space="0" w:color="auto"/>
        <w:bottom w:val="none" w:sz="0" w:space="0" w:color="auto"/>
        <w:right w:val="none" w:sz="0" w:space="0" w:color="auto"/>
      </w:divBdr>
    </w:div>
    <w:div w:id="2145274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hadhavk@gmail.com" TargetMode="External"/><Relationship Id="rId3" Type="http://schemas.openxmlformats.org/officeDocument/2006/relationships/styles" Target="styles.xml"/><Relationship Id="rId7" Type="http://schemas.openxmlformats.org/officeDocument/2006/relationships/hyperlink" Target="mailto:muhammedshazin@yahoo.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khaleelmuhammed73@gmail.com" TargetMode="External"/><Relationship Id="rId4" Type="http://schemas.openxmlformats.org/officeDocument/2006/relationships/settings" Target="settings.xml"/><Relationship Id="rId9" Type="http://schemas.openxmlformats.org/officeDocument/2006/relationships/hyperlink" Target="mailto:aayizahmed7c@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71C92F-F720-4B31-821B-EDC3DA4A3A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10</Pages>
  <Words>2630</Words>
  <Characters>14993</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2026-01-20T03:21:00Z</dcterms:created>
  <dcterms:modified xsi:type="dcterms:W3CDTF">2026-01-20T05:07:00Z</dcterms:modified>
</cp:coreProperties>
</file>