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Niles and Nilestream</w:t>
      </w:r>
    </w:p>
    <w:p>
      <w:pPr>
        <w:pStyle w:val="Subtitle"/>
      </w:pPr>
      <w:r>
        <w:t xml:space="preserve">Reconstructible Epoch-Anchored Views: a theory of versioned partially-materialized state over an immutable ledger</w:t>
      </w:r>
    </w:p>
    <w:p>
      <w:pPr>
        <w:pStyle w:val="Author"/>
      </w:pPr>
      <w:r>
        <w:t xml:space="preserve">Sergio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5febd66c3ccddb6bd36b00d469799be0eaf5530"/>
    <w:p>
      <w:pPr>
        <w:pStyle w:val="Heading1"/>
      </w:pPr>
      <w:r>
        <w:t xml:space="preserve">Niles: A Theory of Reconstructible Epoch-Anchored Views over an Immutable Base, and the Language and System That Test It</w:t>
      </w:r>
    </w:p>
    <w:p>
      <w:pPr>
        <w:pStyle w:val="FirstParagraph"/>
      </w:pPr>
      <w:r>
        <w:rPr>
          <w:bCs/>
          <w:b/>
        </w:rPr>
        <w:t xml:space="preserve">A Thesis</w:t>
      </w:r>
    </w:p>
    <w:p>
      <w:pPr>
        <w:pStyle w:val="BodyText"/>
      </w:pPr>
      <w:r>
        <w:t xml:space="preserve">Author: Sergio</w:t>
      </w:r>
      <w:r>
        <w:t xml:space="preserve"> </w:t>
      </w:r>
      <w:r>
        <w:t xml:space="preserve">Date: August 2026</w:t>
      </w:r>
      <w:r>
        <w:t xml:space="preserve"> </w:t>
      </w:r>
      <w:r>
        <w:t xml:space="preserve">Status: Working draft v0.3 — with measured results from a research prototype</w:t>
      </w:r>
    </w:p>
    <w:p>
      <w:r>
        <w:pict>
          <v:rect style="width:0;height:1.5pt" o:hralign="center" o:hrstd="t" o:hr="t"/>
        </w:pict>
      </w:r>
    </w:p>
    <w:bookmarkStart w:id="20" w:name="abstract"/>
    <w:p>
      <w:pPr>
        <w:pStyle w:val="Heading2"/>
      </w:pPr>
      <w:r>
        <w:t xml:space="preserve">Abstract</w:t>
      </w:r>
    </w:p>
    <w:p>
      <w:pPr>
        <w:pStyle w:val="FirstParagraph"/>
      </w:pPr>
      <w:r>
        <w:t xml:space="preserve">Modern systems of record are pulled in two directions at once. The write path demands an authoritative history: strictly serializable, durable, immutable, auditable and retained. The read path demands the opposite economics — an open-ended family of derived views whose access is skewed and most of which are cold most of the time. In banking, that family is not merely large but</w:t>
      </w:r>
      <w:r>
        <w:t xml:space="preserve"> </w:t>
      </w:r>
      <w:r>
        <w:rPr>
          <w:iCs/>
          <w:i/>
        </w:rPr>
        <w:t xml:space="preserve">unbounded by regulation</w:t>
      </w:r>
      <w:r>
        <w:t xml:space="preserve">: a bank must serve a customer’s available balance net of authorization holds, the balance as of any historical date on both the booking and value-date axes, positions rolled up by product, currency, desk, legal entity and geography, month-to-date statements, and real-time features for fraud and anti-money-laundering scoring — and supervisory principles require it to answer</w:t>
      </w:r>
      <w:r>
        <w:t xml:space="preserve"> </w:t>
      </w:r>
      <w:r>
        <w:rPr>
          <w:iCs/>
          <w:i/>
        </w:rPr>
        <w:t xml:space="preserve">ad hoc</w:t>
      </w:r>
      <w:r>
        <w:t xml:space="preserve"> </w:t>
      </w:r>
      <w:r>
        <w:t xml:space="preserve">aggregations it has not seen before. Today these demands are served by gluing an OLTP database, a change-data-capture pipeline, a cache fleet and a warehouse together, and the seams are where correctness dies. The failure mode has a regulatory name: when two derived views of one ledger — one counting settled transactions, one netting unsettled holds — disagree at the moment a decision is made, the result is the authorize-positive-settle-negative pattern that consumer-protection guidance addresses directly.</w:t>
      </w:r>
    </w:p>
    <w:p>
      <w:pPr>
        <w:pStyle w:val="BodyText"/>
      </w:pPr>
      <w:r>
        <w:t xml:space="preserve">This thesis proposes a theory of how both demands can be served coherently from one semantic foundation: an authoritative, append-only, hash-chained, strictly serializable base that is never partial, and a family of derived read models that are</w:t>
      </w:r>
      <w:r>
        <w:t xml:space="preserve"> </w:t>
      </w:r>
      <w:r>
        <w:rPr>
          <w:iCs/>
          <w:i/>
        </w:rPr>
        <w:t xml:space="preserve">partially stateful</w:t>
      </w:r>
      <w:r>
        <w:t xml:space="preserve"> </w:t>
      </w:r>
      <w:r>
        <w:t xml:space="preserve">— materializing only what is read, evicting the rest, and reconstructing evicted state on demand through upqueries anchored to a requested epoch. The general case is domain-free — an authoritative base relation with committed writes — and the double-entry ledger, monetary types and bitemporal semantics are a domain layer over a fully general relational core. The central object of study is a new abstraction, the</w:t>
      </w:r>
      <w:r>
        <w:t xml:space="preserve"> </w:t>
      </w:r>
      <w:r>
        <w:rPr>
          <w:bCs/>
          <w:b/>
        </w:rPr>
        <w:t xml:space="preserve">reconstructible epoch-anchored view (REV)</w:t>
      </w:r>
      <w:r>
        <w:t xml:space="preserve">: a versioned, partially materialized derived state over an immutable, epoch-ordered base whose epochs define a global visibility timeline, carrying a declared contract for consistency, freshness, materialization mode, memory budget, lineage and retention.</w:t>
      </w:r>
    </w:p>
    <w:p>
      <w:pPr>
        <w:pStyle w:val="BodyText"/>
      </w:pPr>
      <w:r>
        <w:t xml:space="preserve">Seven results are stated and proved around it. A</w:t>
      </w:r>
      <w:r>
        <w:t xml:space="preserve"> </w:t>
      </w:r>
      <w:r>
        <w:rPr>
          <w:bCs/>
          <w:b/>
        </w:rPr>
        <w:t xml:space="preserve">versioned partial-state algebra</w:t>
      </w:r>
      <w:r>
        <w:t xml:space="preserve">, compatible with the DBSP incremental-computation framework, with a lattice giving formal meaning to a key’s absence and an</w:t>
      </w:r>
      <w:r>
        <w:t xml:space="preserve"> </w:t>
      </w:r>
      <w:r>
        <w:rPr>
          <w:bCs/>
          <w:b/>
        </w:rPr>
        <w:t xml:space="preserve">epoch-anchored reconstruction theorem</w:t>
      </w:r>
      <w:r>
        <w:t xml:space="preserve"> </w:t>
      </w:r>
      <w:r>
        <w:t xml:space="preserve">whose corollary is that eviction followed by reconstruction can never create or destroy money — and which dissolves, by construction, the five anomalies partial-state dataflow must otherwise exclude by protocol. The</w:t>
      </w:r>
      <w:r>
        <w:t xml:space="preserve"> </w:t>
      </w:r>
      <w:r>
        <w:rPr>
          <w:bCs/>
          <w:b/>
        </w:rPr>
        <w:t xml:space="preserve">Eviction–Consistency Frontier Theorem</w:t>
      </w:r>
      <w:r>
        <w:t xml:space="preserve">, a CAP/PACELC-style impossibility bounding where strict-serializable partial materialization stops being cheaper than full materialization, parameterized by skew, budget, write rate and reconstruction latency. A</w:t>
      </w:r>
      <w:r>
        <w:t xml:space="preserve"> </w:t>
      </w:r>
      <w:r>
        <w:rPr>
          <w:bCs/>
          <w:b/>
        </w:rPr>
        <w:t xml:space="preserve">complexity theory of consistency under partial materialization</w:t>
      </w:r>
      <w:r>
        <w:t xml:space="preserve">, proving that the price of each rung of an epoch-based consistency ladder — from bounded staleness to ledger-consistent strict serializability — is shaped by the workload, not by the length of history. A</w:t>
      </w:r>
      <w:r>
        <w:t xml:space="preserve"> </w:t>
      </w:r>
      <w:r>
        <w:rPr>
          <w:bCs/>
          <w:b/>
        </w:rPr>
        <w:t xml:space="preserve">consistency-effect calculus</w:t>
      </w:r>
      <w:r>
        <w:t xml:space="preserve"> </w:t>
      </w:r>
      <w:r>
        <w:t xml:space="preserve">with a soundness theorem guaranteeing that a well-typed program conserves value per currency, cannot mismatch currencies and cannot overdraw without authorization — while stating precisely what such a theorem cannot buy, since non-negativity is provably not coordination-free. An</w:t>
      </w:r>
      <w:r>
        <w:t xml:space="preserve"> </w:t>
      </w:r>
      <w:r>
        <w:rPr>
          <w:bCs/>
          <w:b/>
        </w:rPr>
        <w:t xml:space="preserve">adaptive materialization calculus and optimizer</w:t>
      </w:r>
      <w:r>
        <w:t xml:space="preserve"> </w:t>
      </w:r>
      <w:r>
        <w:t xml:space="preserve">choosing per view and key range among absent, demand, full, spilled and tiered state under each view’s contract, with competitive guarantees and an explicit account of which classical caching results survive reconstruction latency and which do not. A</w:t>
      </w:r>
      <w:r>
        <w:t xml:space="preserve"> </w:t>
      </w:r>
      <w:r>
        <w:rPr>
          <w:bCs/>
          <w:b/>
        </w:rPr>
        <w:t xml:space="preserve">generality result</w:t>
      </w:r>
      <w:r>
        <w:t xml:space="preserve"> </w:t>
      </w:r>
      <w:r>
        <w:t xml:space="preserve">replacing the unprovable slogan</w:t>
      </w:r>
      <w:r>
        <w:t xml:space="preserve"> </w:t>
      </w:r>
      <w:r>
        <w:t xml:space="preserve">“</w:t>
      </w:r>
      <w:r>
        <w:t xml:space="preserve">replaces SQL</w:t>
      </w:r>
      <w:r>
        <w:t xml:space="preserve">”</w:t>
      </w:r>
      <w:r>
        <w:t xml:space="preserve"> </w:t>
      </w:r>
      <w:r>
        <w:t xml:space="preserve">with three checkable statements: relational completeness, fixpoint completeness over the epoch-ordered base — where the ledger’s own total order supplies the ordering hypothesis the theorem requires — and a semantics-preserving translation of a stated SQL fragment — a restructuring forced by the discovery that no authoritative, current SQL conformance suite exists, the last official one having targeted SQL-92 and been withdrawn in 1997. And a</w:t>
      </w:r>
      <w:r>
        <w:t xml:space="preserve"> </w:t>
      </w:r>
      <w:r>
        <w:rPr>
          <w:bCs/>
          <w:b/>
        </w:rPr>
        <w:t xml:space="preserve">Bounded Reconstruction Theorem</w:t>
      </w:r>
      <w:r>
        <w:t xml:space="preserve">, produced by experiment rather than derivation, showing that reconstruction cost is bounded by a per-key checkpoint interval (measured: flat at ≈ 8.5 base rows across a 64× increase in history, against a predicted C/2 + 1 = 9) and is</w:t>
      </w:r>
      <w:r>
        <w:t xml:space="preserve"> </w:t>
      </w:r>
      <w:r>
        <w:rPr>
          <w:iCs/>
          <w:i/>
        </w:rPr>
        <w:t xml:space="preserve">not</w:t>
      </w:r>
      <w:r>
        <w:t xml:space="preserve"> </w:t>
      </w:r>
      <w:r>
        <w:t xml:space="preserve">bounded without that mechanism.</w:t>
      </w:r>
    </w:p>
    <w:p>
      <w:pPr>
        <w:pStyle w:val="BodyText"/>
      </w:pPr>
      <w:r>
        <w:t xml:space="preserve">The theory is embodied by two artifacts:</w:t>
      </w:r>
      <w:r>
        <w:t xml:space="preserve"> </w:t>
      </w:r>
      <w:r>
        <w:rPr>
          <w:bCs/>
          <w:b/>
        </w:rPr>
        <w:t xml:space="preserve">Niles</w:t>
      </w:r>
      <w:r>
        <w:t xml:space="preserve">, a general-purpose state-aware language that reuses SQL’s vocabulary wherever SQL has a construct, falls back to Rust’s spelling where it does not, and introduces new constructs only for what neither can express — for bases and ledgers, money with per-currency scale, value dates and bitemporality, idempotency windows, materialization boundaries, per-view consistency, lineage, retention and confidentiality; and</w:t>
      </w:r>
      <w:r>
        <w:t xml:space="preserve"> </w:t>
      </w:r>
      <w:r>
        <w:rPr>
          <w:bCs/>
          <w:b/>
        </w:rPr>
        <w:t xml:space="preserve">Nilestream</w:t>
      </w:r>
      <w:r>
        <w:t xml:space="preserve">, a from-scratch streaming DBMS pairing a ledger-grade write path with a partial-state read-model runtime over a typed intermediate representation that is the stable contract between language and engine, with MySQL and PostgreSQL wire compatibility for incremental adoption.</w:t>
      </w:r>
    </w:p>
    <w:p>
      <w:pPr>
        <w:pStyle w:val="BodyText"/>
      </w:pPr>
      <w:r>
        <w:rPr>
          <w:bCs/>
          <w:b/>
        </w:rPr>
        <w:t xml:space="preserve">Status of claims.</w:t>
      </w:r>
      <w:r>
        <w:t xml:space="preserve"> </w:t>
      </w:r>
      <w:r>
        <w:t xml:space="preserve">This is a theory-and-design thesis accompanied by a</w:t>
      </w:r>
      <w:r>
        <w:t xml:space="preserve"> </w:t>
      </w:r>
      <w:r>
        <w:rPr>
          <w:bCs/>
          <w:b/>
        </w:rPr>
        <w:t xml:space="preserve">research prototype</w:t>
      </w:r>
      <w:r>
        <w:t xml:space="preserve">, and its claims fall into three tiers that are never blurred. The theorems of Chapters 3 and 4 are paper proofs in stated models, with the verification status of each tabulated. Chapter 9 §§9.1–9.4 report</w:t>
      </w:r>
      <w:r>
        <w:t xml:space="preserve"> </w:t>
      </w:r>
      <w:r>
        <w:rPr>
          <w:bCs/>
          <w:b/>
        </w:rPr>
        <w:t xml:space="preserve">measurements actually taken</w:t>
      </w:r>
      <w:r>
        <w:t xml:space="preserve"> </w:t>
      </w:r>
      <w:r>
        <w:t xml:space="preserve">on the prototype (Appendix K), which implements the mechanisms — epoch-ordered commit under a per-currency zero-sum rule, hash chaining, anchor indices, checkpoints, partial materialization over the absence lattice, anchored upqueries and eviction policies — with five fixed seeds and machine-independent counted-work units. Everything requiring durability, concurrency, distribution or the compiler is marked</w:t>
      </w:r>
      <w:r>
        <w:t xml:space="preserve"> </w:t>
      </w:r>
      <w:r>
        <w:rPr>
          <w:iCs/>
          <w:i/>
        </w:rPr>
        <w:t xml:space="preserve">to be measured</w:t>
      </w:r>
      <w:r>
        <w:t xml:space="preserve"> </w:t>
      </w:r>
      <w:r>
        <w:t xml:space="preserve">and carries its protocol and pre-registered prediction;</w:t>
      </w:r>
      <w:r>
        <w:t xml:space="preserve"> </w:t>
      </w:r>
      <w:r>
        <w:rPr>
          <w:bCs/>
          <w:b/>
        </w:rPr>
        <w:t xml:space="preserve">no number is invented to fill such a cell</w:t>
      </w:r>
      <w:r>
        <w:t xml:space="preserve">, and no comparison against another database system is claimed.</w:t>
      </w:r>
    </w:p>
    <w:p>
      <w:pPr>
        <w:pStyle w:val="BodyText"/>
      </w:pPr>
      <w:r>
        <w:t xml:space="preserve">Three of the measurements</w:t>
      </w:r>
      <w:r>
        <w:t xml:space="preserve"> </w:t>
      </w:r>
      <w:r>
        <w:rPr>
          <w:bCs/>
          <w:b/>
        </w:rPr>
        <w:t xml:space="preserve">contradicted claims made in earlier drafts of this thesis</w:t>
      </w:r>
      <w:r>
        <w:t xml:space="preserve">, and are reported as contradictions rather than quietly removed: that partiality’s advantage grows with skew (it does not — full materialization’s own footprint shrinks faster, so the memory ratio moves</w:t>
      </w:r>
      <w:r>
        <w:t xml:space="preserve"> </w:t>
      </w:r>
      <w:r>
        <w:rPr>
          <w:iCs/>
          <w:i/>
        </w:rPr>
        <w:t xml:space="preserve">against</w:t>
      </w:r>
      <w:r>
        <w:t xml:space="preserve"> </w:t>
      </w:r>
      <w:r>
        <w:t xml:space="preserve">partiality as skew rises); that per-key anchor indices make reconstruction cost history-independent (they reduce the constant by two orders of magnitude and change nothing asymptotically); and that hot-account contention was measurable on this instrument (it is not — the prototype is single-threaded, and the flat result is a non-result). The second refutation produced the seventh contribution.</w:t>
      </w:r>
    </w:p>
    <w:p>
      <w:pPr>
        <w:pStyle w:val="BodyText"/>
      </w:pPr>
      <w:r>
        <w:rPr>
          <w:bCs/>
          <w:b/>
        </w:rPr>
        <w:t xml:space="preserve">Keywords</w:t>
      </w:r>
      <w:r>
        <w:t xml:space="preserve"> </w:t>
      </w:r>
      <w:r>
        <w:t xml:space="preserve">— ledger databases; incremental view maintenance; partially stateful dataflow; strict serializability; stream processing; DBSP; query languages; type-and-effect systems; double-entry accounting; bitemporality; provenance.</w:t>
      </w:r>
    </w:p>
    <w:p>
      <w:r>
        <w:pict>
          <v:rect style="width:0;height:1.5pt" o:hralign="center" o:hrstd="t" o:hr="t"/>
        </w:pict>
      </w:r>
    </w:p>
    <w:bookmarkEnd w:id="20"/>
    <w:bookmarkStart w:id="21" w:name="acknowledgments"/>
    <w:p>
      <w:pPr>
        <w:pStyle w:val="Heading2"/>
      </w:pPr>
      <w:r>
        <w:t xml:space="preserve">Acknowledgments</w:t>
      </w:r>
    </w:p>
    <w:p>
      <w:pPr>
        <w:pStyle w:val="FirstParagraph"/>
      </w:pPr>
      <w:r>
        <w:rPr>
          <w:iCs/>
          <w:i/>
        </w:rPr>
        <w:t xml:space="preserve">(To be completed in a later revision.)</w:t>
      </w:r>
    </w:p>
    <w:p>
      <w:r>
        <w:pict>
          <v:rect style="width:0;height:1.5pt" o:hralign="center" o:hrstd="t" o:hr="t"/>
        </w:pict>
      </w:r>
    </w:p>
    <w:bookmarkEnd w:id="21"/>
    <w:bookmarkStart w:id="22" w:name="reading-guide"/>
    <w:p>
      <w:pPr>
        <w:pStyle w:val="Heading2"/>
      </w:pPr>
      <w:r>
        <w:t xml:space="preserve">Reading Guide</w:t>
      </w:r>
    </w:p>
    <w:p>
      <w:pPr>
        <w:pStyle w:val="FirstParagraph"/>
      </w:pPr>
      <w:r>
        <w:t xml:space="preserve">Chapters 1–4 are the scientific core: the problem, the inheritance, the formal framework, and the six contributions. Chapters 5–9 are the instrument and its test: methodology, architecture and language, implementation status, the phased program with its kill criteria, and the evaluation design. Chapters 10–13 situate, discuss and conclude.</w:t>
      </w:r>
    </w:p>
    <w:p>
      <w:pPr>
        <w:pStyle w:val="BodyText"/>
      </w:pPr>
      <w:r>
        <w:t xml:space="preserve">Appendix A retells the whole thesis in metaphors for non-technical readers, including what has not been done. Appendix J adjudicates the competing design positions this thesis has held, deciding each with its evidence and recording the losing position; Appendix K documents the prototype and gives the commands that regenerate every measured number. Appendices B–I are normative references: the Niles language, the compilation model, the engine and IR, the self-hosting compiler, the runnable conservation-of-money reference model, the build kit, the generality and SQL-completeness dossier, and the adaptive materialization optimizer.</w:t>
      </w:r>
    </w:p>
    <w:p>
      <w:pPr>
        <w:pStyle w:val="BodyText"/>
      </w:pPr>
      <w:r>
        <w:t xml:space="preserve">A reader with one hour should read Chapter 1, Section 4.1, and Section 9.6. A reader deciding whether to trust the system should read Chapter 3 and Appendix F. A reader assessing the novelty claims should read Sections 4.8 and 10.11. A reader who wants to write Niles should read Chapter 6 and Appendix B.</w:t>
      </w:r>
    </w:p>
    <w:bookmarkEnd w:id="22"/>
    <w:bookmarkEnd w:id="23"/>
    <w:bookmarkStart w:id="40" w:name="introduction"/>
    <w:p>
      <w:pPr>
        <w:pStyle w:val="Heading1"/>
      </w:pPr>
      <w:r>
        <w:t xml:space="preserve">1. Introduction</w:t>
      </w:r>
    </w:p>
    <w:bookmarkStart w:id="25" w:name="motivation"/>
    <w:p>
      <w:pPr>
        <w:pStyle w:val="Heading2"/>
      </w:pPr>
      <w:r>
        <w:t xml:space="preserve">1.1 Motivation</w:t>
      </w:r>
    </w:p>
    <w:p>
      <w:pPr>
        <w:pStyle w:val="FirstParagraph"/>
      </w:pPr>
      <w:r>
        <w:t xml:space="preserve">Every institution that keeps a system of record keeps two kinds of truth. The first is the</w:t>
      </w:r>
      <w:r>
        <w:t xml:space="preserve"> </w:t>
      </w:r>
      <w:r>
        <w:rPr>
          <w:iCs/>
          <w:i/>
        </w:rPr>
        <w:t xml:space="preserve">record</w:t>
      </w:r>
      <w:r>
        <w:t xml:space="preserve">: what happened, in what order, attributed and never revised. The second is the</w:t>
      </w:r>
      <w:r>
        <w:t xml:space="preserve"> </w:t>
      </w:r>
      <w:r>
        <w:rPr>
          <w:iCs/>
          <w:i/>
        </w:rPr>
        <w:t xml:space="preserve">summary</w:t>
      </w:r>
      <w:r>
        <w:t xml:space="preserve">: what the record implies right now — an account balance, a position, a regulatory aggregate, a fraud feature. The record is written once and read forever; the summaries are recomputed constantly and forgotten freely. These two kinds of truth have opposite engineering economics, and nearly every production estate serves them with different machines glued together by pipelines.</w:t>
      </w:r>
    </w:p>
    <w:p>
      <w:pPr>
        <w:pStyle w:val="BodyText"/>
      </w:pPr>
      <w:r>
        <w:t xml:space="preserve">The gluing is where the trouble starts. A typical core-banking estate runs a transactional database for postings, a change-data-capture pipeline into a message bus, a fleet of stream processors and caches for balances and statements, and a warehouse for analytics. Each hop introduces a new consistency domain with its own failure modes. The failure mode is not hypothetical or obscure: it is named in regulatory guidance. The FDIC and the CFPB both describe</w:t>
      </w:r>
      <w:r>
        <w:t xml:space="preserve"> </w:t>
      </w:r>
      <w:r>
        <w:rPr>
          <w:iCs/>
          <w:i/>
        </w:rPr>
        <w:t xml:space="preserve">authorize-positive-settle-negative</w:t>
      </w:r>
      <w:r>
        <w:t xml:space="preserve"> </w:t>
      </w:r>
      <w:r>
        <w:t xml:space="preserve">(APSN) fee practices, which arise precisely because two derived views of the same ledger — the</w:t>
      </w:r>
      <w:r>
        <w:t xml:space="preserve"> </w:t>
      </w:r>
      <w:r>
        <w:rPr>
          <w:iCs/>
          <w:i/>
        </w:rPr>
        <w:t xml:space="preserve">available balance</w:t>
      </w:r>
      <w:r>
        <w:t xml:space="preserve">, which nets authorized-but-unsettled holds, and the</w:t>
      </w:r>
      <w:r>
        <w:t xml:space="preserve"> </w:t>
      </w:r>
      <w:r>
        <w:rPr>
          <w:iCs/>
          <w:i/>
        </w:rPr>
        <w:t xml:space="preserve">ledger balance</w:t>
      </w:r>
      <w:r>
        <w:t xml:space="preserve">, which counts only settled transactions — can disagree at the moment a decision is made [FDIC FIL-19-2023; CFPB Circular 2022-06]. Two read models over one ledger, differing in exactly which pending facts they include, produce a consumer-harm pattern serious enough for supervisory attention. That is this thesis’s problem statement written by a regulator.</w:t>
      </w:r>
    </w:p>
    <w:p>
      <w:pPr>
        <w:pStyle w:val="BodyText"/>
      </w:pPr>
      <w:r>
        <w:t xml:space="preserve">Meanwhile the read side has a structure that current systems ignore rather than exploit. Across a realistic institution, derived read models number in the thousands. A bank must serve, from the same postings: a customer’s</w:t>
      </w:r>
      <w:r>
        <w:t xml:space="preserve"> </w:t>
      </w:r>
      <w:r>
        <w:rPr>
          <w:iCs/>
          <w:i/>
        </w:rPr>
        <w:t xml:space="preserve">available balance</w:t>
      </w:r>
      <w:r>
        <w:t xml:space="preserve"> </w:t>
      </w:r>
      <w:r>
        <w:t xml:space="preserve">(posted minus holds) at authorization latency; the balance</w:t>
      </w:r>
      <w:r>
        <w:t xml:space="preserve"> </w:t>
      </w:r>
      <w:r>
        <w:rPr>
          <w:iCs/>
          <w:i/>
        </w:rPr>
        <w:t xml:space="preserve">as of any historical date</w:t>
      </w:r>
      <w:r>
        <w:t xml:space="preserve">, on both the booking and the value-date axes; positions rolled up by product, currency, desk, legal entity and geography for risk reporting; the month-to-date statement; and real-time features for fraud and anti-money-laundering scoring. BCBS 239 makes the open-endedness of this family an explicit supervisory expectation: Principle 4 requires risk data to be available</w:t>
      </w:r>
      <w:r>
        <w:t xml:space="preserve"> </w:t>
      </w:r>
      <w:r>
        <w:t xml:space="preserve">“</w:t>
      </w:r>
      <w:r>
        <w:t xml:space="preserve">by business line, legal entity, asset type, industry, region and other groupings,</w:t>
      </w:r>
      <w:r>
        <w:t xml:space="preserve">”</w:t>
      </w:r>
      <w:r>
        <w:t xml:space="preserve"> </w:t>
      </w:r>
      <w:r>
        <w:t xml:space="preserve">and Principle 6 requires the bank to satisfy</w:t>
      </w:r>
      <w:r>
        <w:t xml:space="preserve"> </w:t>
      </w:r>
      <w:r>
        <w:t xml:space="preserve">“</w:t>
      </w:r>
      <w:r>
        <w:t xml:space="preserve">a broad range of on-demand, ad hoc risk management reporting requests, including requests during stress/crisis situations</w:t>
      </w:r>
      <w:r>
        <w:t xml:space="preserve">”</w:t>
      </w:r>
      <w:r>
        <w:t xml:space="preserve"> </w:t>
      </w:r>
      <w:r>
        <w:t xml:space="preserve">[BCBS d328]. A view family that must answer</w:t>
      </w:r>
      <w:r>
        <w:t xml:space="preserve"> </w:t>
      </w:r>
      <w:r>
        <w:rPr>
          <w:iCs/>
          <w:i/>
        </w:rPr>
        <w:t xml:space="preserve">ad hoc</w:t>
      </w:r>
      <w:r>
        <w:t xml:space="preserve"> </w:t>
      </w:r>
      <w:r>
        <w:t xml:space="preserve">requests cannot be fully enumerated in advance, and therefore cannot be fully materialized in advance. This is the</w:t>
      </w:r>
      <w:r>
        <w:t xml:space="preserve"> </w:t>
      </w:r>
      <w:r>
        <w:rPr>
          <w:bCs/>
          <w:b/>
        </w:rPr>
        <w:t xml:space="preserve">read-model explosion</w:t>
      </w:r>
      <w:r>
        <w:t xml:space="preserve">: the set of derived views is open, and the cost of materializing all of it is unbounded, while the cost of materializing none of it is paid on every read.</w:t>
      </w:r>
    </w:p>
    <w:p>
      <w:pPr>
        <w:pStyle w:val="BodyText"/>
      </w:pPr>
      <w:r>
        <w:t xml:space="preserve">Access to that family is skewed, and the skew is the exploitable structure — but the literature disagrees about how much, and the disagreement matters enough to be a design premise rather than an assumption. Twitter’s analysis of 153 in-memory cache clusters (~700 billion requests) found most workloads well fit by Zipf with α roughly in the range 1–2.5, and read-heavy workloads more skewed (median α ≈ 1.4) than write-heavy ones (median α ≈ 0.9) [Yang et al., OSDI ’20]. Meta’s CacheLib paper deliberately pushes back: of its four production workloads, only one is Zipfian with α near 1, while SocialGraph shows α ≈ 0.55 and the CDN workload α ≈ 0.7, and the authors state plainly that</w:t>
      </w:r>
      <w:r>
        <w:t xml:space="preserve"> </w:t>
      </w:r>
      <w:r>
        <w:t xml:space="preserve">“</w:t>
      </w:r>
      <w:r>
        <w:t xml:space="preserve">prior models have been too optimistic about the cacheability of production workloads</w:t>
      </w:r>
      <w:r>
        <w:t xml:space="preserve">”</w:t>
      </w:r>
      <w:r>
        <w:t xml:space="preserve"> </w:t>
      </w:r>
      <w:r>
        <w:t xml:space="preserve">[Berg et al., OSDI ’20]. Any thesis claiming that demand-driven materialization pays must therefore</w:t>
      </w:r>
      <w:r>
        <w:t xml:space="preserve"> </w:t>
      </w:r>
      <w:r>
        <w:rPr>
          <w:iCs/>
          <w:i/>
        </w:rPr>
        <w:t xml:space="preserve">measure</w:t>
      </w:r>
      <w:r>
        <w:t xml:space="preserve"> </w:t>
      </w:r>
      <w:r>
        <w:t xml:space="preserve">where it pays rather than assume it, and must survive the flat end of that range. That requirement is what turns an engineering optimization into a scientific question with a frontier.</w:t>
      </w:r>
    </w:p>
    <w:bookmarkStart w:id="24" w:name="the-attempt-that-started-this"/>
    <w:p>
      <w:pPr>
        <w:pStyle w:val="Heading3"/>
      </w:pPr>
      <w:r>
        <w:t xml:space="preserve">1.1.1 The Attempt That Started This</w:t>
      </w:r>
    </w:p>
    <w:p>
      <w:pPr>
        <w:pStyle w:val="FirstParagraph"/>
      </w:pPr>
      <w:r>
        <w:t xml:space="preserve">This work began with an engineering attempt rather than a research question. The author set out to build a core-banking system in Rust on Noria, whose partially-stateful dataflow looked like exactly the right read-side mechanism for the balance-and-statement family described above. That attempt never reached a running system, and the reason it failed is not the reason one might expect. It is worth stating precisely, because the honest version motivates this thesis better than the flattering one.</w:t>
      </w:r>
    </w:p>
    <w:p>
      <w:pPr>
        <w:pStyle w:val="BodyText"/>
      </w:pPr>
      <w:r>
        <w:rPr>
          <w:bCs/>
          <w:b/>
        </w:rPr>
        <w:t xml:space="preserve">Noria was never successfully built, started, or connected to.</w:t>
      </w:r>
      <w:r>
        <w:t xml:space="preserve"> </w:t>
      </w:r>
      <w:r>
        <w:t xml:space="preserve">Not once; no SQL statement was ever executed against it. The</w:t>
      </w:r>
      <w:r>
        <w:t xml:space="preserve"> </w:t>
      </w:r>
      <w:r>
        <w:rPr>
          <w:rStyle w:val="VerbatimChar"/>
        </w:rPr>
        <w:t xml:space="preserve">noria</w:t>
      </w:r>
      <w:r>
        <w:t xml:space="preserve"> </w:t>
      </w:r>
      <w:r>
        <w:t xml:space="preserve">crate requires a 2021-era nightly Rust; it uses</w:t>
      </w:r>
      <w:r>
        <w:t xml:space="preserve"> </w:t>
      </w:r>
      <w:r>
        <w:rPr>
          <w:rStyle w:val="VerbatimChar"/>
        </w:rPr>
        <w:t xml:space="preserve">impl_trait_in_assoc_type</w:t>
      </w:r>
      <w:r>
        <w:t xml:space="preserve"> </w:t>
      </w:r>
      <w:r>
        <w:t xml:space="preserve">in a form that modern nightly rejects; its transitive</w:t>
      </w:r>
      <w:r>
        <w:t xml:space="preserve"> </w:t>
      </w:r>
      <w:r>
        <w:rPr>
          <w:rStyle w:val="VerbatimChar"/>
        </w:rPr>
        <w:t xml:space="preserve">librocksdb-sys</w:t>
      </w:r>
      <w:r>
        <w:t xml:space="preserve"> </w:t>
      </w:r>
      <w:r>
        <w:t xml:space="preserve">dependency panics under current LLVM’s bindgen; no container image is published; and a source build pinned to the contemporaneous nightly still fails, because the crate’s</w:t>
      </w:r>
      <w:r>
        <w:t xml:space="preserve"> </w:t>
      </w:r>
      <w:r>
        <w:rPr>
          <w:iCs/>
          <w:i/>
        </w:rPr>
        <w:t xml:space="preserve">unpinned transitive dependencies</w:t>
      </w:r>
      <w:r>
        <w:t xml:space="preserve"> </w:t>
      </w:r>
      <w:r>
        <w:t xml:space="preserve">have moved on. The attempt pivoted to Materialize, which refused</w:t>
      </w:r>
      <w:r>
        <w:t xml:space="preserve"> </w:t>
      </w:r>
      <w:r>
        <w:rPr>
          <w:rStyle w:val="VerbatimChar"/>
        </w:rPr>
        <w:t xml:space="preserve">CREATE TABLE</w:t>
      </w:r>
      <w:r>
        <w:t xml:space="preserve"> </w:t>
      </w:r>
      <w:r>
        <w:t xml:space="preserve">with a primary key, and ended without an end-to-end run on any engine. The full transcript is analysed line by line in</w:t>
      </w:r>
      <w:r>
        <w:t xml:space="preserve"> </w:t>
      </w:r>
      <w:r>
        <w:rPr>
          <w:rStyle w:val="VerbatimChar"/>
        </w:rPr>
        <w:t xml:space="preserve">docs/research/gbs-noria-postmortem.md</w:t>
      </w:r>
      <w:r>
        <w:t xml:space="preserve">, including the parts that are unflattering to this narrative: a substantial share of the friction was neither Noria nor semantics but toolchain accident, and the source build omitted</w:t>
      </w:r>
      <w:r>
        <w:t xml:space="preserve"> </w:t>
      </w:r>
      <w:r>
        <w:rPr>
          <w:rStyle w:val="VerbatimChar"/>
        </w:rPr>
        <w:t xml:space="preserve">--locked</w:t>
      </w:r>
      <w:r>
        <w:t xml:space="preserve">, which is the textbook cause of precisely the failure observed.</w:t>
      </w:r>
    </w:p>
    <w:p>
      <w:pPr>
        <w:pStyle w:val="BodyText"/>
      </w:pPr>
      <w:r>
        <w:t xml:space="preserve">So this thesis does</w:t>
      </w:r>
      <w:r>
        <w:t xml:space="preserve"> </w:t>
      </w:r>
      <w:r>
        <w:rPr>
          <w:bCs/>
          <w:b/>
        </w:rPr>
        <w:t xml:space="preserve">not</w:t>
      </w:r>
      <w:r>
        <w:t xml:space="preserve"> </w:t>
      </w:r>
      <w:r>
        <w:t xml:space="preserve">rest on a claim that Noria cannot serve a bank; that claim was never tested and §11.5.5 declines to make it. Two things were nonetheless learned, and both shaped what follows.</w:t>
      </w:r>
    </w:p>
    <w:p>
      <w:pPr>
        <w:pStyle w:val="BodyText"/>
      </w:pPr>
      <w:r>
        <w:t xml:space="preserve">The first is about</w:t>
      </w:r>
      <w:r>
        <w:t xml:space="preserve"> </w:t>
      </w:r>
      <w:r>
        <w:rPr>
          <w:iCs/>
          <w:i/>
        </w:rPr>
        <w:t xml:space="preserve">artefacts</w:t>
      </w:r>
      <w:r>
        <w:t xml:space="preserve">. A research system distributed only as a source tree pinned to a five-year-old toolchain, with unlocked dependencies and a C++ dependency broken by later compilers, is undeployable however good its design. This is why every engineering commitment in Chapter 7 — pinned toolchain, locked dependencies, determinism gates, a build that a stranger can reproduce — is treated as a research obligation rather than an operational nicety.</w:t>
      </w:r>
    </w:p>
    <w:p>
      <w:pPr>
        <w:pStyle w:val="BodyText"/>
      </w:pPr>
      <w:r>
        <w:t xml:space="preserve">The second is directly on this thesis’s subject, and it was visible in the code as it was written.</w:t>
      </w:r>
      <w:r>
        <w:t xml:space="preserve"> </w:t>
      </w:r>
      <w:r>
        <w:rPr>
          <w:bCs/>
          <w:b/>
        </w:rPr>
        <w:t xml:space="preserve">Every guarantee the engine could not express reappeared, immediately, as unverified application code.</w:t>
      </w:r>
      <w:r>
        <w:t xml:space="preserve"> </w:t>
      </w:r>
      <w:r>
        <w:t xml:space="preserve">When the engine refused primary keys, uniqueness became</w:t>
      </w:r>
      <w:r>
        <w:t xml:space="preserve"> </w:t>
      </w:r>
      <w:r>
        <w:rPr>
          <w:rStyle w:val="VerbatimChar"/>
        </w:rPr>
        <w:t xml:space="preserve">transaction_id + 1</w:t>
      </w:r>
      <w:r>
        <w:t xml:space="preserve"> </w:t>
      </w:r>
      <w:r>
        <w:t xml:space="preserve">with a comment explaining that the increment keeps the key unique. Atomicity became a comment reading</w:t>
      </w:r>
      <w:r>
        <w:t xml:space="preserve"> </w:t>
      </w:r>
      <w:r>
        <w:rPr>
          <w:iCs/>
          <w:i/>
        </w:rPr>
        <w:t xml:space="preserve">“</w:t>
      </w:r>
      <w:r>
        <w:rPr>
          <w:iCs/>
          <w:i/>
        </w:rPr>
        <w:t xml:space="preserve">in a real banking app, you would wrap this in a SQL transaction.</w:t>
      </w:r>
      <w:r>
        <w:rPr>
          <w:iCs/>
          <w:i/>
        </w:rPr>
        <w:t xml:space="preserve">”</w:t>
      </w:r>
      <w:r>
        <w:t xml:space="preserve"> </w:t>
      </w:r>
      <w:r>
        <w:t xml:space="preserve">And a failed balance read became</w:t>
      </w:r>
      <w:r>
        <w:t xml:space="preserve"> </w:t>
      </w:r>
      <w:r>
        <w:rPr>
          <w:rStyle w:val="VerbatimChar"/>
        </w:rPr>
        <w:t xml:space="preserve">Err(_) =&gt; 0, // Account not found or zero balance</w:t>
      </w:r>
      <w:r>
        <w:t xml:space="preserve"> </w:t>
      </w:r>
      <w:r>
        <w:t xml:space="preserve">— a database error rendered silently as a zero balance, by a developer working around an engine with no way to say</w:t>
      </w:r>
      <w:r>
        <w:t xml:space="preserve"> </w:t>
      </w:r>
      <w:r>
        <w:rPr>
          <w:iCs/>
          <w:i/>
        </w:rPr>
        <w:t xml:space="preserve">“</w:t>
      </w:r>
      <w:r>
        <w:rPr>
          <w:iCs/>
          <w:i/>
        </w:rPr>
        <w:t xml:space="preserve">I do not know.</w:t>
      </w:r>
      <w:r>
        <w:rPr>
          <w:iCs/>
          <w:i/>
        </w:rPr>
        <w:t xml:space="preserve">”</w:t>
      </w:r>
      <w:r>
        <w:t xml:space="preserve"> </w:t>
      </w:r>
      <w:r>
        <w:t xml:space="preserve">That last line is the</w:t>
      </w:r>
      <w:r>
        <w:t xml:space="preserve"> </w:t>
      </w:r>
      <w:r>
        <w:t xml:space="preserve">“</w:t>
      </w:r>
      <w:r>
        <w:t xml:space="preserve">miss ≠ zero</w:t>
      </w:r>
      <w:r>
        <w:t xml:space="preserve">”</w:t>
      </w:r>
      <w:r>
        <w:t xml:space="preserve"> </w:t>
      </w:r>
      <w:r>
        <w:t xml:space="preserve">defect this thesis’s absence lattice exists to make unrepresentable, written spontaneously, in a real attempt, by someone who understood the problem. No currency column, no overdraft check and no audit metadata ever appeared in any schema.</w:t>
      </w:r>
    </w:p>
    <w:p>
      <w:pPr>
        <w:pStyle w:val="BodyText"/>
      </w:pPr>
      <w:r>
        <w:t xml:space="preserve">That is an anecdote — one developer, one attempt, no control — and it is labelled as one here. It is not evidence and Chapter 9 does not treat it as such; the evidentiary work is done by the differential defect corpus of §6.10.3, which writes twelve defect classes twice and counts which are caught and when. But it is the observation that turned an engineering project into this research question: if the guarantees a ledger needs keep migrating into application code the moment the system cannot hold them, then the interesting question is not which engine to choose but</w:t>
      </w:r>
      <w:r>
        <w:t xml:space="preserve"> </w:t>
      </w:r>
      <w:r>
        <w:rPr>
          <w:bCs/>
          <w:b/>
        </w:rPr>
        <w:t xml:space="preserve">what a system would have to be able to say</w:t>
      </w:r>
      <w:r>
        <w:t xml:space="preserve"> </w:t>
      </w:r>
      <w:r>
        <w:t xml:space="preserve">for them to stay put.</w:t>
      </w:r>
    </w:p>
    <w:p>
      <w:pPr>
        <w:pStyle w:val="BodyText"/>
      </w:pPr>
      <w:r>
        <w:t xml:space="preserve">The motivation of this thesis is the conviction that this is not a systems-integration problem but a missing theory. If the authoritative history is an immutable, epoch-ordered, hash-chained base, and every read model is a</w:t>
      </w:r>
      <w:r>
        <w:t xml:space="preserve"> </w:t>
      </w:r>
      <w:r>
        <w:rPr>
          <w:iCs/>
          <w:i/>
        </w:rPr>
        <w:t xml:space="preserve">function of a prefix of that base</w:t>
      </w:r>
      <w:r>
        <w:t xml:space="preserve">, then eviction and reconstruction become algebraic operations whose safety can be proved once, generically, instead of re-argued per pipeline. The database, the cache, the stream processor and the audit log collapse into one system with one semantics — provided we can state that semantics precisely, bound its costs, price each level of consistency, and give programmers a language in which the invariants are checkable before the program runs.</w:t>
      </w:r>
    </w:p>
    <w:bookmarkEnd w:id="24"/>
    <w:bookmarkEnd w:id="25"/>
    <w:bookmarkStart w:id="26" w:name="existing-solutions"/>
    <w:p>
      <w:pPr>
        <w:pStyle w:val="Heading2"/>
      </w:pPr>
      <w:r>
        <w:t xml:space="preserve">1.2 Existing Solutions</w:t>
      </w:r>
    </w:p>
    <w:p>
      <w:pPr>
        <w:pStyle w:val="FirstParagraph"/>
      </w:pPr>
      <w:r>
        <w:t xml:space="preserve">Existing systems each solve a projection of the problem; none solves its whole. Chapter 2 gives the technical background and Chapter 10 the detailed differences; what follows is the shape of the gap.</w:t>
      </w:r>
    </w:p>
    <w:p>
      <w:pPr>
        <w:pStyle w:val="BodyText"/>
      </w:pPr>
      <w:r>
        <w:rPr>
          <w:bCs/>
          <w:b/>
        </w:rPr>
        <w:t xml:space="preserve">Transactional and distributed SQL databases</w:t>
      </w:r>
      <w:r>
        <w:t xml:space="preserve"> </w:t>
      </w:r>
      <w:r>
        <w:t xml:space="preserve">(PostgreSQL, MySQL; Spanner, CockroachDB, FoundationDB, and the deterministic school of Calvin and Aria) provide serializable or strictly serializable writes and a general query surface. Their derived state, however, is either recomputed per query or maintained as</w:t>
      </w:r>
      <w:r>
        <w:t xml:space="preserve"> </w:t>
      </w:r>
      <w:r>
        <w:rPr>
          <w:iCs/>
          <w:i/>
        </w:rPr>
        <w:t xml:space="preserve">totally</w:t>
      </w:r>
      <w:r>
        <w:t xml:space="preserve"> </w:t>
      </w:r>
      <w:r>
        <w:t xml:space="preserve">materialized views with eager maintenance; history is disposable (MVCC versions are garbage-collected, audit is bolted on via triggers or WAL archaeology); and SQL cannot express</w:t>
      </w:r>
      <w:r>
        <w:t xml:space="preserve"> </w:t>
      </w:r>
      <w:r>
        <w:t xml:space="preserve">“</w:t>
      </w:r>
      <w:r>
        <w:t xml:space="preserve">this view may be two epochs stale</w:t>
      </w:r>
      <w:r>
        <w:t xml:space="preserve">”</w:t>
      </w:r>
      <w:r>
        <w:t xml:space="preserve"> </w:t>
      </w:r>
      <w:r>
        <w:t xml:space="preserve">or</w:t>
      </w:r>
      <w:r>
        <w:t xml:space="preserve"> </w:t>
      </w:r>
      <w:r>
        <w:t xml:space="preserve">“</w:t>
      </w:r>
      <w:r>
        <w:t xml:space="preserve">this transaction must balance per currency</w:t>
      </w:r>
      <w:r>
        <w:t xml:space="preserve">”</w:t>
      </w:r>
      <w:r>
        <w:t xml:space="preserve"> </w:t>
      </w:r>
      <w:r>
        <w:t xml:space="preserve">as checkable properties. Calvin and Aria are important positive precedent rather than competition: both show that pre-agreeing a total order over transaction</w:t>
      </w:r>
      <w:r>
        <w:t xml:space="preserve"> </w:t>
      </w:r>
      <w:r>
        <w:rPr>
          <w:iCs/>
          <w:i/>
        </w:rPr>
        <w:t xml:space="preserve">inputs</w:t>
      </w:r>
      <w:r>
        <w:t xml:space="preserve"> </w:t>
      </w:r>
      <w:r>
        <w:t xml:space="preserve">turns distributed commit into deterministic local replay [Thomson et al., SIGMOD ’12; Lu et al., PVLDB ’20], which is exactly the property this thesis’s epoch-ordered ledger supplies to the read side.</w:t>
      </w:r>
    </w:p>
    <w:p>
      <w:pPr>
        <w:pStyle w:val="BodyText"/>
      </w:pPr>
      <w:r>
        <w:rPr>
          <w:bCs/>
          <w:b/>
        </w:rPr>
        <w:t xml:space="preserve">Purpose-built ledgers</w:t>
      </w:r>
      <w:r>
        <w:t xml:space="preserve"> </w:t>
      </w:r>
      <w:r>
        <w:t xml:space="preserve">get the write path right and stop there. TigerBeetle’s data model is accounts, transfers and ledgers, with the transfer</w:t>
      </w:r>
      <w:r>
        <w:t xml:space="preserve"> </w:t>
      </w:r>
      <w:r>
        <w:rPr>
          <w:rStyle w:val="VerbatimChar"/>
        </w:rPr>
        <w:t xml:space="preserve">id</w:t>
      </w:r>
      <w:r>
        <w:t xml:space="preserve"> </w:t>
      </w:r>
      <w:r>
        <w:t xml:space="preserve">serving as an idempotency key, per-account flags such as</w:t>
      </w:r>
      <w:r>
        <w:t xml:space="preserve"> </w:t>
      </w:r>
      <w:r>
        <w:rPr>
          <w:rStyle w:val="VerbatimChar"/>
        </w:rPr>
        <w:t xml:space="preserve">credits_must_not_exceed_debits</w:t>
      </w:r>
      <w:r>
        <w:t xml:space="preserve"> </w:t>
      </w:r>
      <w:r>
        <w:t xml:space="preserve">expressing non-negativity as a first-class constraint, and two-phase</w:t>
      </w:r>
      <w:r>
        <w:t xml:space="preserve"> </w:t>
      </w:r>
      <w:r>
        <w:rPr>
          <w:iCs/>
          <w:i/>
        </w:rPr>
        <w:t xml:space="preserve">pending transfers</w:t>
      </w:r>
      <w:r>
        <w:t xml:space="preserve"> </w:t>
      </w:r>
      <w:r>
        <w:t xml:space="preserve">that reserve funds in</w:t>
      </w:r>
      <w:r>
        <w:t xml:space="preserve"> </w:t>
      </w:r>
      <w:r>
        <w:rPr>
          <w:rStyle w:val="VerbatimChar"/>
        </w:rPr>
        <w:t xml:space="preserve">debits_pending</w:t>
      </w:r>
      <w:r>
        <w:t xml:space="preserve">/</w:t>
      </w:r>
      <w:r>
        <w:rPr>
          <w:rStyle w:val="VerbatimChar"/>
        </w:rPr>
        <w:t xml:space="preserve">credits_pending</w:t>
      </w:r>
      <w:r>
        <w:t xml:space="preserve"> </w:t>
      </w:r>
      <w:r>
        <w:t xml:space="preserve">and are resolved by</w:t>
      </w:r>
      <w:r>
        <w:t xml:space="preserve"> </w:t>
      </w:r>
      <w:r>
        <w:rPr>
          <w:iCs/>
          <w:i/>
        </w:rPr>
        <w:t xml:space="preserve">appending a new transfer</w:t>
      </w:r>
      <w:r>
        <w:t xml:space="preserve"> </w:t>
      </w:r>
      <w:r>
        <w:t xml:space="preserve">rather than mutating the original [TigerBeetle docs]. All data is</w:t>
      </w:r>
      <w:r>
        <w:t xml:space="preserve"> </w:t>
      </w:r>
      <w:r>
        <w:t xml:space="preserve">“</w:t>
      </w:r>
      <w:r>
        <w:t xml:space="preserve">immutable, checksummed, and hash-chained.</w:t>
      </w:r>
      <w:r>
        <w:t xml:space="preserve">”</w:t>
      </w:r>
      <w:r>
        <w:t xml:space="preserve"> </w:t>
      </w:r>
      <w:r>
        <w:t xml:space="preserve">That is a ledger-grade write path with a fixed schema and point-lookup reads: there is no general query surface, no derived-view runtime, no language. Uber’s LedgerStore is the strongest industrial evidence for this thesis’s read side: over one immutable, verifiable ledger it ships</w:t>
      </w:r>
      <w:r>
        <w:t xml:space="preserve"> </w:t>
      </w:r>
      <w:r>
        <w:rPr>
          <w:iCs/>
          <w:i/>
        </w:rPr>
        <w:t xml:space="preserve">three different index classes</w:t>
      </w:r>
      <w:r>
        <w:t xml:space="preserve"> </w:t>
      </w:r>
      <w:r>
        <w:t xml:space="preserve">— strongly consistent indexes (two-phase commit, used for credit-card authorization holds), eventually consistent indexes (payment history), and time-range indexes for tiering [Uber Engineering]. Different consistency for different derived views over one immutable base is already production practice; what is missing is a semantics for it. Square’s</w:t>
      </w:r>
      <w:r>
        <w:t xml:space="preserve"> </w:t>
      </w:r>
      <w:r>
        <w:t xml:space="preserve">“</w:t>
      </w:r>
      <w:r>
        <w:t xml:space="preserve">Books</w:t>
      </w:r>
      <w:r>
        <w:t xml:space="preserve">”</w:t>
      </w:r>
      <w:r>
        <w:t xml:space="preserve"> </w:t>
      </w:r>
      <w:r>
        <w:t xml:space="preserve">makes the same architectural choice — journal entries must balance to zero, tables have</w:t>
      </w:r>
      <w:r>
        <w:t xml:space="preserve"> </w:t>
      </w:r>
      <w:r>
        <w:t xml:space="preserve">“</w:t>
      </w:r>
      <w:r>
        <w:t xml:space="preserve">no update statements … only inserts,</w:t>
      </w:r>
      <w:r>
        <w:t xml:space="preserve">”</w:t>
      </w:r>
      <w:r>
        <w:t xml:space="preserve"> </w:t>
      </w:r>
      <w:r>
        <w:t xml:space="preserve">and the payout balance is deliberately</w:t>
      </w:r>
      <w:r>
        <w:t xml:space="preserve"> </w:t>
      </w:r>
      <w:r>
        <w:rPr>
          <w:iCs/>
          <w:i/>
        </w:rPr>
        <w:t xml:space="preserve">materialized</w:t>
      </w:r>
      <w:r>
        <w:t xml:space="preserve"> </w:t>
      </w:r>
      <w:r>
        <w:t xml:space="preserve">rather than aggregated [Square Developer Blog]. Immutable and bitemporal databases (Datomic, XTDB) demonstrate that retention is affordable and gives time travel almost free, but their read sides are totally materialized indexes or per-query evaluation.</w:t>
      </w:r>
    </w:p>
    <w:p>
      <w:pPr>
        <w:pStyle w:val="BodyText"/>
      </w:pPr>
      <w:r>
        <w:rPr>
          <w:bCs/>
          <w:b/>
        </w:rPr>
        <w:t xml:space="preserve">Incremental view maintenance and streaming engines</w:t>
      </w:r>
      <w:r>
        <w:t xml:space="preserve"> </w:t>
      </w:r>
      <w:r>
        <w:t xml:space="preserve">(Materialize, Feldera/DBSP, Flink, RisingWave) maintain derived views incrementally with strong internal consistency. Materialize is the sharpest comparison because it already ships a consistency ladder: strict serializable (the default), serializable, and bounded staleness parameterized by a duration, with documentation that is explicit about what serializable permits — a transaction reading an expensive materialized view</w:t>
      </w:r>
      <w:r>
        <w:t xml:space="preserve"> </w:t>
      </w:r>
      <w:r>
        <w:t xml:space="preserve">“</w:t>
      </w:r>
      <w:r>
        <w:t xml:space="preserve">may not observe all rows visible to</w:t>
      </w:r>
      <w:r>
        <w:t xml:space="preserve">”</w:t>
      </w:r>
      <w:r>
        <w:t xml:space="preserve"> </w:t>
      </w:r>
      <w:r>
        <w:t xml:space="preserve">a transaction that read the underlying table moments earlier [Materialize docs]. The differentiating dimension is therefore not consistency levels, which exist, but</w:t>
      </w:r>
      <w:r>
        <w:t xml:space="preserve"> </w:t>
      </w:r>
      <w:r>
        <w:rPr>
          <w:bCs/>
          <w:b/>
        </w:rPr>
        <w:t xml:space="preserve">partiality</w:t>
      </w:r>
      <w:r>
        <w:t xml:space="preserve">: these engines materialize views</w:t>
      </w:r>
      <w:r>
        <w:t xml:space="preserve"> </w:t>
      </w:r>
      <w:r>
        <w:rPr>
          <w:iCs/>
          <w:i/>
        </w:rPr>
        <w:t xml:space="preserve">totally</w:t>
      </w:r>
      <w:r>
        <w:t xml:space="preserve">, so state grows with the domain of the view rather than with what is actually read, and the authoritative write path lives in someone else’s system.</w:t>
      </w:r>
    </w:p>
    <w:p>
      <w:pPr>
        <w:pStyle w:val="BodyText"/>
      </w:pPr>
      <w:r>
        <w:rPr>
          <w:bCs/>
          <w:b/>
        </w:rPr>
        <w:t xml:space="preserve">Partially stateful dataflow</w:t>
      </w:r>
      <w:r>
        <w:t xml:space="preserve"> </w:t>
      </w:r>
      <w:r>
        <w:t xml:space="preserve">— Noria — pioneered exactly the right read-side mechanism: operators and views may contain holes; a read that hits a hole issues an</w:t>
      </w:r>
      <w:r>
        <w:t xml:space="preserve"> </w:t>
      </w:r>
      <w:r>
        <w:rPr>
          <w:iCs/>
          <w:i/>
        </w:rPr>
        <w:t xml:space="preserve">upquery</w:t>
      </w:r>
      <w:r>
        <w:t xml:space="preserve"> </w:t>
      </w:r>
      <w:r>
        <w:t xml:space="preserve">toward the base tables; eviction re-creates holes [Gjengset et al., OSDI ’18]. Noria reports that partial state reduced memory to roughly 9% of full state in its Lobsters deployment and supported roughly 5× the load of a hand-optimized MySQL baseline in that application, at 16 vCPUs and a sub-100 ms 95th-percentile SLO. It is also explicit about its limits:</w:t>
      </w:r>
      <w:r>
        <w:t xml:space="preserve"> </w:t>
      </w:r>
      <w:r>
        <w:t xml:space="preserve">“</w:t>
      </w:r>
      <w:r>
        <w:t xml:space="preserve">It only guarantees eventual consistency; its eviction from partial state is randomized; … and it lacks support for some SQL keywords.</w:t>
      </w:r>
      <w:r>
        <w:t xml:space="preserve">”</w:t>
      </w:r>
      <w:r>
        <w:t xml:space="preserve"> </w:t>
      </w:r>
      <w:r>
        <w:t xml:space="preserve">Gjengset’s dissertation names the three invariants partial state must maintain and the five anomalies it must exclude — double application, skipped deltas, upquery races, lost deltas, upquery deadlock — and lists transactions and stronger consistency as</w:t>
      </w:r>
      <w:r>
        <w:t xml:space="preserve"> </w:t>
      </w:r>
      <w:r>
        <w:rPr>
          <w:iCs/>
          <w:i/>
        </w:rPr>
        <w:t xml:space="preserve">future work</w:t>
      </w:r>
      <w:r>
        <w:t xml:space="preserve">. That list is the negative space this thesis occupies.</w:t>
      </w:r>
    </w:p>
    <w:p>
      <w:pPr>
        <w:pStyle w:val="BodyText"/>
      </w:pPr>
      <w:r>
        <w:rPr>
          <w:bCs/>
          <w:b/>
        </w:rPr>
        <w:t xml:space="preserve">Event sourcing, CQRS, and the log-centric school</w:t>
      </w:r>
      <w:r>
        <w:t xml:space="preserve"> </w:t>
      </w:r>
      <w:r>
        <w:t xml:space="preserve">assert the right shape — immutable log, derived projections — as a discipline imposed on developers rather than a system with a semantics. Notably, both Flink and Kafka achieve</w:t>
      </w:r>
      <w:r>
        <w:t xml:space="preserve"> </w:t>
      </w:r>
      <w:r>
        <w:t xml:space="preserve">“</w:t>
      </w:r>
      <w:r>
        <w:t xml:space="preserve">exactly once</w:t>
      </w:r>
      <w:r>
        <w:t xml:space="preserve">”</w:t>
      </w:r>
      <w:r>
        <w:t xml:space="preserve"> </w:t>
      </w:r>
      <w:r>
        <w:t xml:space="preserve">by committing derived state and input position</w:t>
      </w:r>
      <w:r>
        <w:t xml:space="preserve"> </w:t>
      </w:r>
      <w:r>
        <w:rPr>
          <w:iCs/>
          <w:i/>
        </w:rPr>
        <w:t xml:space="preserve">atomically</w:t>
      </w:r>
      <w:r>
        <w:t xml:space="preserve"> </w:t>
      </w:r>
      <w:r>
        <w:t xml:space="preserve">[Carbone et al.; Kafka KIP-98], which is structurally the same move as anchoring a read model to a ledger epoch; the industrial pattern exists, the general theory does not. Structurally identical, too, is Trillian’s</w:t>
      </w:r>
      <w:r>
        <w:t xml:space="preserve"> </w:t>
      </w:r>
      <w:r>
        <w:rPr>
          <w:iCs/>
          <w:i/>
        </w:rPr>
        <w:t xml:space="preserve">log-backed map</w:t>
      </w:r>
      <w:r>
        <w:t xml:space="preserve">: a verifiable map whose changes are only applied once present in a verifiable log [Trillian]. And Lucene has run the immutable-segments-plus-tombstones-plus-background-merge architecture in production for two decades:</w:t>
      </w:r>
      <w:r>
        <w:t xml:space="preserve"> </w:t>
      </w:r>
      <w:r>
        <w:t xml:space="preserve">“</w:t>
      </w:r>
      <w:r>
        <w:t xml:space="preserve">Lucene indexes are</w:t>
      </w:r>
      <w:r>
        <w:t xml:space="preserve"> </w:t>
      </w:r>
      <w:r>
        <w:t xml:space="preserve">‘</w:t>
      </w:r>
      <w:r>
        <w:t xml:space="preserve">write-once</w:t>
      </w:r>
      <w:r>
        <w:t xml:space="preserve">’</w:t>
      </w:r>
      <w:r>
        <w:t xml:space="preserve"> </w:t>
      </w:r>
      <w:r>
        <w:t xml:space="preserve">files: once a segment has been written … it is never altered</w:t>
      </w:r>
      <w:r>
        <w:t xml:space="preserve">”</w:t>
      </w:r>
      <w:r>
        <w:t xml:space="preserve"> </w:t>
      </w:r>
      <w:r>
        <w:t xml:space="preserve">[Apache Solr Reference Guide]. The shape is not in dispute. What is missing is partiality with a proof.</w:t>
      </w:r>
    </w:p>
    <w:p>
      <w:pPr>
        <w:pStyle w:val="BodyText"/>
      </w:pPr>
      <w:r>
        <w:rPr>
          <w:bCs/>
          <w:b/>
        </w:rPr>
        <w:t xml:space="preserve">Language-level attempts.</w:t>
      </w:r>
      <w:r>
        <w:t xml:space="preserve"> </w:t>
      </w:r>
      <w:r>
        <w:t xml:space="preserve">No language in SQL’s lineage types money, time, staleness, idempotency, retention, or conservation. Among SQL alternatives — Datalog and DDlog, PRQL, Malloy, EdgeQL, Morel, Logica, KQL, Rel — a survey of their own stated positioning finds that</w:t>
      </w:r>
      <w:r>
        <w:t xml:space="preserve"> </w:t>
      </w:r>
      <w:r>
        <w:rPr>
          <w:iCs/>
          <w:i/>
        </w:rPr>
        <w:t xml:space="preserve">not one</w:t>
      </w:r>
      <w:r>
        <w:t xml:space="preserve"> </w:t>
      </w:r>
      <w:r>
        <w:t xml:space="preserve">claims formal SQL-superset expressive power; several (PRQL, Malloy, Logica) are bounded above by SQL because they compile to it, and KQL is read-only by design. Rel is the closest in ambition, arguing for a full language rather than a sublanguage, but it argues by design philosophy rather than by theorem [Aref et al., 2025]. The type-theoretic machinery needed to close the gap exists and is proven — units-of-measure types with a parametricity theorem [Kennedy, POPL ’97], linear and affine types [Wadler; RustBelt], row-based effect systems [Leijen, Koka], refinement types [Rondon et al.], information-flow typing with non-interference [Denning; Sabelfeld &amp; Myers] — but it has never been connected to a database runtime’s consistency and eviction machinery.</w:t>
      </w:r>
    </w:p>
    <w:p>
      <w:pPr>
        <w:pStyle w:val="BodyText"/>
      </w:pPr>
      <w:r>
        <w:rPr>
          <w:bCs/>
          <w:b/>
        </w:rPr>
        <w:t xml:space="preserve">The synthesis gap.</w:t>
      </w:r>
      <w:r>
        <w:t xml:space="preserve"> </w:t>
      </w:r>
      <w:r>
        <w:t xml:space="preserve">Assembled, these families cover every ingredient and no combination: strictly serializable ordered writes without read-side economics; incremental reads without partiality or without authority; partiality without consistency or invariants; ledgers without generality or language; language rigor without a database semantics to be sound</w:t>
      </w:r>
      <w:r>
        <w:t xml:space="preserve"> </w:t>
      </w:r>
      <w:r>
        <w:rPr>
          <w:iCs/>
          <w:i/>
        </w:rPr>
        <w:t xml:space="preserve">for</w:t>
      </w:r>
      <w:r>
        <w:t xml:space="preserve">; architecture without proof.</w:t>
      </w:r>
    </w:p>
    <w:bookmarkEnd w:id="26"/>
    <w:bookmarkStart w:id="27" w:name="problem-statement"/>
    <w:p>
      <w:pPr>
        <w:pStyle w:val="Heading2"/>
      </w:pPr>
      <w:r>
        <w:t xml:space="preserve">1.3 Problem Statement</w:t>
      </w:r>
    </w:p>
    <w:p>
      <w:pPr>
        <w:pStyle w:val="FirstParagraph"/>
      </w:pPr>
      <w:r>
        <w:rPr>
          <w:bCs/>
          <w:b/>
        </w:rPr>
        <w:t xml:space="preserve">Problem.</w:t>
      </w:r>
      <w:r>
        <w:t xml:space="preserve"> </w:t>
      </w:r>
      <w:r>
        <w:t xml:space="preserve">Serve write-heavy and read-heavy workloads coherently from a single semantic foundation, such that:</w:t>
      </w:r>
    </w:p>
    <w:p>
      <w:pPr>
        <w:numPr>
          <w:ilvl w:val="0"/>
          <w:numId w:val="1001"/>
        </w:numPr>
        <w:pStyle w:val="Compact"/>
      </w:pPr>
      <w:r>
        <w:t xml:space="preserve">the write path is an authoritative, append-only, strictly serializable, hash-chained, epoch-ordered base that is never partial and never forgets — in the general case a committed write to an authoritative base relation, and in the banking domain layer a balanced double-entry posting;</w:t>
      </w:r>
    </w:p>
    <w:p>
      <w:pPr>
        <w:numPr>
          <w:ilvl w:val="0"/>
          <w:numId w:val="1001"/>
        </w:numPr>
        <w:pStyle w:val="Compact"/>
      </w:pPr>
      <w:r>
        <w:t xml:space="preserve">the read path is a large, open-ended, skewed family of derived read models maintained incrementally and</w:t>
      </w:r>
      <w:r>
        <w:t xml:space="preserve"> </w:t>
      </w:r>
      <w:r>
        <w:rPr>
          <w:iCs/>
          <w:i/>
        </w:rPr>
        <w:t xml:space="preserve">partially</w:t>
      </w:r>
      <w:r>
        <w:t xml:space="preserve"> </w:t>
      </w:r>
      <w:r>
        <w:t xml:space="preserve">— materializing only what is read, evicting the rest, and reconstructing evicted entries on demand via upqueries that flow up the dataflow toward the base — while each read is served at a</w:t>
      </w:r>
      <w:r>
        <w:t xml:space="preserve"> </w:t>
      </w:r>
      <w:r>
        <w:rPr>
          <w:iCs/>
          <w:i/>
        </w:rPr>
        <w:t xml:space="preserve">declared</w:t>
      </w:r>
      <w:r>
        <w:t xml:space="preserve"> </w:t>
      </w:r>
      <w:r>
        <w:t xml:space="preserve">consistency level anchored to the base’s global visibility timeline;</w:t>
      </w:r>
    </w:p>
    <w:p>
      <w:pPr>
        <w:numPr>
          <w:ilvl w:val="0"/>
          <w:numId w:val="1001"/>
        </w:numPr>
        <w:pStyle w:val="Compact"/>
      </w:pPr>
      <w:r>
        <w:t xml:space="preserve">the choice of materialization mode per view and per key range — absent, demand-materialized, fully materialized, spilled, tiered — is made by an algorithm against a cost model, subject to each view’s consistency and freshness contract, rather than by a human guess encoded in a deployment;</w:t>
      </w:r>
    </w:p>
    <w:p>
      <w:pPr>
        <w:numPr>
          <w:ilvl w:val="0"/>
          <w:numId w:val="1001"/>
        </w:numPr>
        <w:pStyle w:val="Compact"/>
      </w:pPr>
      <w:r>
        <w:t xml:space="preserve">every operation, change and state is traceable: the system can say what an answer was, as of which epoch, and from which base facts it was derived;</w:t>
      </w:r>
    </w:p>
    <w:p>
      <w:pPr>
        <w:numPr>
          <w:ilvl w:val="0"/>
          <w:numId w:val="1001"/>
        </w:numPr>
        <w:pStyle w:val="Compact"/>
      </w:pPr>
      <w:r>
        <w:t xml:space="preserve">the whole is bound by strict-serializable correctness, durability, immutability, auditability and retention, with domain invariants (double-entry balance, currency safety, idempotency, authorization) preserved by construction and checkable before execution; and</w:t>
      </w:r>
    </w:p>
    <w:p>
      <w:pPr>
        <w:numPr>
          <w:ilvl w:val="0"/>
          <w:numId w:val="1001"/>
        </w:numPr>
        <w:pStyle w:val="Compact"/>
      </w:pPr>
      <w:r>
        <w:t xml:space="preserve">none of this costs generality: the engine must serve the workload classes a general-purpose DBMS serves — OLTP, OLAP and their hybrid, plus time-series, document, graph and search access patterns — and the language must have expressive power at least equal to SQL’s, with the banking constructs a domain library over a fully general relational core.</w:t>
      </w:r>
    </w:p>
    <w:p>
      <w:pPr>
        <w:pStyle w:val="FirstParagraph"/>
      </w:pPr>
      <w:r>
        <w:t xml:space="preserve">Five questions make this scientific rather than merely constructive.</w:t>
      </w:r>
    </w:p>
    <w:p>
      <w:pPr>
        <w:pStyle w:val="BodyText"/>
      </w:pPr>
      <w:r>
        <w:rPr>
          <w:bCs/>
          <w:b/>
        </w:rPr>
        <w:t xml:space="preserve">Q1 — Correctness under absence.</w:t>
      </w:r>
      <w:r>
        <w:t xml:space="preserve"> </w:t>
      </w:r>
      <w:r>
        <w:t xml:space="preserve">When a view has evicted part of its state, what must be true of the base, the epochs and the reconstruction procedure for the evicted-then-reconstructed answer to be</w:t>
      </w:r>
      <w:r>
        <w:t xml:space="preserve"> </w:t>
      </w:r>
      <w:r>
        <w:rPr>
          <w:iCs/>
          <w:i/>
        </w:rPr>
        <w:t xml:space="preserve">indistinguishable</w:t>
      </w:r>
      <w:r>
        <w:t xml:space="preserve"> </w:t>
      </w:r>
      <w:r>
        <w:t xml:space="preserve">from the never-evicted answer, and for invariants like conservation of money to survive the round trip — including under the five anomalies Noria’s partial state must exclude?</w:t>
      </w:r>
    </w:p>
    <w:p>
      <w:pPr>
        <w:pStyle w:val="BodyText"/>
      </w:pPr>
      <w:r>
        <w:rPr>
          <w:bCs/>
          <w:b/>
        </w:rPr>
        <w:t xml:space="preserve">Q2 — The price of consistency under absence.</w:t>
      </w:r>
      <w:r>
        <w:t xml:space="preserve"> </w:t>
      </w:r>
      <w:r>
        <w:t xml:space="preserve">Each rung of a consistency ladder from bounded staleness to strict serializability imposes costs on a partially stateful runtime. Where exactly does partial materialization stop being cheaper than full materialization, and is that frontier a property of the history, the workload, or the consistency level demanded?</w:t>
      </w:r>
    </w:p>
    <w:p>
      <w:pPr>
        <w:pStyle w:val="BodyText"/>
      </w:pPr>
      <w:r>
        <w:rPr>
          <w:bCs/>
          <w:b/>
        </w:rPr>
        <w:t xml:space="preserve">Q3 — The policy question.</w:t>
      </w:r>
      <w:r>
        <w:t xml:space="preserve"> </w:t>
      </w:r>
      <w:r>
        <w:t xml:space="preserve">Given the frontier, what algorithm chooses materialization mode per view and key range, and what can be proved about it? Online-algorithm theory supplies both the shape of the question (rent-or-buy: 2-competitive deterministic, e/(e−1) randomized [Karlin et al.]) and the reason the classical answers do not transfer unmodified (upqueries have latency, so hits are not homogeneous in cost — the</w:t>
      </w:r>
      <w:r>
        <w:t xml:space="preserve"> </w:t>
      </w:r>
      <w:r>
        <w:rPr>
          <w:iCs/>
          <w:i/>
        </w:rPr>
        <w:t xml:space="preserve">delayed hits</w:t>
      </w:r>
      <w:r>
        <w:t xml:space="preserve"> </w:t>
      </w:r>
      <w:r>
        <w:t xml:space="preserve">problem, where even Belady’s offline-optimal policy is not latency-optimal [Atre et al., SIGCOMM ’20]).</w:t>
      </w:r>
    </w:p>
    <w:p>
      <w:pPr>
        <w:pStyle w:val="BodyText"/>
      </w:pPr>
      <w:r>
        <w:rPr>
          <w:bCs/>
          <w:b/>
        </w:rPr>
        <w:t xml:space="preserve">Q4 — Static checkability.</w:t>
      </w:r>
      <w:r>
        <w:t xml:space="preserve"> </w:t>
      </w:r>
      <w:r>
        <w:t xml:space="preserve">Which invariants — conservation, currency discipline, idempotency, bitemporal well-formedness, per-view consistency contracts, retention, confidentiality — can be moved into a type-and-effect system so that violations are compile-time errors rather than runtime incidents; and what exactly does the resulting soundness theorem guarantee?</w:t>
      </w:r>
    </w:p>
    <w:p>
      <w:pPr>
        <w:pStyle w:val="BodyText"/>
      </w:pPr>
      <w:r>
        <w:rPr>
          <w:bCs/>
          <w:b/>
        </w:rPr>
        <w:t xml:space="preserve">Q5 — Generality.</w:t>
      </w:r>
      <w:r>
        <w:t xml:space="preserve"> </w:t>
      </w:r>
      <w:r>
        <w:t xml:space="preserve">What does it mean, rigorously, to claim a new language is a replacement for SQL, and can that claim be proved rather than asserted?</w:t>
      </w:r>
    </w:p>
    <w:p>
      <w:pPr>
        <w:pStyle w:val="BodyText"/>
      </w:pPr>
      <w:r>
        <w:t xml:space="preserve">Q5 deserves an immediate answer, because the loose form of the claim is the first thing a reviewer will attack. SQL has no single formal semantics against which</w:t>
      </w:r>
      <w:r>
        <w:t xml:space="preserve"> </w:t>
      </w:r>
      <w:r>
        <w:t xml:space="preserve">“</w:t>
      </w:r>
      <w:r>
        <w:t xml:space="preserve">SQL-complete</w:t>
      </w:r>
      <w:r>
        <w:t xml:space="preserve">”</w:t>
      </w:r>
      <w:r>
        <w:t xml:space="preserve"> </w:t>
      </w:r>
      <w:r>
        <w:t xml:space="preserve">can be defined. This thesis therefore defines its generality claim as the conjunction of three precise statements, developed in Section 4.7 and Appendix H: (i)</w:t>
      </w:r>
      <w:r>
        <w:t xml:space="preserve"> </w:t>
      </w:r>
      <w:r>
        <w:rPr>
          <w:iCs/>
          <w:i/>
        </w:rPr>
        <w:t xml:space="preserve">relational completeness</w:t>
      </w:r>
      <w:r>
        <w:t xml:space="preserve"> </w:t>
      </w:r>
      <w:r>
        <w:t xml:space="preserve">in Codd’s sense, which is table stakes [Codd, RJ987, 1972]; (ii)</w:t>
      </w:r>
      <w:r>
        <w:t xml:space="preserve"> </w:t>
      </w:r>
      <w:r>
        <w:rPr>
          <w:iCs/>
          <w:i/>
        </w:rPr>
        <w:t xml:space="preserve">fixpoint completeness</w:t>
      </w:r>
      <w:r>
        <w:t xml:space="preserve"> </w:t>
      </w:r>
      <w:r>
        <w:t xml:space="preserve">— Niles expresses exactly the PTIME queries over the base, using the Immerman–Vardi theorem, whose ordering hypothesis the epoch-ordered ledger supplies for free [Immerman 1982/1986; Vardi 1982]; and (iii) a</w:t>
      </w:r>
      <w:r>
        <w:t xml:space="preserve"> </w:t>
      </w:r>
      <w:r>
        <w:rPr>
          <w:iCs/>
          <w:i/>
        </w:rPr>
        <w:t xml:space="preserve">translation theorem</w:t>
      </w:r>
      <w:r>
        <w:t xml:space="preserve">: a total, semantics-preserving compilation of a stated SQL fragment into the Niles IR, proved by structural induction and tested by golden-file equivalence. Where the thesis wants the strongest possible statement of</w:t>
      </w:r>
      <w:r>
        <w:t xml:space="preserve"> </w:t>
      </w:r>
      <w:r>
        <w:t xml:space="preserve">“</w:t>
      </w:r>
      <w:r>
        <w:t xml:space="preserve">general-purpose language, not a sublanguage,</w:t>
      </w:r>
      <w:r>
        <w:t xml:space="preserve">”</w:t>
      </w:r>
      <w:r>
        <w:t xml:space="preserve"> </w:t>
      </w:r>
      <w:r>
        <w:t xml:space="preserve">the reference point is Chandra–Harel computable queries [Chandra &amp; Harel, 1980].</w:t>
      </w:r>
      <w:r>
        <w:t xml:space="preserve"> </w:t>
      </w:r>
      <w:r>
        <w:t xml:space="preserve">“</w:t>
      </w:r>
      <w:r>
        <w:t xml:space="preserve">Replaces SQL</w:t>
      </w:r>
      <w:r>
        <w:t xml:space="preserve">”</w:t>
      </w:r>
      <w:r>
        <w:t xml:space="preserve"> </w:t>
      </w:r>
      <w:r>
        <w:t xml:space="preserve">is a positioning claim; these three are the provable ones.</w:t>
      </w:r>
    </w:p>
    <w:bookmarkEnd w:id="27"/>
    <w:bookmarkStart w:id="28" w:name="new-approach"/>
    <w:p>
      <w:pPr>
        <w:pStyle w:val="Heading2"/>
      </w:pPr>
      <w:r>
        <w:t xml:space="preserve">1.4 New Approach</w:t>
      </w:r>
    </w:p>
    <w:p>
      <w:pPr>
        <w:pStyle w:val="FirstParagraph"/>
      </w:pPr>
      <w:r>
        <w:t xml:space="preserve">The approach decomposes the system around one new abstraction and builds both a theory and an instrument for it.</w:t>
      </w:r>
    </w:p>
    <w:p>
      <w:pPr>
        <w:pStyle w:val="BodyText"/>
      </w:pPr>
      <w:r>
        <w:t xml:space="preserve">The</w:t>
      </w:r>
      <w:r>
        <w:t xml:space="preserve"> </w:t>
      </w:r>
      <w:r>
        <w:rPr>
          <w:bCs/>
          <w:b/>
        </w:rPr>
        <w:t xml:space="preserve">reconstructible epoch-anchored view (REV)</w:t>
      </w:r>
      <w:r>
        <w:t xml:space="preserve"> </w:t>
      </w:r>
      <w:r>
        <w:t xml:space="preserve">is a versioned, partially materialized derived state defined over an immutable, epoch-ordered base. The base commits in epochs; each epoch’s hash chains to its predecessor, and the epoch sequence defines the only timeline the system knows. A REV is the triple of (i) a query — a DBSP-compatible circuit over the base; (ii) a</w:t>
      </w:r>
      <w:r>
        <w:t xml:space="preserve"> </w:t>
      </w:r>
      <w:r>
        <w:rPr>
          <w:iCs/>
          <w:i/>
        </w:rPr>
        <w:t xml:space="preserve">partial</w:t>
      </w:r>
      <w:r>
        <w:t xml:space="preserve"> </w:t>
      </w:r>
      <w:r>
        <w:t xml:space="preserve">materialization in which each key sits at a point of an</w:t>
      </w:r>
      <w:r>
        <w:t xml:space="preserve"> </w:t>
      </w:r>
      <w:r>
        <w:rPr>
          <w:bCs/>
          <w:b/>
        </w:rPr>
        <w:t xml:space="preserve">absence lattice</w:t>
      </w:r>
      <w:r>
        <w:t xml:space="preserve"> </w:t>
      </w:r>
      <w:r>
        <w:t xml:space="preserve">(never-computed, hole, pending, present-with-anchor); and (iii) a</w:t>
      </w:r>
      <w:r>
        <w:t xml:space="preserve"> </w:t>
      </w:r>
      <w:r>
        <w:rPr>
          <w:iCs/>
          <w:i/>
        </w:rPr>
        <w:t xml:space="preserve">serve contract</w:t>
      </w:r>
      <w:r>
        <w:t xml:space="preserve"> </w:t>
      </w:r>
      <w:r>
        <w:t xml:space="preserve">declaring consistency, freshness, materialization mode, memory budget, retention and confidentiality. A read at level ℓ either finds a sufficiently fresh present entry or triggers an upquery that reconstructs the key from the base prefix at the</w:t>
      </w:r>
      <w:r>
        <w:t xml:space="preserve"> </w:t>
      </w:r>
      <w:r>
        <w:rPr>
          <w:iCs/>
          <w:i/>
        </w:rPr>
        <w:t xml:space="preserve">requested epoch</w:t>
      </w:r>
      <w:r>
        <w:t xml:space="preserve">. Because the base is immutable and totally ordered, reconstruction is a</w:t>
      </w:r>
      <w:r>
        <w:t xml:space="preserve"> </w:t>
      </w:r>
      <w:r>
        <w:rPr>
          <w:iCs/>
          <w:i/>
        </w:rPr>
        <w:t xml:space="preserve">pure function of a base prefix and an epoch</w:t>
      </w:r>
      <w:r>
        <w:t xml:space="preserve">, which is what makes equivalence with the never-evicted execution provable rather than hoped — and what makes Noria’s five anomalies inexpressible rather than defended against.</w:t>
      </w:r>
    </w:p>
    <w:p>
      <w:pPr>
        <w:pStyle w:val="BodyText"/>
      </w:pPr>
      <w:r>
        <w:t xml:space="preserve">The general case is deliberately domain-free: an authoritative base relation with committed, append-only writes, and derived views over it. The ledger is that general case instantiated — a base whose rows are postings, whose commit rule enforces per-currency zero-sum, whose keys carry idempotency, and whose types carry money and two time axes. Every theorem is stated over the general core and then instantiated for money; Chapter 9 tests the separation by building a non-financial conservation domain with no kernel changes.</w:t>
      </w:r>
    </w:p>
    <w:p>
      <w:pPr>
        <w:pStyle w:val="BodyText"/>
      </w:pPr>
      <w:r>
        <w:t xml:space="preserve">On this abstraction the thesis erects, in order: a versioned partial-state algebra and its reconstruction theorem (C1); the Eviction–Consistency Frontier Theorem bounding when partiality pays (C2); a complexity theory pricing each rung of the ladder in workload parameters (C3); a consistency-effect calculus whose soundness theorem transfers the algebra’s guarantees to programs (C4); an adaptive materialization optimizer with competitive guarantees, choosing per view and key range among absent, demand, full, spilled and tiered state (C5); and a generality result giving the expressiveness claim a provable form (C6).</w:t>
      </w:r>
    </w:p>
    <w:p>
      <w:pPr>
        <w:pStyle w:val="BodyText"/>
      </w:pPr>
      <w:r>
        <w:t xml:space="preserve">Four foundational hypotheses justify the shape of the design before any code: streaming data is unbounded (F1); a table is the integral of its changelog and a changelog the derivative of a table, a duality this thesis proves within DBSP’s operator algebra (F2); languages and DBMSs should align with these facts rather than simulate finiteness on top of them (F3); and the aligned shape is an immutable, fully retained base plus dynamic derived state, proved sound by a reconstruction-equivalence theorem (F4).</w:t>
      </w:r>
    </w:p>
    <w:bookmarkEnd w:id="28"/>
    <w:bookmarkStart w:id="31" w:name="objectives"/>
    <w:p>
      <w:pPr>
        <w:pStyle w:val="Heading2"/>
      </w:pPr>
      <w:r>
        <w:t xml:space="preserve">1.5 Objectives</w:t>
      </w:r>
    </w:p>
    <w:bookmarkStart w:id="29" w:name="general-objective"/>
    <w:p>
      <w:pPr>
        <w:pStyle w:val="Heading3"/>
      </w:pPr>
      <w:r>
        <w:t xml:space="preserve">1.5.1 General Objective</w:t>
      </w:r>
    </w:p>
    <w:p>
      <w:pPr>
        <w:pStyle w:val="FirstParagraph"/>
      </w:pPr>
      <w:r>
        <w:t xml:space="preserve">To construct and validate a formal theory of versioned, partially materialized derived state over an immutable, epoch-ordered base — the reconstructible epoch-anchored view — characterizing when demand-driven materialization is correct, what it costs at each consistency level, where it provably stops paying, and how a runtime should choose; and to embody the theory in a general-purpose language (Niles) and streaming DBMS (Nilestream) precise enough to test every claim on a purpose-built core-banking benchmark and a conservation-of-money suite.</w:t>
      </w:r>
    </w:p>
    <w:bookmarkEnd w:id="29"/>
    <w:bookmarkStart w:id="30" w:name="specific-objectives"/>
    <w:p>
      <w:pPr>
        <w:pStyle w:val="Heading3"/>
      </w:pPr>
      <w:r>
        <w:t xml:space="preserve">1.5.2 Specific Objectives</w:t>
      </w:r>
    </w:p>
    <w:p>
      <w:pPr>
        <w:numPr>
          <w:ilvl w:val="0"/>
          <w:numId w:val="1002"/>
        </w:numPr>
        <w:pStyle w:val="Compact"/>
      </w:pPr>
      <w:r>
        <w:t xml:space="preserve">Formalize the general core — authoritative base relations, committed writes, epochs, visibility frontiers — and the REV over it, with a versioned partial-state algebra compatible with DBSP’s Z-set semantics.</w:t>
      </w:r>
    </w:p>
    <w:p>
      <w:pPr>
        <w:numPr>
          <w:ilvl w:val="0"/>
          <w:numId w:val="1002"/>
        </w:numPr>
        <w:pStyle w:val="Compact"/>
      </w:pPr>
      <w:r>
        <w:t xml:space="preserve">Formalize the meaning of a key’s absence (the absence lattice) and of the double-entry invariant, and give an</w:t>
      </w:r>
      <w:r>
        <w:t xml:space="preserve"> </w:t>
      </w:r>
      <w:r>
        <w:rPr>
          <w:iCs/>
          <w:i/>
        </w:rPr>
        <w:t xml:space="preserve">executable reference semantics</w:t>
      </w:r>
      <w:r>
        <w:t xml:space="preserve"> </w:t>
      </w:r>
      <w:r>
        <w:t xml:space="preserve">that serves as the correctness oracle.</w:t>
      </w:r>
    </w:p>
    <w:p>
      <w:pPr>
        <w:numPr>
          <w:ilvl w:val="0"/>
          <w:numId w:val="1002"/>
        </w:numPr>
        <w:pStyle w:val="Compact"/>
      </w:pPr>
      <w:r>
        <w:t xml:space="preserve">State and prove the epoch-anchored reconstruction theorem and its conservation corollary: eviction followed by reconstruction can neither create nor destroy money.</w:t>
      </w:r>
    </w:p>
    <w:p>
      <w:pPr>
        <w:numPr>
          <w:ilvl w:val="0"/>
          <w:numId w:val="1002"/>
        </w:numPr>
        <w:pStyle w:val="Compact"/>
      </w:pPr>
      <w:r>
        <w:t xml:space="preserve">Define the epoch-based consistency ladder as formal predicates over base prefixes and view versions, in the predicate-decomposition style of the consistency-model literature, and design the consistency-and-invariant protocol that implements it.</w:t>
      </w:r>
    </w:p>
    <w:p>
      <w:pPr>
        <w:numPr>
          <w:ilvl w:val="0"/>
          <w:numId w:val="1002"/>
        </w:numPr>
        <w:pStyle w:val="Compact"/>
      </w:pPr>
      <w:r>
        <w:t xml:space="preserve">State and prove the Eviction–Consistency Frontier Theorem, locating where consistent reads under eviction cease to be cheaper than full materialization.</w:t>
      </w:r>
    </w:p>
    <w:p>
      <w:pPr>
        <w:numPr>
          <w:ilvl w:val="0"/>
          <w:numId w:val="1002"/>
        </w:numPr>
        <w:pStyle w:val="Compact"/>
      </w:pPr>
      <w:r>
        <w:t xml:space="preserve">Develop the complexity theory of consistency under partial materialization: per-rung cost bounds parameterized by workload shape, with matching lower bounds in a stated model, proving the price is workload-shaped rather than history-shaped.</w:t>
      </w:r>
    </w:p>
    <w:p>
      <w:pPr>
        <w:numPr>
          <w:ilvl w:val="0"/>
          <w:numId w:val="1002"/>
        </w:numPr>
        <w:pStyle w:val="Compact"/>
      </w:pPr>
      <w:r>
        <w:t xml:space="preserve">Design the consistency-effect calculus and prove Niles soundness: well-typed programs conserve value per currency, cannot mismatch currencies, and cannot overdraw without an authorization capability.</w:t>
      </w:r>
    </w:p>
    <w:p>
      <w:pPr>
        <w:numPr>
          <w:ilvl w:val="0"/>
          <w:numId w:val="1002"/>
        </w:numPr>
        <w:pStyle w:val="Compact"/>
      </w:pPr>
      <w:r>
        <w:t xml:space="preserve">Build the adaptive materialization optimizer over the mode lattice {absent, demand, full, spilled, tiered}, with competitive analysis against the online-algorithms literature and an explicit account of why classical results need modification under upquery latency.</w:t>
      </w:r>
    </w:p>
    <w:p>
      <w:pPr>
        <w:numPr>
          <w:ilvl w:val="0"/>
          <w:numId w:val="1002"/>
        </w:numPr>
        <w:pStyle w:val="Compact"/>
      </w:pPr>
      <w:r>
        <w:t xml:space="preserve">Design and implement Niles: a general-purpose, SQL-first, Rust-fallback language with novel constructs for base/ledger declaration, money, bitemporality and value dates, idempotency keys, materialization boundaries, per-view consistency, immutability, retention and confidentiality; with the banking layer as a library.</w:t>
      </w:r>
    </w:p>
    <w:p>
      <w:pPr>
        <w:numPr>
          <w:ilvl w:val="0"/>
          <w:numId w:val="1002"/>
        </w:numPr>
        <w:pStyle w:val="Compact"/>
      </w:pPr>
      <w:r>
        <w:t xml:space="preserve">Establish the generality result: relational completeness, fixpoint completeness over the epoch-ordered base, and a proved SQL-fragment translation; and demonstrate coverage of OLTP, OLAP/HTAP, time-series, document, graph and search access patterns on the general relational core.</w:t>
      </w:r>
    </w:p>
    <w:p>
      <w:pPr>
        <w:numPr>
          <w:ilvl w:val="0"/>
          <w:numId w:val="1002"/>
        </w:numPr>
        <w:pStyle w:val="Compact"/>
      </w:pPr>
      <w:r>
        <w:t xml:space="preserve">Implement Nilestream: ledger write path; partial-state read-model runtime over a typed IR that is the stable contract between language and engine; full-traceable lineage; MySQL/PostgreSQL wire compatibility for incremental adoption.</w:t>
      </w:r>
    </w:p>
    <w:p>
      <w:pPr>
        <w:numPr>
          <w:ilvl w:val="0"/>
          <w:numId w:val="1002"/>
        </w:numPr>
        <w:pStyle w:val="Compact"/>
      </w:pPr>
      <w:r>
        <w:t xml:space="preserve">Build the core-banking benchmark and the runnable conservation-of-money reference model; specify the experiments that would validate or refute every hypothesis, and draw the phase diagram of demand materialization from measurement.</w:t>
      </w:r>
    </w:p>
    <w:p>
      <w:pPr>
        <w:numPr>
          <w:ilvl w:val="0"/>
          <w:numId w:val="1002"/>
        </w:numPr>
        <w:pStyle w:val="Compact"/>
      </w:pPr>
      <w:r>
        <w:t xml:space="preserve">Delimit the approach honestly: threats to validity, the workloads where it loses, and the assumptions on which each proof depends.</w:t>
      </w:r>
    </w:p>
    <w:bookmarkEnd w:id="30"/>
    <w:bookmarkEnd w:id="31"/>
    <w:bookmarkStart w:id="34" w:name="hypotheses"/>
    <w:p>
      <w:pPr>
        <w:pStyle w:val="Heading2"/>
      </w:pPr>
      <w:r>
        <w:t xml:space="preserve">1.6 Hypotheses</w:t>
      </w:r>
    </w:p>
    <w:p>
      <w:pPr>
        <w:pStyle w:val="FirstParagraph"/>
      </w:pPr>
      <w:r>
        <w:t xml:space="preserve">Every hypothesis is stated with its independent variable (IV), dependent variable (DV), control variables (CV), and its method — experimental, argumentative or formal. Foundational hypotheses ground the design; system hypotheses are the falsifiable claims about the instrument.</w:t>
      </w:r>
      <w:r>
        <w:t xml:space="preserve"> </w:t>
      </w:r>
      <w:r>
        <w:rPr>
          <w:bCs/>
          <w:b/>
        </w:rPr>
        <w:t xml:space="preserve">No measurements have been taken yet</w:t>
      </w:r>
      <w:r>
        <w:t xml:space="preserve">: Section 1.9 states the status of every claim, and Chapter 9 gives the protocols and pre-registered predictions rather than results.</w:t>
      </w:r>
    </w:p>
    <w:bookmarkStart w:id="32" w:name="foundational-hypotheses"/>
    <w:p>
      <w:pPr>
        <w:pStyle w:val="Heading3"/>
      </w:pPr>
      <w:r>
        <w:t xml:space="preserve">1.6.1 Foundational Hypotheses</w:t>
      </w:r>
    </w:p>
    <w:p>
      <w:pPr>
        <w:pStyle w:val="FirstParagraph"/>
      </w:pPr>
      <w:r>
        <w:rPr>
          <w:bCs/>
          <w:b/>
        </w:rPr>
        <w:t xml:space="preserve">F1 — Streaming data is unbounded, and finite-assuming designs pay for it.</w:t>
      </w:r>
      <w:r>
        <w:t xml:space="preserve"> </w:t>
      </w:r>
      <w:r>
        <w:t xml:space="preserve">The inputs of record-keeping systems are unbounded, append-only, time-ordered event sequences; any bound is an artifact of an observation window. A design whose correctness or cost model assumes a finite relation incurs a penalty that grows with the accumulated input.</w:t>
      </w:r>
    </w:p>
    <w:p>
      <w:pPr>
        <w:pStyle w:val="BodyText"/>
      </w:pPr>
      <w:r>
        <w:rPr>
          <w:iCs/>
          <w:i/>
        </w:rPr>
        <w:t xml:space="preserve">IV:</w:t>
      </w:r>
      <w:r>
        <w:t xml:space="preserve"> </w:t>
      </w:r>
      <w:r>
        <w:t xml:space="preserve">the design paradigm (finite-relation-first vs. stream-first), held constant within each run; and the accumulated input volume / arrival duration of a live-generating source.</w:t>
      </w:r>
      <w:r>
        <w:t xml:space="preserve"> </w:t>
      </w:r>
      <w:r>
        <w:rPr>
          <w:iCs/>
          <w:i/>
        </w:rPr>
        <w:t xml:space="preserve">DV:</w:t>
      </w:r>
      <w:r>
        <w:t xml:space="preserve"> </w:t>
      </w:r>
      <w:r>
        <w:t xml:space="preserve">per-answer compute cost and resident memory as a function of accumulated input.</w:t>
      </w:r>
      <w:r>
        <w:t xml:space="preserve"> </w:t>
      </w:r>
      <w:r>
        <w:rPr>
          <w:iCs/>
          <w:i/>
        </w:rPr>
        <w:t xml:space="preserve">CV:</w:t>
      </w:r>
      <w:r>
        <w:t xml:space="preserve"> </w:t>
      </w:r>
      <w:r>
        <w:t xml:space="preserve">the query set, the hardware, and the account-access skew, all held fixed.</w:t>
      </w:r>
      <w:r>
        <w:t xml:space="preserve"> </w:t>
      </w:r>
      <w:r>
        <w:rPr>
          <w:iCs/>
          <w:i/>
        </w:rPr>
        <w:t xml:space="preserve">Method:</w:t>
      </w:r>
      <w:r>
        <w:t xml:space="preserve"> </w:t>
      </w:r>
      <w:r>
        <w:t xml:space="preserve">argumentative, with a long-horizon experiment. The argument is a mismatch catalog (Section 3.16): each way a finite-first design must simulate unbounded reality — CDC to re-derive a changelog the engine just destroyed by in-place update; triggers to approximate what retention gives exactly; application-level version fencing where anchors are absent. The experiment runs both paradigms against a live-generating source and regresses per-answer cost and resident memory on accumulated input, predicting a non-zero slope for the finite-first stack and a slope statistically indistinguishable from zero for the stream-first one.</w:t>
      </w:r>
      <w:r>
        <w:t xml:space="preserve"> </w:t>
      </w:r>
      <w:r>
        <w:rPr>
          <w:iCs/>
          <w:i/>
        </w:rPr>
        <w:t xml:space="preserve">Falsifier:</w:t>
      </w:r>
      <w:r>
        <w:t xml:space="preserve"> </w:t>
      </w:r>
      <w:r>
        <w:t xml:space="preserve">a natural record-keeping workload whose event count is intrinsically bounded independent of window; or a finite-first design exhibiting a zero slope on the same measurement.</w:t>
      </w:r>
    </w:p>
    <w:p>
      <w:pPr>
        <w:pStyle w:val="BodyText"/>
      </w:pPr>
      <w:r>
        <w:rPr>
          <w:bCs/>
          <w:b/>
        </w:rPr>
        <w:t xml:space="preserve">F2 — Stream–relation duality: a relation is the integral of its changelog, and a changelog the derivative of a relation.</w:t>
      </w:r>
      <w:r>
        <w:t xml:space="preserve"> </w:t>
      </w:r>
      <w:r>
        <w:t xml:space="preserve">The primitive input is an unbounded, append-only, time-ordered stream of change events; a relation is a derived, point-in-time projection of that stream.</w:t>
      </w:r>
    </w:p>
    <w:p>
      <w:pPr>
        <w:pStyle w:val="BodyText"/>
      </w:pPr>
      <w:r>
        <w:rPr>
          <w:iCs/>
          <w:i/>
        </w:rPr>
        <w:t xml:space="preserve">IV:</w:t>
      </w:r>
      <w:r>
        <w:t xml:space="preserve"> </w:t>
      </w:r>
      <w:r>
        <w:t xml:space="preserve">the derivation path taken to obtain a state — direct materialization of the relation, versus integration of its changelog; and the inverse direction, differentiation of a relation followed by replay.</w:t>
      </w:r>
      <w:r>
        <w:t xml:space="preserve"> </w:t>
      </w:r>
      <w:r>
        <w:rPr>
          <w:iCs/>
          <w:i/>
        </w:rPr>
        <w:t xml:space="preserve">DV:</w:t>
      </w:r>
      <w:r>
        <w:t xml:space="preserve"> </w:t>
      </w:r>
      <w:r>
        <w:t xml:space="preserve">value equivalence of the two paths, compared as canonical Z-sets at every epoch.</w:t>
      </w:r>
      <w:r>
        <w:t xml:space="preserve"> </w:t>
      </w:r>
      <w:r>
        <w:rPr>
          <w:iCs/>
          <w:i/>
        </w:rPr>
        <w:t xml:space="preserve">CV:</w:t>
      </w:r>
      <w:r>
        <w:t xml:space="preserve"> </w:t>
      </w:r>
      <w:r>
        <w:t xml:space="preserve">the underlying relation corpus, the epoch sequence, and the operator semantics, held identical across paths.</w:t>
      </w:r>
      <w:r>
        <w:t xml:space="preserve"> </w:t>
      </w:r>
      <w:r>
        <w:rPr>
          <w:iCs/>
          <w:i/>
        </w:rPr>
        <w:t xml:space="preserve">Method:</w:t>
      </w:r>
      <w:r>
        <w:t xml:space="preserve"> </w:t>
      </w:r>
      <w:r>
        <w:t xml:space="preserve">formal, with an executable mirror. The proof is stated inside DBSP’s algebra, where integration and differentiation are literal inverses: DBSP’s Theorem 2.20 states that</w:t>
      </w:r>
      <w:r>
        <w:t xml:space="preserve"> </w:t>
      </w:r>
      <w:r>
        <w:t xml:space="preserve">“</w:t>
      </w:r>
      <w:r>
        <w:t xml:space="preserve">Integration and differentiation are inverses of each other: ∀s. I(D(s)) = D(I(s)) = s</w:t>
      </w:r>
      <w:r>
        <w:t xml:space="preserve">”</w:t>
      </w:r>
      <w:r>
        <w:t xml:space="preserve"> </w:t>
      </w:r>
      <w:r>
        <w:t xml:space="preserve">[Budiu et al., PVLDB ’23], with I(s)[t] = Σ_{i≤t} s[i] and D(s)[t] = s[t] − s[t−1]. The thesis’s contribution here is not the operator identity but its use: Section 3.16 proves the</w:t>
      </w:r>
      <w:r>
        <w:t xml:space="preserve"> </w:t>
      </w:r>
      <w:r>
        <w:rPr>
          <w:iCs/>
          <w:i/>
        </w:rPr>
        <w:t xml:space="preserve">asymmetry</w:t>
      </w:r>
      <w:r>
        <w:t xml:space="preserve"> </w:t>
      </w:r>
      <w:r>
        <w:t xml:space="preserve">— that integration to a final state is non-injective on histories while a retained changelog determines every intermediate state, the order and the audit trail — which is what makes the stream, not the relation, the correct primitive. CQL supplies the older architectural statement of the same correspondence, defining relations as time-varying mappings and giving stream-to-relation, relation-to-relation and relation-to-stream operator classes [Arasu et al., VLDB J. 2006]; note that CQL states a</w:t>
      </w:r>
      <w:r>
        <w:t xml:space="preserve"> </w:t>
      </w:r>
      <w:r>
        <w:rPr>
          <w:iCs/>
          <w:i/>
        </w:rPr>
        <w:t xml:space="preserve">reduction</w:t>
      </w:r>
      <w:r>
        <w:t xml:space="preserve">, not a duality theorem, so the theorem is attributed to the DBSP algebra and the systems-level duality to Sax et al.’s treatment of streams and tables as</w:t>
      </w:r>
      <w:r>
        <w:t xml:space="preserve"> </w:t>
      </w:r>
      <w:r>
        <w:t xml:space="preserve">“</w:t>
      </w:r>
      <w:r>
        <w:t xml:space="preserve">two sides of the same coin</w:t>
      </w:r>
      <w:r>
        <w:t xml:space="preserve">”</w:t>
      </w:r>
      <w:r>
        <w:t xml:space="preserve"> </w:t>
      </w:r>
      <w:r>
        <w:t xml:space="preserve">[Sax et al., BIRTE ’18]. The executable mirror is a property test asserting Z-set equality at every epoch across both derivation paths.</w:t>
      </w:r>
      <w:r>
        <w:t xml:space="preserve"> </w:t>
      </w:r>
      <w:r>
        <w:rPr>
          <w:iCs/>
          <w:i/>
        </w:rPr>
        <w:t xml:space="preserve">Falsifier:</w:t>
      </w:r>
      <w:r>
        <w:t xml:space="preserve"> </w:t>
      </w:r>
      <w:r>
        <w:t xml:space="preserve">an epoch at which the two paths disagree as canonical Z-sets, for a query in the covered class.</w:t>
      </w:r>
    </w:p>
    <w:p>
      <w:pPr>
        <w:pStyle w:val="BodyText"/>
      </w:pPr>
      <w:r>
        <w:rPr>
          <w:bCs/>
          <w:b/>
        </w:rPr>
        <w:t xml:space="preserve">F3 — Alignment: a database language and DBMS should be built for F1 and F2.</w:t>
      </w:r>
      <w:r>
        <w:t xml:space="preserve"> </w:t>
      </w:r>
      <w:r>
        <w:t xml:space="preserve">A stream-first system can still be SQL-complete in the precise senses of Section 4.7, whereas a finite-first system cannot avoid bolting the stream back on.</w:t>
      </w:r>
    </w:p>
    <w:p>
      <w:pPr>
        <w:pStyle w:val="BodyText"/>
      </w:pPr>
      <w:r>
        <w:rPr>
          <w:iCs/>
          <w:i/>
        </w:rPr>
        <w:t xml:space="preserve">IV:</w:t>
      </w:r>
      <w:r>
        <w:t xml:space="preserve"> </w:t>
      </w:r>
      <w:r>
        <w:t xml:space="preserve">architectural alignment (stream-first single engine vs. finite-first stack plus CDC, bus, cache and warehouse).</w:t>
      </w:r>
      <w:r>
        <w:t xml:space="preserve"> </w:t>
      </w:r>
      <w:r>
        <w:rPr>
          <w:iCs/>
          <w:i/>
        </w:rPr>
        <w:t xml:space="preserve">DV:</w:t>
      </w:r>
      <w:r>
        <w:t xml:space="preserve"> </w:t>
      </w:r>
      <w:r>
        <w:t xml:space="preserve">the operational surface — number of independently failing components, lines of hand-written consistency code, and the count of anomaly classes admitted from a fixed taxonomy — alongside latency and throughput.</w:t>
      </w:r>
      <w:r>
        <w:t xml:space="preserve"> </w:t>
      </w:r>
      <w:r>
        <w:rPr>
          <w:iCs/>
          <w:i/>
        </w:rPr>
        <w:t xml:space="preserve">CV:</w:t>
      </w:r>
      <w:r>
        <w:t xml:space="preserve"> </w:t>
      </w:r>
      <w:r>
        <w:t xml:space="preserve">the workload set, the functional requirements to be met, and SQL-completeness held constant across both stacks.</w:t>
      </w:r>
      <w:r>
        <w:t xml:space="preserve"> </w:t>
      </w:r>
      <w:r>
        <w:rPr>
          <w:iCs/>
          <w:i/>
        </w:rPr>
        <w:t xml:space="preserve">Method:</w:t>
      </w:r>
      <w:r>
        <w:t xml:space="preserve"> </w:t>
      </w:r>
      <w:r>
        <w:t xml:space="preserve">argumentative with a comparative audit whose counting rules are fixed before measurement (Section 9.7). The generality half is discharged by proof (Section 4.7): the stream-first design retains full relational expressive power, so alignment costs nothing in what can be asked.</w:t>
      </w:r>
      <w:r>
        <w:t xml:space="preserve"> </w:t>
      </w:r>
      <w:r>
        <w:rPr>
          <w:iCs/>
          <w:i/>
        </w:rPr>
        <w:t xml:space="preserve">Falsifier:</w:t>
      </w:r>
      <w:r>
        <w:t xml:space="preserve"> </w:t>
      </w:r>
      <w:r>
        <w:t xml:space="preserve">a finite-first design meeting the same requirement catalog with no additional mechanism; or a demonstration that the stream-first surface forfeits expressive power.</w:t>
      </w:r>
    </w:p>
    <w:p>
      <w:pPr>
        <w:pStyle w:val="BodyText"/>
      </w:pPr>
      <w:r>
        <w:rPr>
          <w:bCs/>
          <w:b/>
        </w:rPr>
        <w:t xml:space="preserve">F4 — The aligned shape is an immutable, fully retained base plus dynamic derived state.</w:t>
      </w:r>
      <w:r>
        <w:t xml:space="preserve"> </w:t>
      </w:r>
      <w:r>
        <w:t xml:space="preserve">Given F1–F3, the design that preserves all information and still serves reads economically is a never-partial retained base plus partially materialized derived views.</w:t>
      </w:r>
    </w:p>
    <w:p>
      <w:pPr>
        <w:pStyle w:val="BodyText"/>
      </w:pPr>
      <w:r>
        <w:rPr>
          <w:iCs/>
          <w:i/>
        </w:rPr>
        <w:t xml:space="preserve">IV:</w:t>
      </w:r>
      <w:r>
        <w:t xml:space="preserve"> </w:t>
      </w:r>
      <w:r>
        <w:t xml:space="preserve">the retention status of derived state (wiped vs. un-wiped) and of the base (fully retained vs. truncated).</w:t>
      </w:r>
      <w:r>
        <w:t xml:space="preserve"> </w:t>
      </w:r>
      <w:r>
        <w:rPr>
          <w:iCs/>
          <w:i/>
        </w:rPr>
        <w:t xml:space="preserve">DV:</w:t>
      </w:r>
      <w:r>
        <w:t xml:space="preserve"> </w:t>
      </w:r>
      <w:r>
        <w:t xml:space="preserve">value-for-value equivalence of reconstructed versus pre-wiped derived state; conservation of money across the wipe; and reconstruction cost.</w:t>
      </w:r>
      <w:r>
        <w:t xml:space="preserve"> </w:t>
      </w:r>
      <w:r>
        <w:rPr>
          <w:iCs/>
          <w:i/>
        </w:rPr>
        <w:t xml:space="preserve">CV:</w:t>
      </w:r>
      <w:r>
        <w:t xml:space="preserve"> </w:t>
      </w:r>
      <w:r>
        <w:t xml:space="preserve">the retained base, the view definitions, and the target epoch, held fixed across the wiped and un-wiped conditions.</w:t>
      </w:r>
      <w:r>
        <w:t xml:space="preserve"> </w:t>
      </w:r>
      <w:r>
        <w:rPr>
          <w:iCs/>
          <w:i/>
        </w:rPr>
        <w:t xml:space="preserve">Method:</w:t>
      </w:r>
      <w:r>
        <w:t xml:space="preserve"> </w:t>
      </w:r>
      <w:r>
        <w:t xml:space="preserve">formal plus experimental. The reconstruction-equivalence theorem (Theorem 4.1) proves the equivalence with a fully retained base, and Section 3.16 shows each premise fails under base truncation, making full retention necessary rather than merely sufficient. The experiment wipes derived state at a chosen epoch, reconstructs, and compares value-for-value against the un-wiped condition while measuring reconstruction cost. The architectural precedents — event sourcing and CQRS, the Lambda/Kappa debate, Datomic’s immutable model, and Lucene’s write-once segments — are engaged in Chapter 10 as evidence that the shape is practical, not as evidence that it is correct; correctness is the theorem’s job.</w:t>
      </w:r>
      <w:r>
        <w:t xml:space="preserve"> </w:t>
      </w:r>
      <w:r>
        <w:rPr>
          <w:iCs/>
          <w:i/>
        </w:rPr>
        <w:t xml:space="preserve">Falsifier:</w:t>
      </w:r>
      <w:r>
        <w:t xml:space="preserve"> </w:t>
      </w:r>
      <w:r>
        <w:t xml:space="preserve">any (view, epoch, schedule) triple where reconstructed and pre-wiped states differ, or where conservation fails across the wipe.</w:t>
      </w:r>
    </w:p>
    <w:bookmarkEnd w:id="32"/>
    <w:bookmarkStart w:id="33" w:name="system-hypotheses"/>
    <w:p>
      <w:pPr>
        <w:pStyle w:val="Heading3"/>
      </w:pPr>
      <w:r>
        <w:t xml:space="preserve">1.6.2 System Hypotheses</w:t>
      </w:r>
    </w:p>
    <w:p>
      <w:pPr>
        <w:pStyle w:val="FirstParagraph"/>
      </w:pPr>
      <w:r>
        <w:rPr>
          <w:bCs/>
          <w:b/>
        </w:rPr>
        <w:t xml:space="preserve">S1 — Partiality pays when memory is dear, at an interior budget.</w:t>
      </w:r>
      <w:r>
        <w:t xml:space="preserve"> </w:t>
      </w:r>
      <w:r>
        <w:rPr>
          <w:iCs/>
          <w:i/>
        </w:rPr>
        <w:t xml:space="preserve">(Restated after measurement; the previous formulation —</w:t>
      </w:r>
      <w:r>
        <w:rPr>
          <w:iCs/>
          <w:i/>
        </w:rPr>
        <w:t xml:space="preserve"> </w:t>
      </w:r>
      <w:r>
        <w:rPr>
          <w:iCs/>
          <w:i/>
        </w:rPr>
        <w:t xml:space="preserve">“</w:t>
      </w:r>
      <w:r>
        <w:rPr>
          <w:iCs/>
          <w:i/>
        </w:rPr>
        <w:t xml:space="preserve">partiality pays on skew, and the advantage grows with skew</w:t>
      </w:r>
      <w:r>
        <w:rPr>
          <w:iCs/>
          <w:i/>
        </w:rPr>
        <w:t xml:space="preserve">”</w:t>
      </w:r>
      <w:r>
        <w:rPr>
          <w:iCs/>
          <w:i/>
        </w:rPr>
        <w:t xml:space="preserve"> </w:t>
      </w:r>
      <w:r>
        <w:rPr>
          <w:iCs/>
          <w:i/>
        </w:rPr>
        <w:t xml:space="preserve">— is retained and refuted in Appendix J.9.)</w:t>
      </w:r>
      <w:r>
        <w:t xml:space="preserve"> </w:t>
      </w:r>
      <w:r>
        <w:t xml:space="preserve">Partially stateful read models hold materially less resident state than full materialization and apply materially fewer maintenance deltas, at the price of reconstruction work. Whether the trade is favourable is governed by the price of memory relative to reconstruction, and the cost-minimizing memory budget is strictly interior — neither the smallest nor the largest.</w:t>
      </w:r>
      <w:r>
        <w:t xml:space="preserve"> </w:t>
      </w:r>
      <w:r>
        <w:rPr>
          <w:iCs/>
          <w:i/>
        </w:rPr>
        <w:t xml:space="preserve">IV:</w:t>
      </w:r>
      <w:r>
        <w:t xml:space="preserve"> </w:t>
      </w:r>
      <w:r>
        <w:t xml:space="preserve">materialization policy (full, demand-LRU, demand-with-optimizer), memory budget as a fraction of the key space, and skew (</w:t>
      </w:r>
      <w:r>
        <w:rPr>
          <w:bCs/>
          <w:b/>
        </w:rPr>
        <w:t xml:space="preserve">Zipf rank exponent</w:t>
      </w:r>
      <w:r>
        <w:rPr>
          <w:bCs/>
          <w:b/>
        </w:rPr>
        <w:t xml:space="preserve"> </w:t>
      </w:r>
      <w:r>
        <w:rPr>
          <w:iCs/>
          <w:i/>
          <w:bCs/>
          <w:b/>
        </w:rPr>
        <w:t xml:space="preserve">s</w:t>
      </w:r>
      <w:r>
        <w:t xml:space="preserve">, higher = more skew).</w:t>
      </w:r>
      <w:r>
        <w:t xml:space="preserve"> </w:t>
      </w:r>
      <w:r>
        <w:rPr>
          <w:iCs/>
          <w:i/>
        </w:rPr>
        <w:t xml:space="preserve">DV:</w:t>
      </w:r>
      <w:r>
        <w:t xml:space="preserve"> </w:t>
      </w:r>
      <w:r>
        <w:t xml:space="preserve">resident-entry-epochs; deltas applied; base rows read; hit rate; read latency; upquery rate.</w:t>
      </w:r>
      <w:r>
        <w:t xml:space="preserve"> </w:t>
      </w:r>
      <w:r>
        <w:rPr>
          <w:iCs/>
          <w:i/>
        </w:rPr>
        <w:t xml:space="preserve">CV:</w:t>
      </w:r>
      <w:r>
        <w:t xml:space="preserve"> </w:t>
      </w:r>
      <w:r>
        <w:t xml:space="preserve">write rate, epoch period τ, key domain size, view definitions, hardware.</w:t>
      </w:r>
      <w:r>
        <w:t xml:space="preserve"> </w:t>
      </w:r>
      <w:r>
        <w:rPr>
          <w:iCs/>
          <w:i/>
        </w:rPr>
        <w:t xml:space="preserve">Method:</w:t>
      </w:r>
      <w:r>
        <w:t xml:space="preserve"> </w:t>
      </w:r>
      <w:r>
        <w:t xml:space="preserve">experimental, sweeping</w:t>
      </w:r>
      <w:r>
        <w:t xml:space="preserve"> </w:t>
      </w:r>
      <w:r>
        <w:rPr>
          <w:iCs/>
          <w:i/>
        </w:rPr>
        <w:t xml:space="preserve">s</w:t>
      </w:r>
      <w:r>
        <w:t xml:space="preserve"> </w:t>
      </w:r>
      <w:r>
        <w:t xml:space="preserve">across the empirically attested range — including the flat end (</w:t>
      </w:r>
      <w:r>
        <w:rPr>
          <w:iCs/>
          <w:i/>
        </w:rPr>
        <w:t xml:space="preserve">s</w:t>
      </w:r>
      <w:r>
        <w:t xml:space="preserve"> </w:t>
      </w:r>
      <w:r>
        <w:t xml:space="preserve">≈ 0.55–0.7, reported for two of Meta’s production workloads) and not only the skewed end (</w:t>
      </w:r>
      <w:r>
        <w:rPr>
          <w:iCs/>
          <w:i/>
        </w:rPr>
        <w:t xml:space="preserve">s</w:t>
      </w:r>
      <w:r>
        <w:t xml:space="preserve"> </w:t>
      </w:r>
      <w:r>
        <w:t xml:space="preserve">≈ 1–2.5, reported for Twitter’s in-memory caches) — and sweeping the</w:t>
      </w:r>
      <w:r>
        <w:t xml:space="preserve"> </w:t>
      </w:r>
      <w:r>
        <w:rPr>
          <w:bCs/>
          <w:b/>
        </w:rPr>
        <w:t xml:space="preserve">memory price</w:t>
      </w:r>
      <w:r>
        <w:t xml:space="preserve"> </w:t>
      </w:r>
      <w:r>
        <w:t xml:space="preserve">rather than fixing it, since any single fixed weighting smuggles the conclusion into the premise.</w:t>
      </w:r>
      <w:r>
        <w:t xml:space="preserve"> </w:t>
      </w:r>
      <w:r>
        <w:rPr>
          <w:iCs/>
          <w:i/>
        </w:rPr>
        <w:t xml:space="preserve">Status:</w:t>
      </w:r>
      <w:r>
        <w:t xml:space="preserve"> </w:t>
      </w:r>
      <w:r>
        <w:rPr>
          <w:bCs/>
          <w:b/>
        </w:rPr>
        <w:t xml:space="preserve">measured (§9.3).</w:t>
      </w:r>
      <w:r>
        <w:t xml:space="preserve"> </w:t>
      </w:r>
      <w:r>
        <w:t xml:space="preserve">The directional half of the original claim is refuted: as skew rises, full materialization’s own footprint shrinks faster than partial’s, so the memory advantage moves</w:t>
      </w:r>
      <w:r>
        <w:t xml:space="preserve"> </w:t>
      </w:r>
      <w:r>
        <w:rPr>
          <w:iCs/>
          <w:i/>
        </w:rPr>
        <w:t xml:space="preserve">against</w:t>
      </w:r>
      <w:r>
        <w:t xml:space="preserve"> </w:t>
      </w:r>
      <w:r>
        <w:t xml:space="preserve">partiality (12:1 at</w:t>
      </w:r>
      <w:r>
        <w:t xml:space="preserve"> </w:t>
      </w:r>
      <w:r>
        <w:rPr>
          <w:iCs/>
          <w:i/>
        </w:rPr>
        <w:t xml:space="preserve">s</w:t>
      </w:r>
      <w:r>
        <w:t xml:space="preserve"> </w:t>
      </w:r>
      <w:r>
        <w:t xml:space="preserve">= 0.5 falling to 2.7:1 at</w:t>
      </w:r>
      <w:r>
        <w:t xml:space="preserve"> </w:t>
      </w:r>
      <w:r>
        <w:rPr>
          <w:iCs/>
          <w:i/>
        </w:rPr>
        <w:t xml:space="preserve">s</w:t>
      </w:r>
      <w:r>
        <w:t xml:space="preserve"> </w:t>
      </w:r>
      <w:r>
        <w:t xml:space="preserve">= 1.3) even as partiality’s reconstruction penalty falls. Skew sets the shape of the trade, not its direction.</w:t>
      </w:r>
      <w:r>
        <w:t xml:space="preserve"> </w:t>
      </w:r>
      <w:r>
        <w:rPr>
          <w:iCs/>
          <w:i/>
        </w:rPr>
        <w:t xml:space="preserve">A notation warning that is part of the hypothesis.</w:t>
      </w:r>
      <w:r>
        <w:t xml:space="preserve"> </w:t>
      </w:r>
      <w:r>
        <w:t xml:space="preserve">The symbol α denotes at least three different quantities in this literature — a power-law density exponent, the Pareto shape parameter, and loosely the Zipf exponent — and for the Pareto shape parameter, higher means a</w:t>
      </w:r>
      <w:r>
        <w:t xml:space="preserve"> </w:t>
      </w:r>
      <w:r>
        <w:rPr>
          <w:iCs/>
          <w:i/>
        </w:rPr>
        <w:t xml:space="preserve">thinner</w:t>
      </w:r>
      <w:r>
        <w:t xml:space="preserve"> </w:t>
      </w:r>
      <w:r>
        <w:t xml:space="preserve">tail and</w:t>
      </w:r>
      <w:r>
        <w:t xml:space="preserve"> </w:t>
      </w:r>
      <w:r>
        <w:rPr>
          <w:iCs/>
          <w:i/>
        </w:rPr>
        <w:t xml:space="preserve">less</w:t>
      </w:r>
      <w:r>
        <w:t xml:space="preserve"> </w:t>
      </w:r>
      <w:r>
        <w:t xml:space="preserve">skew. Since the headline empirical object of this thesis is a phase diagram parameterized by skew, the axis is stated as the Zipf rank exponent</w:t>
      </w:r>
      <w:r>
        <w:t xml:space="preserve"> </w:t>
      </w:r>
      <w:r>
        <w:rPr>
          <w:iCs/>
          <w:i/>
        </w:rPr>
        <w:t xml:space="preserve">s</w:t>
      </w:r>
      <w:r>
        <w:t xml:space="preserve">, with its direction given explicitly, throughout.</w:t>
      </w:r>
      <w:r>
        <w:t xml:space="preserve"> </w:t>
      </w:r>
      <w:r>
        <w:rPr>
          <w:bCs/>
          <w:b/>
        </w:rPr>
        <w:t xml:space="preserve">S2 — The frontier is real and sits where the theorem says.</w:t>
      </w:r>
      <w:r>
        <w:t xml:space="preserve"> </w:t>
      </w:r>
      <w:r>
        <w:t xml:space="preserve">As the demanded consistency level rises toward strict serializability, and/or skew flattens, and/or upquery latency grows relative to the request rate, the measured cost of partial materialization crosses that of full materialization within the band predicted by the Eviction–Consistency Frontier Theorem.</w:t>
      </w:r>
      <w:r>
        <w:t xml:space="preserve"> </w:t>
      </w:r>
      <w:r>
        <w:rPr>
          <w:iCs/>
          <w:i/>
        </w:rPr>
        <w:t xml:space="preserve">IV:</w:t>
      </w:r>
      <w:r>
        <w:t xml:space="preserve"> </w:t>
      </w:r>
      <w:r>
        <w:t xml:space="preserve">consistency level ℓ; skew α; memory budget; and the delayed-hit ratio Z (upquery service time divided by mean inter-arrival time), the parameter the caching-with-delayed-hits literature identifies as decisive.</w:t>
      </w:r>
      <w:r>
        <w:t xml:space="preserve"> </w:t>
      </w:r>
      <w:r>
        <w:rPr>
          <w:iCs/>
          <w:i/>
        </w:rPr>
        <w:t xml:space="preserve">DV:</w:t>
      </w:r>
      <w:r>
        <w:t xml:space="preserve"> </w:t>
      </w:r>
      <w:r>
        <w:t xml:space="preserve">total serving cost of partial vs. full materialization and the empirical crossover locus.</w:t>
      </w:r>
      <w:r>
        <w:t xml:space="preserve"> </w:t>
      </w:r>
      <w:r>
        <w:rPr>
          <w:iCs/>
          <w:i/>
        </w:rPr>
        <w:t xml:space="preserve">CV:</w:t>
      </w:r>
      <w:r>
        <w:t xml:space="preserve"> </w:t>
      </w:r>
      <w:r>
        <w:t xml:space="preserve">view family, write rate, epoch period.</w:t>
      </w:r>
      <w:r>
        <w:t xml:space="preserve"> </w:t>
      </w:r>
      <w:r>
        <w:rPr>
          <w:iCs/>
          <w:i/>
        </w:rPr>
        <w:t xml:space="preserve">Method:</w:t>
      </w:r>
      <w:r>
        <w:t xml:space="preserve"> </w:t>
      </w:r>
      <w:r>
        <w:t xml:space="preserve">experimental-confirmatory against a theorem that predicts a region, not a point; agreement within the stated band confirms, disagreement refutes and is reported.</w:t>
      </w:r>
    </w:p>
    <w:p>
      <w:pPr>
        <w:pStyle w:val="BodyText"/>
      </w:pPr>
      <w:r>
        <w:rPr>
          <w:bCs/>
          <w:b/>
        </w:rPr>
        <w:t xml:space="preserve">S3 — The price of consistency is workload-shaped, not history-shaped —</w:t>
      </w:r>
      <w:r>
        <w:rPr>
          <w:bCs/>
          <w:b/>
        </w:rPr>
        <w:t xml:space="preserve"> </w:t>
      </w:r>
      <w:r>
        <w:rPr>
          <w:iCs/>
          <w:i/>
          <w:bCs/>
          <w:b/>
        </w:rPr>
        <w:t xml:space="preserve">given a bounding mechanism</w:t>
      </w:r>
      <w:r>
        <w:rPr>
          <w:bCs/>
          <w:b/>
        </w:rPr>
        <w:t xml:space="preserve">.</w:t>
      </w:r>
      <w:r>
        <w:t xml:space="preserve"> </w:t>
      </w:r>
      <w:r>
        <w:rPr>
          <w:iCs/>
          <w:i/>
        </w:rPr>
        <w:t xml:space="preserve">(Restated after measurement; see Appendix J.10.)</w:t>
      </w:r>
      <w:r>
        <w:t xml:space="preserve"> </w:t>
      </w:r>
      <w:r>
        <w:t xml:space="preserve">Holding workload shape fixed, the marginal cost of each consistency rung is invariant to total base length,</w:t>
      </w:r>
      <w:r>
        <w:t xml:space="preserve"> </w:t>
      </w:r>
      <w:r>
        <w:rPr>
          <w:bCs/>
          <w:b/>
        </w:rPr>
        <w:t xml:space="preserve">provided reconstruction folds from a per-key checkpoint rather than from genesis.</w:t>
      </w:r>
      <w:r>
        <w:t xml:space="preserve"> </w:t>
      </w:r>
      <w:r>
        <w:t xml:space="preserve">Without that mechanism the claim is false: reconstruction cost grows with history even when the key space grows in proportion, because under skewed access a hot key retains a roughly constant share of a growing traffic total.</w:t>
      </w:r>
      <w:r>
        <w:t xml:space="preserve"> </w:t>
      </w:r>
      <w:r>
        <w:rPr>
          <w:iCs/>
          <w:i/>
        </w:rPr>
        <w:t xml:space="preserve">IV:</w:t>
      </w:r>
      <w:r>
        <w:t xml:space="preserve"> </w:t>
      </w:r>
      <w:r>
        <w:t xml:space="preserve">base length (event count); checkpoint interval</w:t>
      </w:r>
      <w:r>
        <w:t xml:space="preserve"> </w:t>
      </w:r>
      <w:r>
        <w:rPr>
          <w:iCs/>
          <w:i/>
        </w:rPr>
        <w:t xml:space="preserve">C</w:t>
      </w:r>
      <w:r>
        <w:t xml:space="preserve">; and, complementarily, view fan-out and hot-key churn with base length pinned.</w:t>
      </w:r>
      <w:r>
        <w:t xml:space="preserve"> </w:t>
      </w:r>
      <w:r>
        <w:rPr>
          <w:iCs/>
          <w:i/>
        </w:rPr>
        <w:t xml:space="preserve">DV:</w:t>
      </w:r>
      <w:r>
        <w:t xml:space="preserve"> </w:t>
      </w:r>
      <w:r>
        <w:t xml:space="preserve">base rows read per reconstruction; marginal cost per rung.</w:t>
      </w:r>
      <w:r>
        <w:t xml:space="preserve"> </w:t>
      </w:r>
      <w:r>
        <w:rPr>
          <w:iCs/>
          <w:i/>
        </w:rPr>
        <w:t xml:space="preserve">CV:</w:t>
      </w:r>
      <w:r>
        <w:t xml:space="preserve"> </w:t>
      </w:r>
      <w:r>
        <w:t xml:space="preserve">workload shape, memory budget, epoch period, hardware.</w:t>
      </w:r>
      <w:r>
        <w:t xml:space="preserve"> </w:t>
      </w:r>
      <w:r>
        <w:rPr>
          <w:iCs/>
          <w:i/>
        </w:rPr>
        <w:t xml:space="preserve">Method:</w:t>
      </w:r>
      <w:r>
        <w:t xml:space="preserve"> </w:t>
      </w:r>
      <w:r>
        <w:t xml:space="preserve">experimental, sweeping base length over two orders of magnitude with workload shape fixed, in three conditions — no checkpointing, key space grown in proportion, and checkpointing at several intervals.</w:t>
      </w:r>
      <w:r>
        <w:t xml:space="preserve"> </w:t>
      </w:r>
      <w:r>
        <w:rPr>
          <w:iCs/>
          <w:i/>
        </w:rPr>
        <w:t xml:space="preserve">Status:</w:t>
      </w:r>
      <w:r>
        <w:t xml:space="preserve"> </w:t>
      </w:r>
      <w:r>
        <w:rPr>
          <w:bCs/>
          <w:b/>
        </w:rPr>
        <w:t xml:space="preserve">measured (§9.4.1), and the mechanism it forced is promoted to a named contribution (SC7).</w:t>
      </w:r>
      <w:r>
        <w:t xml:space="preserve"> </w:t>
      </w:r>
      <w:r>
        <w:t xml:space="preserve">Without checkpoints, cost grew 64× as history grew 64×; per-key anchor indices reduced the constant by 80–112× and changed nothing asymptotically; at C = 16, cost was flat at ≈ 8.5 base rows across a 64× increase in history, against a predicted C/2 + 1 = 9. A separate measurement (§9.4.3) locates the rung tax precisely: it falls on</w:t>
      </w:r>
      <w:r>
        <w:t xml:space="preserve"> </w:t>
      </w:r>
      <w:r>
        <w:rPr>
          <w:iCs/>
          <w:i/>
        </w:rPr>
        <w:t xml:space="preserve">maintenance frequency</w:t>
      </w:r>
      <w:r>
        <w:t xml:space="preserve">, scaling as roughly 1/k in the staleness allowance, and is invisible on the read path.</w:t>
      </w:r>
      <w:r>
        <w:t xml:space="preserve"> </w:t>
      </w:r>
      <w:r>
        <w:rPr>
          <w:bCs/>
          <w:b/>
        </w:rPr>
        <w:t xml:space="preserve">S4 — Niles soundness holds in the implementation, not only in the calculus.</w:t>
      </w:r>
      <w:r>
        <w:t xml:space="preserve"> </w:t>
      </w:r>
      <w:r>
        <w:t xml:space="preserve">No execution of a well-typed Niles program on Nilestream — including under crash-recovery, eviction, reconstruction, concurrency and adversarial schedules — violates conservation, currency separation, or authorized-overdraft.</w:t>
      </w:r>
      <w:r>
        <w:t xml:space="preserve"> </w:t>
      </w:r>
      <w:r>
        <w:rPr>
          <w:iCs/>
          <w:i/>
        </w:rPr>
        <w:t xml:space="preserve">IV:</w:t>
      </w:r>
      <w:r>
        <w:t xml:space="preserve"> </w:t>
      </w:r>
      <w:r>
        <w:t xml:space="preserve">fault schedule and program corpus.</w:t>
      </w:r>
      <w:r>
        <w:t xml:space="preserve"> </w:t>
      </w:r>
      <w:r>
        <w:rPr>
          <w:iCs/>
          <w:i/>
        </w:rPr>
        <w:t xml:space="preserve">DV:</w:t>
      </w:r>
      <w:r>
        <w:t xml:space="preserve"> </w:t>
      </w:r>
      <w:r>
        <w:t xml:space="preserve">count of violations detected by the independent executable reference oracle.</w:t>
      </w:r>
      <w:r>
        <w:t xml:space="preserve"> </w:t>
      </w:r>
      <w:r>
        <w:rPr>
          <w:iCs/>
          <w:i/>
        </w:rPr>
        <w:t xml:space="preserve">CV:</w:t>
      </w:r>
      <w:r>
        <w:t xml:space="preserve"> </w:t>
      </w:r>
      <w:r>
        <w:t xml:space="preserve">seed-controlled workloads, engine configuration.</w:t>
      </w:r>
      <w:r>
        <w:t xml:space="preserve"> </w:t>
      </w:r>
      <w:r>
        <w:rPr>
          <w:iCs/>
          <w:i/>
        </w:rPr>
        <w:t xml:space="preserve">Method:</w:t>
      </w:r>
      <w:r>
        <w:t xml:space="preserve"> </w:t>
      </w:r>
      <w:r>
        <w:t xml:space="preserve">experimental falsification atop a formal proof; any violation is diagnosed as either an implementation defect or a model gap, and reported either way.</w:t>
      </w:r>
    </w:p>
    <w:p>
      <w:pPr>
        <w:pStyle w:val="BodyText"/>
      </w:pPr>
      <w:r>
        <w:rPr>
          <w:bCs/>
          <w:b/>
        </w:rPr>
        <w:t xml:space="preserve">S5 — Generality does not forfeit the floor.</w:t>
      </w:r>
      <w:r>
        <w:t xml:space="preserve"> </w:t>
      </w:r>
      <w:r>
        <w:t xml:space="preserve">The ledger write path sustains competitive strictly serializable posting throughput with hash chaining and synchronous durability, and the wire-compatibility surfaces serve unmodified MySQL/PostgreSQL clients for the benchmark’s query set.</w:t>
      </w:r>
      <w:r>
        <w:t xml:space="preserve"> </w:t>
      </w:r>
      <w:r>
        <w:rPr>
          <w:iCs/>
          <w:i/>
        </w:rPr>
        <w:t xml:space="preserve">IV:</w:t>
      </w:r>
      <w:r>
        <w:t xml:space="preserve"> </w:t>
      </w:r>
      <w:r>
        <w:t xml:space="preserve">client surface and durability mode.</w:t>
      </w:r>
      <w:r>
        <w:t xml:space="preserve"> </w:t>
      </w:r>
      <w:r>
        <w:rPr>
          <w:iCs/>
          <w:i/>
        </w:rPr>
        <w:t xml:space="preserve">DV:</w:t>
      </w:r>
      <w:r>
        <w:t xml:space="preserve"> </w:t>
      </w:r>
      <w:r>
        <w:t xml:space="preserve">sustained posting throughput; commit latency; compatibility pass rate.</w:t>
      </w:r>
      <w:r>
        <w:t xml:space="preserve"> </w:t>
      </w:r>
      <w:r>
        <w:rPr>
          <w:iCs/>
          <w:i/>
        </w:rPr>
        <w:t xml:space="preserve">CV:</w:t>
      </w:r>
      <w:r>
        <w:t xml:space="preserve"> </w:t>
      </w:r>
      <w:r>
        <w:t xml:space="preserve">hardware, batch size, epoch period.</w:t>
      </w:r>
      <w:r>
        <w:t xml:space="preserve"> </w:t>
      </w:r>
      <w:r>
        <w:rPr>
          <w:iCs/>
          <w:i/>
        </w:rPr>
        <w:t xml:space="preserve">Method:</w:t>
      </w:r>
      <w:r>
        <w:t xml:space="preserve"> </w:t>
      </w:r>
      <w:r>
        <w:t xml:space="preserve">experimental, against published baselines and the Phase-0 floor. Vendor performance figures — including TigerBeetle’s marketing claims — are explicitly</w:t>
      </w:r>
      <w:r>
        <w:t xml:space="preserve"> </w:t>
      </w:r>
      <w:r>
        <w:rPr>
          <w:iCs/>
          <w:i/>
        </w:rPr>
        <w:t xml:space="preserve">not</w:t>
      </w:r>
      <w:r>
        <w:t xml:space="preserve"> </w:t>
      </w:r>
      <w:r>
        <w:t xml:space="preserve">used as baselines; only reproducible measurements on stated hardware count.</w:t>
      </w:r>
    </w:p>
    <w:p>
      <w:pPr>
        <w:pStyle w:val="BodyText"/>
      </w:pPr>
      <w:r>
        <w:rPr>
          <w:bCs/>
          <w:b/>
        </w:rPr>
        <w:t xml:space="preserve">S6 — Static checkability subsumes runtime policing.</w:t>
      </w:r>
      <w:r>
        <w:t xml:space="preserve"> </w:t>
      </w:r>
      <w:r>
        <w:t xml:space="preserve">For the invariant classes the effect calculus covers, moving checks to compile time removes the corresponding class of runtime failures at no measurable runtime cost, whereas imposing the same invariants on SQL baselines via triggers and constraints has measurable cost.</w:t>
      </w:r>
      <w:r>
        <w:t xml:space="preserve"> </w:t>
      </w:r>
      <w:r>
        <w:rPr>
          <w:iCs/>
          <w:i/>
        </w:rPr>
        <w:t xml:space="preserve">IV:</w:t>
      </w:r>
      <w:r>
        <w:t xml:space="preserve"> </w:t>
      </w:r>
      <w:r>
        <w:t xml:space="preserve">enforcement site (Niles types vs. runtime constraints vs. none).</w:t>
      </w:r>
      <w:r>
        <w:t xml:space="preserve"> </w:t>
      </w:r>
      <w:r>
        <w:rPr>
          <w:iCs/>
          <w:i/>
        </w:rPr>
        <w:t xml:space="preserve">DV:</w:t>
      </w:r>
      <w:r>
        <w:t xml:space="preserve"> </w:t>
      </w:r>
      <w:r>
        <w:t xml:space="preserve">runtime overhead; residual violation count; compile time.</w:t>
      </w:r>
      <w:r>
        <w:t xml:space="preserve"> </w:t>
      </w:r>
      <w:r>
        <w:rPr>
          <w:iCs/>
          <w:i/>
        </w:rPr>
        <w:t xml:space="preserve">CV:</w:t>
      </w:r>
      <w:r>
        <w:t xml:space="preserve"> </w:t>
      </w:r>
      <w:r>
        <w:t xml:space="preserve">program corpus, workload.</w:t>
      </w:r>
      <w:r>
        <w:t xml:space="preserve"> </w:t>
      </w:r>
      <w:r>
        <w:rPr>
          <w:iCs/>
          <w:i/>
        </w:rPr>
        <w:t xml:space="preserve">Method:</w:t>
      </w:r>
      <w:r>
        <w:t xml:space="preserve"> </w:t>
      </w:r>
      <w:r>
        <w:t xml:space="preserve">comparative experiment on ported programs, plus the argument that a compile-time rejection is a categorically stronger artifact than a runtime abort.</w:t>
      </w:r>
    </w:p>
    <w:p>
      <w:pPr>
        <w:pStyle w:val="BodyText"/>
      </w:pPr>
      <w:r>
        <w:rPr>
          <w:bCs/>
          <w:b/>
        </w:rPr>
        <w:t xml:space="preserve">S7 — The optimizer beats fixed policies and approaches its competitive bound.</w:t>
      </w:r>
      <w:r>
        <w:t xml:space="preserve"> </w:t>
      </w:r>
      <w:r>
        <w:t xml:space="preserve">The adaptive materialization optimizer, choosing among absent/demand/full/spilled/tiered per view and key range, achieves lower total cost than any single fixed policy across a workload suite, and its measured competitive ratio against an offline optimum stays within the analytical bound of Section 4.6.</w:t>
      </w:r>
      <w:r>
        <w:t xml:space="preserve"> </w:t>
      </w:r>
      <w:r>
        <w:rPr>
          <w:iCs/>
          <w:i/>
        </w:rPr>
        <w:t xml:space="preserve">IV:</w:t>
      </w:r>
      <w:r>
        <w:t xml:space="preserve"> </w:t>
      </w:r>
      <w:r>
        <w:t xml:space="preserve">policy (each fixed mode; LRU-only; the optimizer) and workload phase structure.</w:t>
      </w:r>
      <w:r>
        <w:t xml:space="preserve"> </w:t>
      </w:r>
      <w:r>
        <w:rPr>
          <w:iCs/>
          <w:i/>
        </w:rPr>
        <w:t xml:space="preserve">DV:</w:t>
      </w:r>
      <w:r>
        <w:t xml:space="preserve"> </w:t>
      </w:r>
      <w:r>
        <w:t xml:space="preserve">total cost (CPU + memory + upquery traffic + SLO violations); measured ratio to the computed offline optimum.</w:t>
      </w:r>
      <w:r>
        <w:t xml:space="preserve"> </w:t>
      </w:r>
      <w:r>
        <w:rPr>
          <w:iCs/>
          <w:i/>
        </w:rPr>
        <w:t xml:space="preserve">CV:</w:t>
      </w:r>
      <w:r>
        <w:t xml:space="preserve"> </w:t>
      </w:r>
      <w:r>
        <w:t xml:space="preserve">contracts, budgets, hardware.</w:t>
      </w:r>
      <w:r>
        <w:t xml:space="preserve"> </w:t>
      </w:r>
      <w:r>
        <w:rPr>
          <w:iCs/>
          <w:i/>
        </w:rPr>
        <w:t xml:space="preserve">Method:</w:t>
      </w:r>
      <w:r>
        <w:t xml:space="preserve"> </w:t>
      </w:r>
      <w:r>
        <w:t xml:space="preserve">experimental, including workloads with phase changes, where adaptivity should matter most; the offline optimum is computed by dynamic programming on the recorded trace.</w:t>
      </w:r>
    </w:p>
    <w:p>
      <w:pPr>
        <w:pStyle w:val="BodyText"/>
      </w:pPr>
      <w:r>
        <w:rPr>
          <w:bCs/>
          <w:b/>
        </w:rPr>
        <w:t xml:space="preserve">S8 — Generality across workload classes.</w:t>
      </w:r>
      <w:r>
        <w:t xml:space="preserve"> </w:t>
      </w:r>
      <w:r>
        <w:t xml:space="preserve">One engine and one language serve OLTP, analytical rollups, time-series, document, graph and search access patterns on the general relational core, with the banking layer implemented as a library and no kernel changes.</w:t>
      </w:r>
      <w:r>
        <w:t xml:space="preserve"> </w:t>
      </w:r>
      <w:r>
        <w:rPr>
          <w:iCs/>
          <w:i/>
        </w:rPr>
        <w:t xml:space="preserve">IV:</w:t>
      </w:r>
      <w:r>
        <w:t xml:space="preserve"> </w:t>
      </w:r>
      <w:r>
        <w:t xml:space="preserve">workload class.</w:t>
      </w:r>
      <w:r>
        <w:t xml:space="preserve"> </w:t>
      </w:r>
      <w:r>
        <w:rPr>
          <w:iCs/>
          <w:i/>
        </w:rPr>
        <w:t xml:space="preserve">DV:</w:t>
      </w:r>
      <w:r>
        <w:t xml:space="preserve"> </w:t>
      </w:r>
      <w:r>
        <w:t xml:space="preserve">expressibility (does it compile), correctness against the oracle, and whether any kernel change was required (audited in the change log).</w:t>
      </w:r>
      <w:r>
        <w:t xml:space="preserve"> </w:t>
      </w:r>
      <w:r>
        <w:rPr>
          <w:iCs/>
          <w:i/>
        </w:rPr>
        <w:t xml:space="preserve">CV:</w:t>
      </w:r>
      <w:r>
        <w:t xml:space="preserve"> </w:t>
      </w:r>
      <w:r>
        <w:t xml:space="preserve">the engine build, the language version.</w:t>
      </w:r>
      <w:r>
        <w:t xml:space="preserve"> </w:t>
      </w:r>
      <w:r>
        <w:rPr>
          <w:iCs/>
          <w:i/>
        </w:rPr>
        <w:t xml:space="preserve">Method:</w:t>
      </w:r>
      <w:r>
        <w:t xml:space="preserve"> </w:t>
      </w:r>
      <w:r>
        <w:t xml:space="preserve">constructive demonstration plus differential testing; the audit of kernel changes is the falsifier.</w:t>
      </w:r>
    </w:p>
    <w:p>
      <w:pPr>
        <w:pStyle w:val="BodyText"/>
      </w:pPr>
      <w:r>
        <w:rPr>
          <w:bCs/>
          <w:b/>
        </w:rPr>
        <w:t xml:space="preserve">S9 — Lineage is complete and affordable.</w:t>
      </w:r>
      <w:r>
        <w:t xml:space="preserve"> </w:t>
      </w:r>
      <w:r>
        <w:t xml:space="preserve">Every published answer can be traced to the base facts that produced it and re-derived bit-for-bit, at a bounded overhead.</w:t>
      </w:r>
      <w:r>
        <w:t xml:space="preserve"> </w:t>
      </w:r>
      <w:r>
        <w:rPr>
          <w:iCs/>
          <w:i/>
        </w:rPr>
        <w:t xml:space="preserve">IV:</w:t>
      </w:r>
      <w:r>
        <w:t xml:space="preserve"> </w:t>
      </w:r>
      <w:r>
        <w:t xml:space="preserve">lineage mode (off, key-level, full how-provenance).</w:t>
      </w:r>
      <w:r>
        <w:t xml:space="preserve"> </w:t>
      </w:r>
      <w:r>
        <w:rPr>
          <w:iCs/>
          <w:i/>
        </w:rPr>
        <w:t xml:space="preserve">DV:</w:t>
      </w:r>
      <w:r>
        <w:t xml:space="preserve"> </w:t>
      </w:r>
      <w:r>
        <w:t xml:space="preserve">traceability completeness on an audit corpus; storage and latency overhead.</w:t>
      </w:r>
      <w:r>
        <w:t xml:space="preserve"> </w:t>
      </w:r>
      <w:r>
        <w:rPr>
          <w:iCs/>
          <w:i/>
        </w:rPr>
        <w:t xml:space="preserve">CV:</w:t>
      </w:r>
      <w:r>
        <w:t xml:space="preserve"> </w:t>
      </w:r>
      <w:r>
        <w:t xml:space="preserve">workload, view set.</w:t>
      </w:r>
      <w:r>
        <w:t xml:space="preserve"> </w:t>
      </w:r>
      <w:r>
        <w:rPr>
          <w:iCs/>
          <w:i/>
        </w:rPr>
        <w:t xml:space="preserve">Method:</w:t>
      </w:r>
      <w:r>
        <w:t xml:space="preserve"> </w:t>
      </w:r>
      <w:r>
        <w:t xml:space="preserve">experimental, with the semiring-provenance framework as the theory: the factorization theorem says provenance in the most general semiring specializes to all others by homomorphism [Green et al., PODS ’07], so the design computes once and specializes. Titian reports typically under 30% overhead for Spark lineage, which is the order-of-magnitude reference point rather than a target to be matched.</w:t>
      </w:r>
    </w:p>
    <w:p>
      <w:pPr>
        <w:pStyle w:val="BodyText"/>
      </w:pPr>
      <w:r>
        <w:rPr>
          <w:bCs/>
          <w:b/>
        </w:rPr>
        <w:t xml:space="preserve">S10 — Holds and hot accounts do not break the model.</w:t>
      </w:r>
      <w:r>
        <w:t xml:space="preserve"> </w:t>
      </w:r>
      <w:r>
        <w:t xml:space="preserve">Available-balance semantics (posted minus holds) and highly contended accounts are served without violating conservation or the declared consistency contracts.</w:t>
      </w:r>
      <w:r>
        <w:t xml:space="preserve"> </w:t>
      </w:r>
      <w:r>
        <w:rPr>
          <w:iCs/>
          <w:i/>
        </w:rPr>
        <w:t xml:space="preserve">IV:</w:t>
      </w:r>
      <w:r>
        <w:t xml:space="preserve"> </w:t>
      </w:r>
      <w:r>
        <w:t xml:space="preserve">contention level on hot accounts; hold volume; consistency rung of the authorization view.</w:t>
      </w:r>
      <w:r>
        <w:t xml:space="preserve"> </w:t>
      </w:r>
      <w:r>
        <w:rPr>
          <w:iCs/>
          <w:i/>
        </w:rPr>
        <w:t xml:space="preserve">DV:</w:t>
      </w:r>
      <w:r>
        <w:t xml:space="preserve"> </w:t>
      </w:r>
      <w:r>
        <w:t xml:space="preserve">authorization latency and throughput; invariant violations; APSN-class discrepancies between available and ledger balance views.</w:t>
      </w:r>
      <w:r>
        <w:t xml:space="preserve"> </w:t>
      </w:r>
      <w:r>
        <w:rPr>
          <w:iCs/>
          <w:i/>
        </w:rPr>
        <w:t xml:space="preserve">CV:</w:t>
      </w:r>
      <w:r>
        <w:t xml:space="preserve"> </w:t>
      </w:r>
      <w:r>
        <w:t xml:space="preserve">account population, skew, epoch period.</w:t>
      </w:r>
      <w:r>
        <w:t xml:space="preserve"> </w:t>
      </w:r>
      <w:r>
        <w:rPr>
          <w:iCs/>
          <w:i/>
        </w:rPr>
        <w:t xml:space="preserve">Method:</w:t>
      </w:r>
      <w:r>
        <w:t xml:space="preserve"> </w:t>
      </w:r>
      <w:r>
        <w:t xml:space="preserve">experimental, against the coordination-avoidance theory that bounds what is possible: conservation is a sum-equality invariant and is I-confluent, whereas</w:t>
      </w:r>
      <w:r>
        <w:t xml:space="preserve"> </w:t>
      </w:r>
      <w:r>
        <w:t xml:space="preserve">“</w:t>
      </w:r>
      <w:r>
        <w:t xml:space="preserve">balance ≥ 0</w:t>
      </w:r>
      <w:r>
        <w:t xml:space="preserve">”</w:t>
      </w:r>
      <w:r>
        <w:t xml:space="preserve"> </w:t>
      </w:r>
      <w:r>
        <w:t xml:space="preserve">is provably not [Bailis et al., PVLDB ’15], so the authorization path must coordinate and the design must make that cost explicit rather than hide it.</w:t>
      </w:r>
    </w:p>
    <w:bookmarkEnd w:id="33"/>
    <w:bookmarkEnd w:id="34"/>
    <w:bookmarkStart w:id="37" w:name="contributions"/>
    <w:p>
      <w:pPr>
        <w:pStyle w:val="Heading2"/>
      </w:pPr>
      <w:r>
        <w:t xml:space="preserve">1.7 Contributions</w:t>
      </w:r>
    </w:p>
    <w:bookmarkStart w:id="35" w:name="scientific-contributions"/>
    <w:p>
      <w:pPr>
        <w:pStyle w:val="Heading3"/>
      </w:pPr>
      <w:r>
        <w:t xml:space="preserve">1.7.1 Scientific Contributions</w:t>
      </w:r>
    </w:p>
    <w:p>
      <w:pPr>
        <w:pStyle w:val="FirstParagraph"/>
      </w:pPr>
      <w:r>
        <w:rPr>
          <w:bCs/>
          <w:b/>
        </w:rPr>
        <w:t xml:space="preserve">C1 — The REV and its versioned partial-state algebra</w:t>
      </w:r>
      <w:r>
        <w:t xml:space="preserve"> </w:t>
      </w:r>
      <w:r>
        <w:t xml:space="preserve">(§4.1–4.2): a DBSP-compatible algebra of epoch-versioned, partially materialized Z-set state, with an absence lattice giving formal meaning to a key’s absence, and the epoch-anchored reconstruction theorem; corollary: eviction and reconstruction can neither create nor destroy money. The proof discharges, by construction rather than by protocol, the five anomalies partial-state dataflow must otherwise exclude.</w:t>
      </w:r>
    </w:p>
    <w:p>
      <w:pPr>
        <w:pStyle w:val="BodyText"/>
      </w:pPr>
      <w:r>
        <w:rPr>
          <w:bCs/>
          <w:b/>
        </w:rPr>
        <w:t xml:space="preserve">C2 — The Eviction–Consistency Frontier Theorem</w:t>
      </w:r>
      <w:r>
        <w:t xml:space="preserve"> </w:t>
      </w:r>
      <w:r>
        <w:t xml:space="preserve">(§4.3): a CAP/PACELC-style impossibility result bounding where strict-serializable partial materialization is provably no cheaper than full materialization, parameterized by skew, memory budget, write rate and upquery latency.</w:t>
      </w:r>
    </w:p>
    <w:p>
      <w:pPr>
        <w:pStyle w:val="BodyText"/>
      </w:pPr>
      <w:r>
        <w:rPr>
          <w:bCs/>
          <w:b/>
        </w:rPr>
        <w:t xml:space="preserve">C3 — A complexity theory of consistency under partial materialization</w:t>
      </w:r>
      <w:r>
        <w:t xml:space="preserve"> </w:t>
      </w:r>
      <w:r>
        <w:t xml:space="preserve">(§4.4): upper and lower bounds pricing each rung of the consistency ladder in workload parameters, proving the price of each rung is workload-shaped rather than history-shaped.</w:t>
      </w:r>
    </w:p>
    <w:p>
      <w:pPr>
        <w:pStyle w:val="BodyText"/>
      </w:pPr>
      <w:r>
        <w:rPr>
          <w:bCs/>
          <w:b/>
        </w:rPr>
        <w:t xml:space="preserve">C4 — The consistency-effect calculus and the Niles soundness theorem</w:t>
      </w:r>
      <w:r>
        <w:t xml:space="preserve"> </w:t>
      </w:r>
      <w:r>
        <w:t xml:space="preserve">(§4.5): a type-and-effect system in which conservation, currency discipline, idempotency and authorization are theorems about all well-typed programs, with an explicit account of which guarantees are inherited from established results and which are new.</w:t>
      </w:r>
    </w:p>
    <w:p>
      <w:pPr>
        <w:pStyle w:val="BodyText"/>
      </w:pPr>
      <w:r>
        <w:rPr>
          <w:bCs/>
          <w:b/>
        </w:rPr>
        <w:t xml:space="preserve">C5 — The adaptive materialization calculus and optimizer</w:t>
      </w:r>
      <w:r>
        <w:t xml:space="preserve"> </w:t>
      </w:r>
      <w:r>
        <w:t xml:space="preserve">(§4.6): a formal mode lattice {absent, demand, full, spilled, tiered}, the cost model that orders it, an online algorithm choosing per view and key range subject to consistency and freshness contracts, and its competitive analysis — including why the classical caching results must be modified for upquery latency and for heterogeneous reconstruction cost.</w:t>
      </w:r>
    </w:p>
    <w:p>
      <w:pPr>
        <w:pStyle w:val="BodyText"/>
      </w:pPr>
      <w:r>
        <w:rPr>
          <w:bCs/>
          <w:b/>
        </w:rPr>
        <w:t xml:space="preserve">C6 — A generality result for the language</w:t>
      </w:r>
      <w:r>
        <w:t xml:space="preserve"> </w:t>
      </w:r>
      <w:r>
        <w:t xml:space="preserve">(§4.7): a rigorous formulation and proof of the expressiveness claim — relational completeness, fixpoint completeness over the epoch-ordered base via the Immerman–Vardi theorem, and a semantics-preserving translation of a stated SQL fragment — replacing the unprovable assertion</w:t>
      </w:r>
      <w:r>
        <w:t xml:space="preserve"> </w:t>
      </w:r>
      <w:r>
        <w:t xml:space="preserve">“</w:t>
      </w:r>
      <w:r>
        <w:t xml:space="preserve">replaces SQL</w:t>
      </w:r>
      <w:r>
        <w:t xml:space="preserve">”</w:t>
      </w:r>
      <w:r>
        <w:t xml:space="preserve"> </w:t>
      </w:r>
      <w:r>
        <w:t xml:space="preserve">with statements that can be checked.</w:t>
      </w:r>
    </w:p>
    <w:bookmarkEnd w:id="35"/>
    <w:bookmarkStart w:id="36" w:name="engineering-contributions"/>
    <w:p>
      <w:pPr>
        <w:pStyle w:val="Heading3"/>
      </w:pPr>
      <w:r>
        <w:t xml:space="preserve">1.7.2 Engineering Contributions</w:t>
      </w:r>
    </w:p>
    <w:p>
      <w:pPr>
        <w:pStyle w:val="FirstParagraph"/>
      </w:pPr>
      <w:r>
        <w:rPr>
          <w:bCs/>
          <w:b/>
        </w:rPr>
        <w:t xml:space="preserve">E1 — Niles</w:t>
      </w:r>
      <w:r>
        <w:t xml:space="preserve">, a general-purpose, state-aware data language: SQL-first syntax, Rust fallback, and novel constructs for authoritative bases and ledgers,</w:t>
      </w:r>
      <w:r>
        <w:t xml:space="preserve"> </w:t>
      </w:r>
      <w:r>
        <w:rPr>
          <w:rStyle w:val="VerbatimChar"/>
        </w:rPr>
        <w:t xml:space="preserve">Money</w:t>
      </w:r>
      <w:r>
        <w:t xml:space="preserve"> </w:t>
      </w:r>
      <w:r>
        <w:t xml:space="preserve">indexed by currency with per-currency scale, bitemporal types and value dates, idempotency keys, per-view</w:t>
      </w:r>
      <w:r>
        <w:t xml:space="preserve"> </w:t>
      </w:r>
      <w:r>
        <w:rPr>
          <w:rStyle w:val="VerbatimChar"/>
        </w:rPr>
        <w:t xml:space="preserve">serve</w:t>
      </w:r>
      <w:r>
        <w:t xml:space="preserve"> </w:t>
      </w:r>
      <w:r>
        <w:t xml:space="preserve">contracts (consistency, freshness, materialization mode, memory budget, retention), immutability and confidentiality annotations — specified in Appendix B with a consolidated grammar.</w:t>
      </w:r>
    </w:p>
    <w:p>
      <w:pPr>
        <w:pStyle w:val="BodyText"/>
      </w:pPr>
      <w:r>
        <w:rPr>
          <w:bCs/>
          <w:b/>
        </w:rPr>
        <w:t xml:space="preserve">E2 — Nilestream</w:t>
      </w:r>
      <w:r>
        <w:t xml:space="preserve">, a from-scratch streaming DBMS: hash-chained epoch-ordered ledger write path; partial-state read-model runtime with anchored upqueries; a typed IR that is the stable contract between language and engine; full lineage; MySQL/PostgreSQL wire compatibility for incremental adoption.</w:t>
      </w:r>
    </w:p>
    <w:p>
      <w:pPr>
        <w:pStyle w:val="BodyText"/>
      </w:pPr>
      <w:r>
        <w:rPr>
          <w:bCs/>
          <w:b/>
        </w:rPr>
        <w:t xml:space="preserve">E3 — The executable reference semantics</w:t>
      </w:r>
      <w:r>
        <w:t xml:space="preserve">: a small, auditable oracle defining correctness for the whole system, together with the conservation-of-money suite and fault campaigns built on it — reusable by any future system claiming ledger-grade semantics.</w:t>
      </w:r>
    </w:p>
    <w:p>
      <w:pPr>
        <w:pStyle w:val="BodyText"/>
      </w:pPr>
      <w:r>
        <w:rPr>
          <w:bCs/>
          <w:b/>
        </w:rPr>
        <w:t xml:space="preserve">E4 — The core-banking benchmark</w:t>
      </w:r>
      <w:r>
        <w:t xml:space="preserve">: a reproducible workload coupling ledger-grade writes to a skewed, open-ended derived-read fleet, including available-balance-with-holds, as-of balances on both time axes, BCBS-239-style rollups, statements, and fraud/AML features.</w:t>
      </w:r>
    </w:p>
    <w:p>
      <w:pPr>
        <w:pStyle w:val="BodyText"/>
      </w:pPr>
      <w:r>
        <w:rPr>
          <w:bCs/>
          <w:b/>
        </w:rPr>
        <w:t xml:space="preserve">E5 — The phase diagram</w:t>
      </w:r>
      <w:r>
        <w:t xml:space="preserve"> </w:t>
      </w:r>
      <w:r>
        <w:t xml:space="preserve">as a design tool: a measured characterization of when demand materialization pays, directly consumable by practitioners sizing read-model fleets.</w:t>
      </w:r>
    </w:p>
    <w:bookmarkEnd w:id="36"/>
    <w:bookmarkEnd w:id="37"/>
    <w:bookmarkStart w:id="38" w:name="thesis-statement"/>
    <w:p>
      <w:pPr>
        <w:pStyle w:val="Heading2"/>
      </w:pPr>
      <w:r>
        <w:t xml:space="preserve">1.8 Thesis Statement</w:t>
      </w:r>
    </w:p>
    <w:p>
      <w:pPr>
        <w:pStyle w:val="FirstParagraph"/>
      </w:pPr>
      <w:r>
        <w:rPr>
          <w:iCs/>
          <w:i/>
        </w:rPr>
        <w:t xml:space="preserve">Versioned, partially materialized derived state over an immutable, epoch-ordered, hash-chained base admits a formal algebra in which reconstruction is exact, invariants are preserved, the cost of every consistency level is a function of workload shape rather than history length, the choice of materialization mode is an online decision with provable guarantees, and the limits of the approach form a provable frontier — and this theory can be embodied in a general-purpose language and DBMS, with expressive power at least SQL’s and banking as a domain library, precise enough to falsify it.</w:t>
      </w:r>
    </w:p>
    <w:bookmarkEnd w:id="38"/>
    <w:bookmarkStart w:id="39" w:name="scope-non-goals-and-the-status-of-claims"/>
    <w:p>
      <w:pPr>
        <w:pStyle w:val="Heading2"/>
      </w:pPr>
      <w:r>
        <w:t xml:space="preserve">1.9 Scope, Non-Goals, and the Status of Claims</w:t>
      </w:r>
    </w:p>
    <w:p>
      <w:pPr>
        <w:pStyle w:val="FirstParagraph"/>
      </w:pPr>
      <w:r>
        <w:rPr>
          <w:bCs/>
          <w:b/>
        </w:rPr>
        <w:t xml:space="preserve">In scope:</w:t>
      </w:r>
      <w:r>
        <w:t xml:space="preserve"> </w:t>
      </w:r>
      <w:r>
        <w:t xml:space="preserve">the theory of the REV; the language and its type-and-effect discipline; the single-node engine design and its distributed extension; the benchmark and oracle; the honest characterization of where the approach wins and loses.</w:t>
      </w:r>
    </w:p>
    <w:p>
      <w:pPr>
        <w:pStyle w:val="BodyText"/>
      </w:pPr>
      <w:r>
        <w:rPr>
          <w:bCs/>
          <w:b/>
        </w:rPr>
        <w:t xml:space="preserve">Out of scope, declared:</w:t>
      </w:r>
      <w:r>
        <w:t xml:space="preserve"> </w:t>
      </w:r>
      <w:r>
        <w:t xml:space="preserve">Byzantine fault tolerance (the hash chain gives tamper</w:t>
      </w:r>
      <w:r>
        <w:t xml:space="preserve"> </w:t>
      </w:r>
      <w:r>
        <w:rPr>
          <w:iCs/>
          <w:i/>
        </w:rPr>
        <w:t xml:space="preserve">evidence</w:t>
      </w:r>
      <w:r>
        <w:t xml:space="preserve">, not tamper</w:t>
      </w:r>
      <w:r>
        <w:t xml:space="preserve"> </w:t>
      </w:r>
      <w:r>
        <w:rPr>
          <w:iCs/>
          <w:i/>
        </w:rPr>
        <w:t xml:space="preserve">proofing</w:t>
      </w:r>
      <w:r>
        <w:t xml:space="preserve"> </w:t>
      </w:r>
      <w:r>
        <w:t xml:space="preserve">— see below); consensus protocol novelty (the design reuses established replication); adversarial multi-operator settings; and application-tier concerns beyond the language’s declared scope tiers.</w:t>
      </w:r>
    </w:p>
    <w:p>
      <w:pPr>
        <w:pStyle w:val="BodyText"/>
      </w:pPr>
      <w:r>
        <w:rPr>
          <w:bCs/>
          <w:b/>
        </w:rPr>
        <w:t xml:space="preserve">On tamper evidence.</w:t>
      </w:r>
      <w:r>
        <w:t xml:space="preserve"> </w:t>
      </w:r>
      <w:r>
        <w:t xml:space="preserve">The guarantee a hash chain provides must be stated exactly, because the literature is explicit and overclaiming here would be a real vulnerability. RFC 6962 puts it plainly:</w:t>
      </w:r>
      <w:r>
        <w:t xml:space="preserve"> </w:t>
      </w:r>
      <w:r>
        <w:t xml:space="preserve">“</w:t>
      </w:r>
      <w:r>
        <w:t xml:space="preserve">The logs do not themselves prevent misissue, but they ensure that interested parties … can detect such misissuance.</w:t>
      </w:r>
      <w:r>
        <w:t xml:space="preserve">”</w:t>
      </w:r>
      <w:r>
        <w:t xml:space="preserve"> </w:t>
      </w:r>
      <w:r>
        <w:t xml:space="preserve">QLDB’s documentation scopes its verification the same way: what is proved is that a revision</w:t>
      </w:r>
      <w:r>
        <w:t xml:space="preserve"> </w:t>
      </w:r>
      <w:r>
        <w:t xml:space="preserve">“</w:t>
      </w:r>
      <w:r>
        <w:t xml:space="preserve">wasn’t altered between the time that you saved this digest and when you run the verification.</w:t>
      </w:r>
      <w:r>
        <w:t xml:space="preserve">”</w:t>
      </w:r>
      <w:r>
        <w:t xml:space="preserve"> </w:t>
      </w:r>
      <w:r>
        <w:t xml:space="preserve">The thesis therefore claims:</w:t>
      </w:r>
      <w:r>
        <w:t xml:space="preserve"> </w:t>
      </w:r>
      <w:r>
        <w:rPr>
          <w:iCs/>
          <w:i/>
        </w:rPr>
        <w:t xml:space="preserve">tamper-evidence relative to an externally retained digest, conditional on someone checking</w:t>
      </w:r>
      <w:r>
        <w:t xml:space="preserve"> </w:t>
      </w:r>
      <w:r>
        <w:t xml:space="preserve">— not immutability as a physical property.</w:t>
      </w:r>
    </w:p>
    <w:p>
      <w:pPr>
        <w:pStyle w:val="BodyText"/>
      </w:pPr>
      <w:r>
        <w:rPr>
          <w:bCs/>
          <w:b/>
        </w:rPr>
        <w:t xml:space="preserve">Status of claims.</w:t>
      </w:r>
      <w:r>
        <w:t xml:space="preserve"> </w:t>
      </w:r>
      <w:r>
        <w:t xml:space="preserve">This is a theory-and-design thesis with a research prototype. Its claims fall into three tiers, and the thesis does not blur them.</w:t>
      </w:r>
    </w:p>
    <w:p>
      <w:pPr>
        <w:pStyle w:val="BodyText"/>
      </w:pPr>
      <w:r>
        <w:rPr>
          <w:iCs/>
          <w:i/>
        </w:rPr>
        <w:t xml:space="preserve">Proved.</w:t>
      </w:r>
      <w:r>
        <w:t xml:space="preserve"> </w:t>
      </w:r>
      <w:r>
        <w:t xml:space="preserve">The theorems of Chapters 3 and 4 are paper proofs in stated models, with the verification status of each — proved, machine-checkable, assumed, or restricted — tabulated in Section 3.15. None is mechanized; that is named as future work rather than implied.</w:t>
      </w:r>
    </w:p>
    <w:p>
      <w:pPr>
        <w:pStyle w:val="BodyText"/>
      </w:pPr>
      <w:r>
        <w:rPr>
          <w:iCs/>
          <w:i/>
        </w:rPr>
        <w:t xml:space="preserve">Measured.</w:t>
      </w:r>
      <w:r>
        <w:t xml:space="preserve"> </w:t>
      </w:r>
      <w:r>
        <w:t xml:space="preserve">Sections 9.1–9.4 report results from a prototype (Appendix K) implementing the mechanisms: epoch-ordered commit under a per-currency zero-sum rule, hash chaining, anchor indices, checkpoints, partial materialization over the absence lattice, anchored upqueries and eviction policies. Every number there was produced by the run that reports it, on the platform stated in §9.1.2, with five fixed seeds and machine-independent counted-work units.</w:t>
      </w:r>
      <w:r>
        <w:t xml:space="preserve"> </w:t>
      </w:r>
      <w:r>
        <w:rPr>
          <w:bCs/>
          <w:b/>
        </w:rPr>
        <w:t xml:space="preserve">Three of those measurements contradicted claims made in earlier drafts of this thesis, and are reported as contradictions</w:t>
      </w:r>
      <w:r>
        <w:t xml:space="preserve"> </w:t>
      </w:r>
      <w:r>
        <w:t xml:space="preserve">(§9.3.4, §9.4.1, §9.4.4).</w:t>
      </w:r>
    </w:p>
    <w:p>
      <w:pPr>
        <w:pStyle w:val="BodyText"/>
      </w:pPr>
      <w:r>
        <w:rPr>
          <w:iCs/>
          <w:i/>
        </w:rPr>
        <w:t xml:space="preserve">Neither.</w:t>
      </w:r>
      <w:r>
        <w:t xml:space="preserve"> </w:t>
      </w:r>
      <w:r>
        <w:t xml:space="preserve">Everything requiring durability, concurrency, distribution or the compiler is marked</w:t>
      </w:r>
      <w:r>
        <w:t xml:space="preserve"> </w:t>
      </w:r>
      <w:r>
        <w:rPr>
          <w:iCs/>
          <w:i/>
        </w:rPr>
        <w:t xml:space="preserve">to be measured</w:t>
      </w:r>
      <w:r>
        <w:t xml:space="preserve">, with its protocol and pre-registered prediction.</w:t>
      </w:r>
      <w:r>
        <w:t xml:space="preserve"> </w:t>
      </w:r>
      <w:r>
        <w:rPr>
          <w:bCs/>
          <w:b/>
        </w:rPr>
        <w:t xml:space="preserve">No number anywhere in this thesis is invented to fill such a cell</w:t>
      </w:r>
      <w:r>
        <w:t xml:space="preserve">, and no comparison against another database system is claimed, because a prototype without durability or concurrency cannot honestly stand in for one.</w:t>
      </w:r>
    </w:p>
    <w:p>
      <w:pPr>
        <w:pStyle w:val="BodyText"/>
      </w:pPr>
      <w:r>
        <w:rPr>
          <w:iCs/>
          <w:i/>
        </w:rPr>
        <w:t xml:space="preserve">On figures quoted from the literature.</w:t>
      </w:r>
      <w:r>
        <w:t xml:space="preserve"> </w:t>
      </w:r>
      <w:r>
        <w:t xml:space="preserve">Each carries its original experimental context, and vendor performance claims lacking a disclosed methodology, hardware specification and durability setting are named as such and excluded from use as baselines.</w:t>
      </w:r>
    </w:p>
    <w:bookmarkEnd w:id="39"/>
    <w:bookmarkEnd w:id="40"/>
    <w:bookmarkStart w:id="57" w:name="background"/>
    <w:p>
      <w:pPr>
        <w:pStyle w:val="Heading1"/>
      </w:pPr>
      <w:r>
        <w:t xml:space="preserve">2. Background</w:t>
      </w:r>
    </w:p>
    <w:p>
      <w:pPr>
        <w:pStyle w:val="FirstParagraph"/>
      </w:pPr>
      <w:r>
        <w:t xml:space="preserve">This chapter assembles the inherited material the thesis builds on. Nothing here is new; everything here is load-bearing. Chapter 10 returns to the same families to state differences; this chapter states what they give us.</w:t>
      </w:r>
    </w:p>
    <w:bookmarkStart w:id="41" w:name="the-double-entry-ledger"/>
    <w:p>
      <w:pPr>
        <w:pStyle w:val="Heading2"/>
      </w:pPr>
      <w:r>
        <w:t xml:space="preserve">2.1 The Double-Entry Ledger</w:t>
      </w:r>
    </w:p>
    <w:p>
      <w:pPr>
        <w:pStyle w:val="FirstParagraph"/>
      </w:pPr>
      <w:r>
        <w:t xml:space="preserve">Double-entry bookkeeping, codified by Pacioli in 1494 and unchanged in essence since, records every economic event as a set of postings that sum to zero: every debit has equal and opposite credits. Three properties make it the oldest integrity constraint in continuous production use. It is</w:t>
      </w:r>
      <w:r>
        <w:t xml:space="preserve"> </w:t>
      </w:r>
      <w:r>
        <w:rPr>
          <w:iCs/>
          <w:i/>
        </w:rPr>
        <w:t xml:space="preserve">local</w:t>
      </w:r>
      <w:r>
        <w:t xml:space="preserve"> </w:t>
      </w:r>
      <w:r>
        <w:t xml:space="preserve">— balance is checked per transaction, not by a global scan. It is</w:t>
      </w:r>
      <w:r>
        <w:t xml:space="preserve"> </w:t>
      </w:r>
      <w:r>
        <w:rPr>
          <w:iCs/>
          <w:i/>
        </w:rPr>
        <w:t xml:space="preserve">compositional</w:t>
      </w:r>
      <w:r>
        <w:t xml:space="preserve"> </w:t>
      </w:r>
      <w:r>
        <w:t xml:space="preserve">— the sum of balanced transactions is balanced, so the global invariant follows by induction from per-transaction checks. And it is</w:t>
      </w:r>
      <w:r>
        <w:t xml:space="preserve"> </w:t>
      </w:r>
      <w:r>
        <w:rPr>
          <w:iCs/>
          <w:i/>
        </w:rPr>
        <w:t xml:space="preserve">append-only by convention</w:t>
      </w:r>
      <w:r>
        <w:t xml:space="preserve"> </w:t>
      </w:r>
      <w:r>
        <w:t xml:space="preserve">— an erroneous entry is corrected by a reversing entry, never by erasure, which is what gives the paper ledger its audit value.</w:t>
      </w:r>
    </w:p>
    <w:p>
      <w:pPr>
        <w:pStyle w:val="BodyText"/>
      </w:pPr>
      <w:r>
        <w:t xml:space="preserve">Contemporary implementations restate all three. Uber’s payments platform describes its zero-sum rule as ensuring that</w:t>
      </w:r>
      <w:r>
        <w:t xml:space="preserve"> </w:t>
      </w:r>
      <w:r>
        <w:t xml:space="preserve">“</w:t>
      </w:r>
      <w:r>
        <w:t xml:space="preserve">no money can ever be created or destroyed,</w:t>
      </w:r>
      <w:r>
        <w:t xml:space="preserve">”</w:t>
      </w:r>
      <w:r>
        <w:t xml:space="preserve"> </w:t>
      </w:r>
      <w:r>
        <w:t xml:space="preserve">with money orders immutable and adjustments captured as additional money orders. Square’s Books requires that</w:t>
      </w:r>
      <w:r>
        <w:t xml:space="preserve"> </w:t>
      </w:r>
      <w:r>
        <w:t xml:space="preserve">“</w:t>
      </w:r>
      <w:r>
        <w:t xml:space="preserve">all transactions (which we call</w:t>
      </w:r>
      <w:r>
        <w:t xml:space="preserve"> </w:t>
      </w:r>
      <w:r>
        <w:t xml:space="preserve">‘</w:t>
      </w:r>
      <w:r>
        <w:t xml:space="preserve">journal entries</w:t>
      </w:r>
      <w:r>
        <w:t xml:space="preserve">’</w:t>
      </w:r>
      <w:r>
        <w:t xml:space="preserve">) must balance to 0, so each cent lost is matched with a cent gained,</w:t>
      </w:r>
      <w:r>
        <w:t xml:space="preserve">”</w:t>
      </w:r>
      <w:r>
        <w:t xml:space="preserve"> </w:t>
      </w:r>
      <w:r>
        <w:t xml:space="preserve">and enforces append-only at the schema level:</w:t>
      </w:r>
      <w:r>
        <w:t xml:space="preserve"> </w:t>
      </w:r>
      <w:r>
        <w:t xml:space="preserve">“</w:t>
      </w:r>
      <w:r>
        <w:t xml:space="preserve">there are no update statements for the tables presented on the diagram, only inserts.</w:t>
      </w:r>
      <w:r>
        <w:t xml:space="preserve">”</w:t>
      </w:r>
      <w:r>
        <w:t xml:space="preserve"> </w:t>
      </w:r>
      <w:r>
        <w:t xml:space="preserve">Modern Treasury documents the same discipline and a design-space disagreement worth noting: in its model</w:t>
      </w:r>
      <w:r>
        <w:t xml:space="preserve"> </w:t>
      </w:r>
      <w:r>
        <w:t xml:space="preserve">“</w:t>
      </w:r>
      <w:r>
        <w:t xml:space="preserve">a ledger transaction is mutable while pending and immutable once posted,</w:t>
      </w:r>
      <w:r>
        <w:t xml:space="preserve">”</w:t>
      </w:r>
      <w:r>
        <w:t xml:space="preserve"> </w:t>
      </w:r>
      <w:r>
        <w:t xml:space="preserve">whereas TigerBeetle keeps even the pending transfer immutable and resolves it by appending a new transfer. This thesis takes the stricter position, for the reason given in Section 3.19: if a hold is itself an immutable ledger fact, then available balance is a derived view like any other, and no part of the system needs an update path.</w:t>
      </w:r>
    </w:p>
    <w:p>
      <w:pPr>
        <w:pStyle w:val="BodyText"/>
      </w:pPr>
      <w:r>
        <w:t xml:space="preserve">In database terms a ledger is a relation of postings with the constraint that, for each transaction and each currency, amounts sum to zero. Balances are not stored facts but</w:t>
      </w:r>
      <w:r>
        <w:t xml:space="preserve"> </w:t>
      </w:r>
      <w:r>
        <w:rPr>
          <w:iCs/>
          <w:i/>
        </w:rPr>
        <w:t xml:space="preserve">derived views</w:t>
      </w:r>
      <w:r>
        <w:t xml:space="preserve">: the balance of an account is the sum of its postings up to a moment. Nilestream takes that literally (Section 6.7).</w:t>
      </w:r>
    </w:p>
    <w:bookmarkEnd w:id="41"/>
    <w:bookmarkStart w:id="42" w:name="X12387efb3a94ed94f3668e81fa86d79b94dae33"/>
    <w:p>
      <w:pPr>
        <w:pStyle w:val="Heading2"/>
      </w:pPr>
      <w:r>
        <w:t xml:space="preserve">2.2 The General Case: Authoritative Base Relations and Committed Writes</w:t>
      </w:r>
    </w:p>
    <w:p>
      <w:pPr>
        <w:pStyle w:val="FirstParagraph"/>
      </w:pPr>
      <w:r>
        <w:t xml:space="preserve">The ledger is a special case of something plainer, and the thesis’s core is built on the plain thing. A</w:t>
      </w:r>
      <w:r>
        <w:t xml:space="preserve"> </w:t>
      </w:r>
      <w:r>
        <w:rPr>
          <w:bCs/>
          <w:b/>
        </w:rPr>
        <w:t xml:space="preserve">base relation</w:t>
      </w:r>
      <w:r>
        <w:t xml:space="preserve"> </w:t>
      </w:r>
      <w:r>
        <w:t xml:space="preserve">is authoritative: its rows are facts the system is the source of truth for. A</w:t>
      </w:r>
      <w:r>
        <w:t xml:space="preserve"> </w:t>
      </w:r>
      <w:r>
        <w:rPr>
          <w:bCs/>
          <w:b/>
        </w:rPr>
        <w:t xml:space="preserve">committed write</w:t>
      </w:r>
      <w:r>
        <w:t xml:space="preserve"> </w:t>
      </w:r>
      <w:r>
        <w:t xml:space="preserve">is an atomic, durable, ordered addition to a base relation, admitted only if it passes the constraints declared for that base. In the general core there is no money, no debit and no credit — only a base, an append, an order, and a commit rule.</w:t>
      </w:r>
    </w:p>
    <w:p>
      <w:pPr>
        <w:pStyle w:val="BodyText"/>
      </w:pPr>
      <w:r>
        <w:t xml:space="preserve">The specialization to a ledger is then a matter of what the commit rule says and what the columns mean: the commit rule enforces a per-group sum-zero constraint; one column carries an idempotency key; two carry the time axes; one carries a currency-indexed amount. Everything else — epochs, hashing, derived views, partial materialization, reconstruction, consistency contracts — is defined at the general level and inherited. This is the sense in which</w:t>
      </w:r>
      <w:r>
        <w:t xml:space="preserve"> </w:t>
      </w:r>
      <w:r>
        <w:t xml:space="preserve">“</w:t>
      </w:r>
      <w:r>
        <w:t xml:space="preserve">the general case for a ledger or posting is the general case of an authoritative base table and committed write,</w:t>
      </w:r>
      <w:r>
        <w:t xml:space="preserve">”</w:t>
      </w:r>
      <w:r>
        <w:t xml:space="preserve"> </w:t>
      </w:r>
      <w:r>
        <w:t xml:space="preserve">and it is what makes the banking layer a library rather than a fork (Section 6.6).</w:t>
      </w:r>
    </w:p>
    <w:p>
      <w:pPr>
        <w:pStyle w:val="BodyText"/>
      </w:pPr>
      <w:r>
        <w:t xml:space="preserve">Two consequences are worth stating early. First, every theorem about reconstruction, cost and consistency is proved over base relations and applies unchanged to non-financial domains — the inventory-conservation domain of Section 9.11 exercises exactly this. Second, the invariants that</w:t>
      </w:r>
      <w:r>
        <w:t xml:space="preserve"> </w:t>
      </w:r>
      <w:r>
        <w:rPr>
          <w:iCs/>
          <w:i/>
        </w:rPr>
        <w:t xml:space="preserve">are</w:t>
      </w:r>
      <w:r>
        <w:t xml:space="preserve"> </w:t>
      </w:r>
      <w:r>
        <w:t xml:space="preserve">specific to money enter through the type system and the commit rule, not through the engine’s core, which is why the trusted computing base does not grow when a new domain library is added.</w:t>
      </w:r>
    </w:p>
    <w:bookmarkEnd w:id="42"/>
    <w:bookmarkStart w:id="43" w:name="X2ce202d95e27b07b4d7421c0b647bcb257c684d"/>
    <w:p>
      <w:pPr>
        <w:pStyle w:val="Heading2"/>
      </w:pPr>
      <w:r>
        <w:t xml:space="preserve">2.3 Incremental View Maintenance and Dataflow</w:t>
      </w:r>
    </w:p>
    <w:p>
      <w:pPr>
        <w:pStyle w:val="FirstParagraph"/>
      </w:pPr>
      <w:r>
        <w:t xml:space="preserve">A materialized view V = Q(D) can be kept current under changes ΔD either by recomputation, V′ = Q(D + ΔD), or by incremental maintenance, V′ = V + ΔQ(D, ΔD), where ΔQ is a</w:t>
      </w:r>
      <w:r>
        <w:t xml:space="preserve"> </w:t>
      </w:r>
      <w:r>
        <w:rPr>
          <w:iCs/>
          <w:i/>
        </w:rPr>
        <w:t xml:space="preserve">delta query</w:t>
      </w:r>
      <w:r>
        <w:t xml:space="preserve"> </w:t>
      </w:r>
      <w:r>
        <w:t xml:space="preserve">that is cheap when ΔD is small. The literature spans four decades: counting algorithms for duplicates, delta rules for select-project-join, higher-order maintenance where the delta queries are themselves incrementalized (DBToaster), and treatments of recursion. The engineering embodiments are timely and differential dataflow and the systems above them.</w:t>
      </w:r>
    </w:p>
    <w:p>
      <w:pPr>
        <w:pStyle w:val="BodyText"/>
      </w:pPr>
      <w:r>
        <w:t xml:space="preserve">Two inherited lessons matter. First, incrementality is an algebraic property: if data lives in a group so that deltas can be negative, every linear operator is its own delta form and non-linear operators have systematic delta forms. Second, consistency in dataflow is a</w:t>
      </w:r>
      <w:r>
        <w:t xml:space="preserve"> </w:t>
      </w:r>
      <w:r>
        <w:rPr>
          <w:iCs/>
          <w:i/>
        </w:rPr>
        <w:t xml:space="preserve">frontier</w:t>
      </w:r>
      <w:r>
        <w:t xml:space="preserve"> </w:t>
      </w:r>
      <w:r>
        <w:t xml:space="preserve">notion. Naiad’s progress tracking formalizes this with pointstamps —</w:t>
      </w:r>
      <w:r>
        <w:t xml:space="preserve"> </w:t>
      </w:r>
      <w:r>
        <w:t xml:space="preserve">“</w:t>
      </w:r>
      <w:r>
        <w:t xml:space="preserve">Each event has a timestamp and a location … and we refer to these as a pointstamp</w:t>
      </w:r>
      <w:r>
        <w:t xml:space="preserve">”</w:t>
      </w:r>
      <w:r>
        <w:t xml:space="preserve"> </w:t>
      </w:r>
      <w:r>
        <w:t xml:space="preserve">— and a</w:t>
      </w:r>
      <w:r>
        <w:t xml:space="preserve"> </w:t>
      </w:r>
      <w:r>
        <w:rPr>
          <w:iCs/>
          <w:i/>
        </w:rPr>
        <w:t xml:space="preserve">could-result-in</w:t>
      </w:r>
      <w:r>
        <w:t xml:space="preserve"> </w:t>
      </w:r>
      <w:r>
        <w:t xml:space="preserve">relation whose minimal elements form the frontier of active pointstamps [Murray et al., SOSP ’13]. Both lessons are absorbed in Chapter 3, with one important distinction: a Naiad frontier is a</w:t>
      </w:r>
      <w:r>
        <w:t xml:space="preserve"> </w:t>
      </w:r>
      <w:r>
        <w:rPr>
          <w:iCs/>
          <w:i/>
        </w:rPr>
        <w:t xml:space="preserve">progress</w:t>
      </w:r>
      <w:r>
        <w:t xml:space="preserve"> </w:t>
      </w:r>
      <w:r>
        <w:t xml:space="preserve">frontier, a lower bound on what may still arrive, whereas this thesis’s visibility frontier is a</w:t>
      </w:r>
      <w:r>
        <w:t xml:space="preserve"> </w:t>
      </w:r>
      <w:r>
        <w:rPr>
          <w:iCs/>
          <w:i/>
        </w:rPr>
        <w:t xml:space="preserve">commitment</w:t>
      </w:r>
      <w:r>
        <w:t xml:space="preserve"> </w:t>
      </w:r>
      <w:r>
        <w:t xml:space="preserve">frontier over a totally ordered base — the difference is that nothing can arrive</w:t>
      </w:r>
      <w:r>
        <w:t xml:space="preserve"> </w:t>
      </w:r>
      <w:r>
        <w:t xml:space="preserve">“</w:t>
      </w:r>
      <w:r>
        <w:t xml:space="preserve">before</w:t>
      </w:r>
      <w:r>
        <w:t xml:space="preserve">”</w:t>
      </w:r>
      <w:r>
        <w:t xml:space="preserve"> </w:t>
      </w:r>
      <w:r>
        <w:t xml:space="preserve">a sealed epoch, so the frontier is a fact rather than an estimate.</w:t>
      </w:r>
    </w:p>
    <w:p>
      <w:pPr>
        <w:pStyle w:val="BodyText"/>
      </w:pPr>
      <w:r>
        <w:t xml:space="preserve">Differential dataflow contributes one further mechanism the design reuses:</w:t>
      </w:r>
      <w:r>
        <w:t xml:space="preserve"> </w:t>
      </w:r>
      <w:r>
        <w:rPr>
          <w:iCs/>
          <w:i/>
        </w:rPr>
        <w:t xml:space="preserve">shared arrangements</w:t>
      </w:r>
      <w:r>
        <w:t xml:space="preserve">, indexed multiversioned collections of immutable batches shared across operators and queries, which</w:t>
      </w:r>
      <w:r>
        <w:t xml:space="preserve"> </w:t>
      </w:r>
      <w:r>
        <w:t xml:space="preserve">“</w:t>
      </w:r>
      <w:r>
        <w:t xml:space="preserve">substitute for per-instance operator state in the dataflow, and should appear to an individual operator as if it was a private copy of its state</w:t>
      </w:r>
      <w:r>
        <w:t xml:space="preserve">”</w:t>
      </w:r>
      <w:r>
        <w:t xml:space="preserve"> </w:t>
      </w:r>
      <w:r>
        <w:t xml:space="preserve">[McSherry et al., PVLDB ’20]. Sharing immutable indexed state across readers is exactly what an immutable base makes safe.</w:t>
      </w:r>
    </w:p>
    <w:bookmarkEnd w:id="43"/>
    <w:bookmarkStart w:id="44" w:name="X051c9a549a6f77ec7b3cd0e6e6e4b9d6293e553"/>
    <w:p>
      <w:pPr>
        <w:pStyle w:val="Heading2"/>
      </w:pPr>
      <w:r>
        <w:t xml:space="preserve">2.4 Partially Stateful Dataflow and Upqueries</w:t>
      </w:r>
    </w:p>
    <w:p>
      <w:pPr>
        <w:pStyle w:val="FirstParagraph"/>
      </w:pPr>
      <w:r>
        <w:t xml:space="preserve">Noria introduced</w:t>
      </w:r>
      <w:r>
        <w:t xml:space="preserve"> </w:t>
      </w:r>
      <w:r>
        <w:rPr>
          <w:iCs/>
          <w:i/>
        </w:rPr>
        <w:t xml:space="preserve">partial state</w:t>
      </w:r>
      <w:r>
        <w:t xml:space="preserve"> </w:t>
      </w:r>
      <w:r>
        <w:t xml:space="preserve">into dataflow: an operator’s state — and the final materialized view — may contain holes. A read that hits a hole issues an</w:t>
      </w:r>
      <w:r>
        <w:t xml:space="preserve"> </w:t>
      </w:r>
      <w:r>
        <w:rPr>
          <w:bCs/>
          <w:b/>
        </w:rPr>
        <w:t xml:space="preserve">upquery</w:t>
      </w:r>
      <w:r>
        <w:t xml:space="preserve">, a request that travels</w:t>
      </w:r>
      <w:r>
        <w:t xml:space="preserve"> </w:t>
      </w:r>
      <w:r>
        <w:rPr>
          <w:iCs/>
          <w:i/>
        </w:rPr>
        <w:t xml:space="preserve">up</w:t>
      </w:r>
      <w:r>
        <w:t xml:space="preserve"> </w:t>
      </w:r>
      <w:r>
        <w:t xml:space="preserve">the dataflow toward the base tables for retransmission of the data needed to fill the hole; responses flow back down as ordinary positive updates. Eviction re-creates holes. Partially stateful operators</w:t>
      </w:r>
      <w:r>
        <w:t xml:space="preserve"> </w:t>
      </w:r>
      <w:r>
        <w:t xml:space="preserve">“</w:t>
      </w:r>
      <w:r>
        <w:t xml:space="preserve">start out fully evicted and are gradually and lazily populated by upqueries,</w:t>
      </w:r>
      <w:r>
        <w:t xml:space="preserve">”</w:t>
      </w:r>
      <w:r>
        <w:t xml:space="preserve"> </w:t>
      </w:r>
      <w:r>
        <w:t xml:space="preserve">and</w:t>
      </w:r>
      <w:r>
        <w:t xml:space="preserve"> </w:t>
      </w:r>
      <w:r>
        <w:t xml:space="preserve">“</w:t>
      </w:r>
      <w:r>
        <w:t xml:space="preserve">eviction notices flow forward along the update data-flow path</w:t>
      </w:r>
      <w:r>
        <w:t xml:space="preserve">”</w:t>
      </w:r>
      <w:r>
        <w:t xml:space="preserve"> </w:t>
      </w:r>
      <w:r>
        <w:t xml:space="preserve">so that operators can drop updates addressed to evicted entries [Gjengset et al., OSDI ’18].</w:t>
      </w:r>
    </w:p>
    <w:p>
      <w:pPr>
        <w:pStyle w:val="BodyText"/>
      </w:pPr>
      <w:r>
        <w:t xml:space="preserve">Gjengset’s dissertation states the three invariants such a system must maintain: (I)</w:t>
      </w:r>
      <w:r>
        <w:t xml:space="preserve"> </w:t>
      </w:r>
      <w:r>
        <w:t xml:space="preserve">“</w:t>
      </w:r>
      <w:r>
        <w:t xml:space="preserve">All reads reflect each base table change at most once</w:t>
      </w:r>
      <w:r>
        <w:t xml:space="preserve">”</w:t>
      </w:r>
      <w:r>
        <w:t xml:space="preserve">; (II) a read observing the effects of a base-table change also observes all effects of earlier changes to that table along the same dataflow path; and (III) if an operator encounters missing state while processing a record, downstream state reflecting that record must be evicted. It also names the five anomalies partial state must exclude —</w:t>
      </w:r>
      <w:r>
        <w:t xml:space="preserve"> </w:t>
      </w:r>
      <w:r>
        <w:rPr>
          <w:bCs/>
          <w:b/>
        </w:rPr>
        <w:t xml:space="preserve">double application</w:t>
      </w:r>
      <w:r>
        <w:t xml:space="preserve">,</w:t>
      </w:r>
      <w:r>
        <w:t xml:space="preserve"> </w:t>
      </w:r>
      <w:r>
        <w:rPr>
          <w:bCs/>
          <w:b/>
        </w:rPr>
        <w:t xml:space="preserve">skipped deltas</w:t>
      </w:r>
      <w:r>
        <w:t xml:space="preserve">,</w:t>
      </w:r>
      <w:r>
        <w:t xml:space="preserve"> </w:t>
      </w:r>
      <w:r>
        <w:rPr>
          <w:bCs/>
          <w:b/>
        </w:rPr>
        <w:t xml:space="preserve">upquery races</w:t>
      </w:r>
      <w:r>
        <w:t xml:space="preserve">,</w:t>
      </w:r>
      <w:r>
        <w:t xml:space="preserve"> </w:t>
      </w:r>
      <w:r>
        <w:rPr>
          <w:bCs/>
          <w:b/>
        </w:rPr>
        <w:t xml:space="preserve">lost deltas</w:t>
      </w:r>
      <w:r>
        <w:t xml:space="preserve">, and</w:t>
      </w:r>
      <w:r>
        <w:t xml:space="preserve"> </w:t>
      </w:r>
      <w:r>
        <w:rPr>
          <w:bCs/>
          <w:b/>
        </w:rPr>
        <w:t xml:space="preserve">upquery deadlock</w:t>
      </w:r>
      <w:r>
        <w:t xml:space="preserve"> </w:t>
      </w:r>
      <w:r>
        <w:t xml:space="preserve">— plus the join-specific hazards of dependent upqueries and incongruent joins. Upquery plans are derived by</w:t>
      </w:r>
      <w:r>
        <w:t xml:space="preserve"> </w:t>
      </w:r>
      <w:r>
        <w:rPr>
          <w:iCs/>
          <w:i/>
        </w:rPr>
        <w:t xml:space="preserve">key provenance</w:t>
      </w:r>
      <w:r>
        <w:t xml:space="preserve">, tracing a view’s parameter column back to a column in upstream state.</w:t>
      </w:r>
    </w:p>
    <w:p>
      <w:pPr>
        <w:pStyle w:val="BodyText"/>
      </w:pPr>
      <w:r>
        <w:t xml:space="preserve">Noria’s consistency is stated exactly:</w:t>
      </w:r>
      <w:r>
        <w:t xml:space="preserve"> </w:t>
      </w:r>
      <w:r>
        <w:t xml:space="preserve">“</w:t>
      </w:r>
      <w:r>
        <w:t xml:space="preserve">Noria does ensure that if writes quiesce, all external views eventually hold results that are the same as if the queries had been executed directly against the base table data</w:t>
      </w:r>
      <w:r>
        <w:t xml:space="preserve">”</w:t>
      </w:r>
      <w:r>
        <w:t xml:space="preserve"> </w:t>
      </w:r>
      <w:r>
        <w:t xml:space="preserve">— eventual consistency, with randomized eviction, and with transactions and stronger consistency listed as future work. Its published resource figures for the Lobsters deployment are instructive about the</w:t>
      </w:r>
      <w:r>
        <w:t xml:space="preserve"> </w:t>
      </w:r>
      <w:r>
        <w:rPr>
          <w:iCs/>
          <w:i/>
        </w:rPr>
        <w:t xml:space="preserve">shape</w:t>
      </w:r>
      <w:r>
        <w:t xml:space="preserve"> </w:t>
      </w:r>
      <w:r>
        <w:t xml:space="preserve">of the win: full state was 789 MB, roughly 8× the 137 MB base tables, while with partial state the non-partial residue was 73 MB, about 9% of total state.</w:t>
      </w:r>
    </w:p>
    <w:p>
      <w:pPr>
        <w:pStyle w:val="BodyText"/>
      </w:pPr>
      <w:r>
        <w:t xml:space="preserve">The negative space is precise. Noria’s mechanism is right and its guarantees are insufficient for money. What that mechanism needs — an immutable, totally ordered base; versioned holes; upqueries anchored to a requested epoch; per-view contracts — is what makes the REV, and is why the five anomalies become inexpressible rather than defended: they are all consequences of reconstructing against a</w:t>
      </w:r>
      <w:r>
        <w:t xml:space="preserve"> </w:t>
      </w:r>
      <w:r>
        <w:rPr>
          <w:iCs/>
          <w:i/>
        </w:rPr>
        <w:t xml:space="preserve">moving</w:t>
      </w:r>
      <w:r>
        <w:t xml:space="preserve"> </w:t>
      </w:r>
      <w:r>
        <w:t xml:space="preserve">base.</w:t>
      </w:r>
    </w:p>
    <w:bookmarkEnd w:id="44"/>
    <w:bookmarkStart w:id="45" w:name="consistency-semantics-for-banking"/>
    <w:p>
      <w:pPr>
        <w:pStyle w:val="Heading2"/>
      </w:pPr>
      <w:r>
        <w:t xml:space="preserve">2.5 Consistency Semantics for Banking</w:t>
      </w:r>
    </w:p>
    <w:p>
      <w:pPr>
        <w:pStyle w:val="FirstParagraph"/>
      </w:pPr>
      <w:r>
        <w:t xml:space="preserve">The consistency vocabulary is standard and is assembled here for precision.</w:t>
      </w:r>
      <w:r>
        <w:t xml:space="preserve"> </w:t>
      </w:r>
      <w:r>
        <w:rPr>
          <w:iCs/>
          <w:i/>
        </w:rPr>
        <w:t xml:space="preserve">Linearizability</w:t>
      </w:r>
      <w:r>
        <w:t xml:space="preserve"> </w:t>
      </w:r>
      <w:r>
        <w:t xml:space="preserve">is Herlihy and Wing’s correctness condition for concurrent objects [TOPLAS 1990].</w:t>
      </w:r>
      <w:r>
        <w:t xml:space="preserve"> </w:t>
      </w:r>
      <w:r>
        <w:rPr>
          <w:iCs/>
          <w:i/>
        </w:rPr>
        <w:t xml:space="preserve">Strict serializability</w:t>
      </w:r>
      <w:r>
        <w:t xml:space="preserve"> </w:t>
      </w:r>
      <w:r>
        <w:t xml:space="preserve">is commonly stated as serializability plus real-time order — but the attribution deserves care: Papadimitriou’s SSR is defined over the history’s own operation order, not over external real time [JACM 1979], and the real-time formulation is the Herlihy–Wing composition. The thesis states the distinction explicitly (Section 3.8) because the epoch-ordered visibility timeline sits exactly at that seam.</w:t>
      </w:r>
    </w:p>
    <w:p>
      <w:pPr>
        <w:pStyle w:val="BodyText"/>
      </w:pPr>
      <w:r>
        <w:rPr>
          <w:iCs/>
          <w:i/>
        </w:rPr>
        <w:t xml:space="preserve">Session guarantees</w:t>
      </w:r>
      <w:r>
        <w:t xml:space="preserve"> </w:t>
      </w:r>
      <w:r>
        <w:t xml:space="preserve">— read-your-writes, monotonic reads, monotonic writes, writes-follow-reads — are due to Terry et al. and are stated as predicates over which writes are included in a server’s database state at a time [PDIS 1994]. That predicate form is the template this thesis adopts. So is the decomposition style of Viotti and Vukolić’s survey of more than fifty non-transactional consistency notions, which expresses each model as a conjunction of independently varying predicates (a single-order condition, a real-time condition, a return-value condition) [ACM CSUR 2016].</w:t>
      </w:r>
    </w:p>
    <w:p>
      <w:pPr>
        <w:pStyle w:val="BodyText"/>
      </w:pPr>
      <w:r>
        <w:rPr>
          <w:iCs/>
          <w:i/>
        </w:rPr>
        <w:t xml:space="preserve">Bounded staleness</w:t>
      </w:r>
      <w:r>
        <w:t xml:space="preserve"> </w:t>
      </w:r>
      <w:r>
        <w:t xml:space="preserve">has a shipping precedent worth copying: Azure Cosmos DB parameterizes it by</w:t>
      </w:r>
      <w:r>
        <w:t xml:space="preserve"> </w:t>
      </w:r>
      <w:r>
        <w:t xml:space="preserve">“</w:t>
      </w:r>
      <w:r>
        <w:t xml:space="preserve">‘</w:t>
      </w:r>
      <w:r>
        <w:t xml:space="preserve">K</w:t>
      </w:r>
      <w:r>
        <w:t xml:space="preserve">’</w:t>
      </w:r>
      <w:r>
        <w:t xml:space="preserve"> </w:t>
      </w:r>
      <w:r>
        <w:t xml:space="preserve">versions (that is,</w:t>
      </w:r>
      <w:r>
        <w:t xml:space="preserve"> </w:t>
      </w:r>
      <w:r>
        <w:t xml:space="preserve">‘</w:t>
      </w:r>
      <w:r>
        <w:t xml:space="preserve">updates</w:t>
      </w:r>
      <w:r>
        <w:t xml:space="preserve">’</w:t>
      </w:r>
      <w:r>
        <w:t xml:space="preserve">) of an item or by</w:t>
      </w:r>
      <w:r>
        <w:t xml:space="preserve"> </w:t>
      </w:r>
      <w:r>
        <w:t xml:space="preserve">‘</w:t>
      </w:r>
      <w:r>
        <w:t xml:space="preserve">T</w:t>
      </w:r>
      <w:r>
        <w:t xml:space="preserve">’</w:t>
      </w:r>
      <w:r>
        <w:t xml:space="preserve"> </w:t>
      </w:r>
      <w:r>
        <w:t xml:space="preserve">time intervals, whichever is reached first.</w:t>
      </w:r>
      <w:r>
        <w:t xml:space="preserve">”</w:t>
      </w:r>
      <w:r>
        <w:t xml:space="preserve"> </w:t>
      </w:r>
      <w:r>
        <w:t xml:space="preserve">The dual parameterization, and the whichever-comes-first rule, are adopted for the ℓ₀ rung in Section 3.7.</w:t>
      </w:r>
    </w:p>
    <w:p>
      <w:pPr>
        <w:pStyle w:val="BodyText"/>
      </w:pPr>
      <w:r>
        <w:t xml:space="preserve">What is achievable at all is bounded by the HAT results: read committed, monotonic atomic view, item and predicate cut isolation, and the monotonic session guarantees are highly available; read-your-writes and causal consistency are</w:t>
      </w:r>
      <w:r>
        <w:t xml:space="preserve"> </w:t>
      </w:r>
      <w:r>
        <w:rPr>
          <w:iCs/>
          <w:i/>
        </w:rPr>
        <w:t xml:space="preserve">sticky</w:t>
      </w:r>
      <w:r>
        <w:t xml:space="preserve"> </w:t>
      </w:r>
      <w:r>
        <w:t xml:space="preserve">available; snapshot isolation, repeatable read, one-copy serializability and linearizability are unavailable [Bailis et al., PVLDB 2013]. The ladder of Chapter 3 is therefore not a free menu: its lower rungs are the HAT-achievable set and its top rung is provably in the unavailable set, which is the honest framing for a per-view contract.</w:t>
      </w:r>
    </w:p>
    <w:p>
      <w:pPr>
        <w:pStyle w:val="BodyText"/>
      </w:pPr>
      <w:r>
        <w:t xml:space="preserve">Banking practice does not require every read to be strictly serializable — a statement may lawfully be seconds stale — but the</w:t>
      </w:r>
      <w:r>
        <w:t xml:space="preserve"> </w:t>
      </w:r>
      <w:r>
        <w:rPr>
          <w:iCs/>
          <w:i/>
        </w:rPr>
        <w:t xml:space="preserve">authorization</w:t>
      </w:r>
      <w:r>
        <w:t xml:space="preserve"> </w:t>
      </w:r>
      <w:r>
        <w:t xml:space="preserve">decision must reflect every committed posting, and the write path’s order is legally meaningful. The design consequence, argued in Section 3.7, is asymmetry: one maximal-consistency write path, many per-view read contracts.</w:t>
      </w:r>
    </w:p>
    <w:bookmarkEnd w:id="45"/>
    <w:bookmarkStart w:id="46" w:name="the-dbsp-z-set-substrate"/>
    <w:p>
      <w:pPr>
        <w:pStyle w:val="Heading2"/>
      </w:pPr>
      <w:r>
        <w:t xml:space="preserve">2.6 The DBSP / Z-set Substrate</w:t>
      </w:r>
    </w:p>
    <w:p>
      <w:pPr>
        <w:pStyle w:val="FirstParagraph"/>
      </w:pPr>
      <w:r>
        <w:t xml:space="preserve">DBSP is the formal substrate the algebra of Chapter 3 is compatible with. A stream is a function from discrete time to values; a</w:t>
      </w:r>
      <w:r>
        <w:t xml:space="preserve"> </w:t>
      </w:r>
      <w:r>
        <w:rPr>
          <w:bCs/>
          <w:b/>
        </w:rPr>
        <w:t xml:space="preserve">Z-set</w:t>
      </w:r>
      <w:r>
        <w:t xml:space="preserve"> </w:t>
      </w:r>
      <w:r>
        <w:t xml:space="preserve">over A is a function with finite support from A to ℤ, so deletion is insertion with weight −1 and every change is addition. Four constructs generate the universe: lifting of scalar functions, the delay z⁻¹, integration I(s)[t] = Σ_{i≤t} s[i], and differentiation D(s) = s − z⁻¹(s).</w:t>
      </w:r>
    </w:p>
    <w:p>
      <w:pPr>
        <w:pStyle w:val="BodyText"/>
      </w:pPr>
      <w:r>
        <w:t xml:space="preserve">The theorems the thesis leans on are stated in the source: integration and differentiation are inverses (Theorem 2.20); incrementalization is compositional via the chain rule (Q₁ ∘ Q₂)^Δ = Q₁^Δ ∘ Q₂^Δ, with a cycle rule extending it through recursion (Proposition 3.2); linear time-invariant operators are their own incremental form, Q^Δ = Q (Theorem 3.3); and bilinear operators — joins — have the systematic delta form of Theorem 3.4. Complexity is stated too: linear operators incrementalize to O(|ΔDB|) time with zero space; joins to O(|DB| × |ΔDB|), better than re-evaluation by a factor of O(|DB|/|ΔDB|); and</w:t>
      </w:r>
      <w:r>
        <w:t xml:space="preserve"> </w:t>
      </w:r>
      <w:r>
        <w:rPr>
          <w:rStyle w:val="VerbatimChar"/>
        </w:rPr>
        <w:t xml:space="preserve">distinct</w:t>
      </w:r>
      <w:r>
        <w:t xml:space="preserve"> </w:t>
      </w:r>
      <w:r>
        <w:t xml:space="preserve">incrementalizes to O(|ΔDB|) time with O(|DB|) space [Budiu et al., PVLDB ’23]. Coverage includes the relational core, grouping and aggregation, nested relations, and recursion with a correctness theorem tying the circuit’s output to Datalog semantics.</w:t>
      </w:r>
    </w:p>
    <w:p>
      <w:pPr>
        <w:pStyle w:val="BodyText"/>
      </w:pPr>
      <w:r>
        <w:t xml:space="preserve">The thesis leans on DBSP for three things: F2’s duality is stated as a theorem about I and D; the partial-state algebra is defined so that every REV’s query is a DBSP circuit, inheriting incrementalization for the</w:t>
      </w:r>
      <w:r>
        <w:t xml:space="preserve"> </w:t>
      </w:r>
      <w:r>
        <w:rPr>
          <w:iCs/>
          <w:i/>
        </w:rPr>
        <w:t xml:space="preserve">maintenance</w:t>
      </w:r>
      <w:r>
        <w:t xml:space="preserve"> </w:t>
      </w:r>
      <w:r>
        <w:t xml:space="preserve">path while the thesis adds the</w:t>
      </w:r>
      <w:r>
        <w:t xml:space="preserve"> </w:t>
      </w:r>
      <w:r>
        <w:rPr>
          <w:iCs/>
          <w:i/>
        </w:rPr>
        <w:t xml:space="preserve">partiality</w:t>
      </w:r>
      <w:r>
        <w:t xml:space="preserve"> </w:t>
      </w:r>
      <w:r>
        <w:t xml:space="preserve">dimension DBSP does not model; and the typed IR is a DBSP-style circuit language, so the implementation interprets the formal objects rather than merely resembling them.</w:t>
      </w:r>
    </w:p>
    <w:bookmarkEnd w:id="46"/>
    <w:bookmarkStart w:id="47" w:name="X34fe4149900acdecbdc15faa845a6b708f3f79a"/>
    <w:p>
      <w:pPr>
        <w:pStyle w:val="Heading2"/>
      </w:pPr>
      <w:r>
        <w:t xml:space="preserve">2.7 The Relational Model, SQL, Generality, and Expressive Power</w:t>
      </w:r>
    </w:p>
    <w:p>
      <w:pPr>
        <w:pStyle w:val="FirstParagraph"/>
      </w:pPr>
      <w:r>
        <w:t xml:space="preserve">Codd’s relational model earned its dominance through data independence, a small closed algebra, and declarativity that admits optimization. This thesis abandons none of that. What it abandons is SQL as the surface, and the case must be made in terms of expressive power rather than taste.</w:t>
      </w:r>
    </w:p>
    <w:p>
      <w:pPr>
        <w:pStyle w:val="BodyText"/>
      </w:pPr>
      <w:r>
        <w:t xml:space="preserve">The relevant results are old and precise. Codd defined relational completeness relative to his calculus ALPHA and proved the algebra relationally complete [RJ987, 1972]; the modern statement — algebra equals safe, domain-independent calculus — is developed in Abiteboul, Hull and Vianu. Relational calculus cannot express transitive closure, a limitation Aho and Ullman identified and answered by proposing a least-fixpoint operator [POPL 1979]. Adding that operator is decisive: Immerman’s theorem states that relational calculus plus least fixpoint, over structures with a total ordering relation, expresses exactly the queries computable in polynomial time [Immerman 1982/1986; independently Vardi 1982]. The ordering hypothesis is essential to the theorem — and an epoch-ordered ledger supplies exactly such a total order as part of its data model, which is a genuine structural argument for the design rather than a coincidence. Beyond PTIME, Chandra and Harel’s computable queries define what a</w:t>
      </w:r>
      <w:r>
        <w:t xml:space="preserve"> </w:t>
      </w:r>
      <w:r>
        <w:rPr>
          <w:iCs/>
          <w:i/>
        </w:rPr>
        <w:t xml:space="preserve">complete</w:t>
      </w:r>
      <w:r>
        <w:t xml:space="preserve"> </w:t>
      </w:r>
      <w:r>
        <w:t xml:space="preserve">query language means at all [JCSS 1980].</w:t>
      </w:r>
    </w:p>
    <w:p>
      <w:pPr>
        <w:pStyle w:val="BodyText"/>
      </w:pPr>
      <w:r>
        <w:t xml:space="preserve">The standard itself has been moving toward the thesis’s concerns for fifteen years. SQL:2011 added application-time period tables and system-versioned tables, where</w:t>
      </w:r>
      <w:r>
        <w:t xml:space="preserve"> </w:t>
      </w:r>
      <w:r>
        <w:t xml:space="preserve">“</w:t>
      </w:r>
      <w:r>
        <w:t xml:space="preserve">historical rows cannot be modified by users,</w:t>
      </w:r>
      <w:r>
        <w:t xml:space="preserve">”</w:t>
      </w:r>
      <w:r>
        <w:t xml:space="preserve"> </w:t>
      </w:r>
      <w:r>
        <w:t xml:space="preserve">with</w:t>
      </w:r>
      <w:r>
        <w:t xml:space="preserve"> </w:t>
      </w:r>
      <w:r>
        <w:rPr>
          <w:rStyle w:val="VerbatimChar"/>
        </w:rPr>
        <w:t xml:space="preserve">AS OF SYSTEM TIME</w:t>
      </w:r>
      <w:r>
        <w:t xml:space="preserve"> </w:t>
      </w:r>
      <w:r>
        <w:t xml:space="preserve">queries and a closed-open period model — bitemporality, standardized [Kulkarni &amp; Michels, SIGMOD Record 2012]. SQL:2016 added JSON functions (but no JSON</w:t>
      </w:r>
      <w:r>
        <w:t xml:space="preserve"> </w:t>
      </w:r>
      <w:r>
        <w:rPr>
          <w:iCs/>
          <w:i/>
        </w:rPr>
        <w:t xml:space="preserve">type</w:t>
      </w:r>
      <w:r>
        <w:t xml:space="preserve">) and row pattern recognition. SQL:2023 added a JSON data type and, as a new Part 16, property graph queries (SQL/PGQ). And in 2024 ISO published GQL (ISO/IEC 39075), the first new ISO database language since SQL — developed by the same working group, with a full create-read-update-delete surface over property graphs rather than SQL/PGQ’s read-only view.</w:t>
      </w:r>
    </w:p>
    <w:p>
      <w:pPr>
        <w:pStyle w:val="BodyText"/>
      </w:pPr>
      <w:r>
        <w:t xml:space="preserve">Two conclusions follow for this thesis. First, the accretion pattern is real: each capability the modern workload needs arrives as an optional feature bolted to a fifty-year-old grammar, and none of them are typed in the sense that matters here — none makes staleness, conservation, or retention checkable. Second, and more usefully, GQL is an existence proof that the standards community will define a</w:t>
      </w:r>
      <w:r>
        <w:t xml:space="preserve"> </w:t>
      </w:r>
      <w:r>
        <w:rPr>
          <w:iCs/>
          <w:i/>
        </w:rPr>
        <w:t xml:space="preserve">new language</w:t>
      </w:r>
      <w:r>
        <w:t xml:space="preserve"> </w:t>
      </w:r>
      <w:r>
        <w:t xml:space="preserve">rather than another extension when the model genuinely differs, and that</w:t>
      </w:r>
      <w:r>
        <w:t xml:space="preserve"> </w:t>
      </w:r>
      <w:r>
        <w:t xml:space="preserve">“</w:t>
      </w:r>
      <w:r>
        <w:t xml:space="preserve">an embedded read-only sublanguage</w:t>
      </w:r>
      <w:r>
        <w:t xml:space="preserve">”</w:t>
      </w:r>
      <w:r>
        <w:t xml:space="preserve"> </w:t>
      </w:r>
      <w:r>
        <w:t xml:space="preserve">and</w:t>
      </w:r>
      <w:r>
        <w:t xml:space="preserve"> </w:t>
      </w:r>
      <w:r>
        <w:t xml:space="preserve">“</w:t>
      </w:r>
      <w:r>
        <w:t xml:space="preserve">a standalone full language</w:t>
      </w:r>
      <w:r>
        <w:t xml:space="preserve">”</w:t>
      </w:r>
      <w:r>
        <w:t xml:space="preserve"> </w:t>
      </w:r>
      <w:r>
        <w:t xml:space="preserve">are recognized as different artifacts. The language-creation gate of Section 6.10 is argued against exactly this backdrop — including against the strongest opposing position,</w:t>
      </w:r>
      <w:r>
        <w:t xml:space="preserve"> </w:t>
      </w:r>
      <w:r>
        <w:t xml:space="preserve">“</w:t>
      </w:r>
      <w:r>
        <w:t xml:space="preserve">One SQL to Rule Them All,</w:t>
      </w:r>
      <w:r>
        <w:t xml:space="preserve">”</w:t>
      </w:r>
      <w:r>
        <w:t xml:space="preserve"> </w:t>
      </w:r>
      <w:r>
        <w:t xml:space="preserve">which argues that streaming needs only three additions to standard SQL: time-varying relations as the foundational abstraction, event-time semantics with watermarks, and a small set of keywords controlling materialization of results [Begoli et al., SIGMOD ’19].</w:t>
      </w:r>
    </w:p>
    <w:bookmarkEnd w:id="47"/>
    <w:bookmarkStart w:id="48" w:name="unbounded-data-and-the-log"/>
    <w:p>
      <w:pPr>
        <w:pStyle w:val="Heading2"/>
      </w:pPr>
      <w:r>
        <w:t xml:space="preserve">2.8 Unbounded Data and the Log</w:t>
      </w:r>
    </w:p>
    <w:p>
      <w:pPr>
        <w:pStyle w:val="FirstParagraph"/>
      </w:pPr>
      <w:r>
        <w:t xml:space="preserve">The log-centric school holds that the append-only ordered log is the primitive from which databases are derived. Its academic form is older than its industrial fame: CQL’s semantics already treat a relation as</w:t>
      </w:r>
      <w:r>
        <w:t xml:space="preserve"> </w:t>
      </w:r>
      <w:r>
        <w:t xml:space="preserve">“</w:t>
      </w:r>
      <w:r>
        <w:t xml:space="preserve">a mapping from 𝒯 to a finite but unbounded bag of tuples,</w:t>
      </w:r>
      <w:r>
        <w:t xml:space="preserve">”</w:t>
      </w:r>
      <w:r>
        <w:t xml:space="preserve"> </w:t>
      </w:r>
      <w:r>
        <w:t xml:space="preserve">with three operator classes connecting streams to relations — stream-to-relation (windows), relation-to-relation (ordinary SQL), and relation-to-stream (</w:t>
      </w:r>
      <w:r>
        <w:rPr>
          <w:rStyle w:val="VerbatimChar"/>
        </w:rPr>
        <w:t xml:space="preserve">Istream</w:t>
      </w:r>
      <w:r>
        <w:t xml:space="preserve">,</w:t>
      </w:r>
      <w:r>
        <w:t xml:space="preserve"> </w:t>
      </w:r>
      <w:r>
        <w:rPr>
          <w:rStyle w:val="VerbatimChar"/>
        </w:rPr>
        <w:t xml:space="preserve">Dstream</w:t>
      </w:r>
      <w:r>
        <w:t xml:space="preserve">,</w:t>
      </w:r>
      <w:r>
        <w:t xml:space="preserve"> </w:t>
      </w:r>
      <w:r>
        <w:rPr>
          <w:rStyle w:val="VerbatimChar"/>
        </w:rPr>
        <w:t xml:space="preserve">Rstream</w:t>
      </w:r>
      <w:r>
        <w:t xml:space="preserve">, defined pointwise against the previous instant) [Arasu, Babu &amp; Widom, VLDB J. 2006]. CQL’s claim is a</w:t>
      </w:r>
      <w:r>
        <w:t xml:space="preserve"> </w:t>
      </w:r>
      <w:r>
        <w:rPr>
          <w:iCs/>
          <w:i/>
        </w:rPr>
        <w:t xml:space="preserve">reduction</w:t>
      </w:r>
      <w:r>
        <w:t xml:space="preserve"> </w:t>
      </w:r>
      <w:r>
        <w:t xml:space="preserve">— given those three classes you obtain a complete continuous-query semantics — not a duality theorem, and this thesis is careful to attribute accordingly.</w:t>
      </w:r>
    </w:p>
    <w:p>
      <w:pPr>
        <w:pStyle w:val="BodyText"/>
      </w:pPr>
      <w:r>
        <w:t xml:space="preserve">The industrial statement is Kreps’s log abstraction and the stream-table duality of the Kafka lineage, where a table is the materialization of a stream up to an offset and a changelog is the table’s stream of successive updates [Sax et al., BIRTE ’18]. The Dataflow model contributes the watermark vocabulary for reasoning about completeness of unbounded input [Akidau et al., PVLDB 2015]. The Lambda/Kappa debate contributes the negative lesson: maintaining two codepaths for one semantics is an integration tax a single incremental substrate removes.</w:t>
      </w:r>
    </w:p>
    <w:p>
      <w:pPr>
        <w:pStyle w:val="BodyText"/>
      </w:pPr>
      <w:r>
        <w:t xml:space="preserve">What none of this supplies is the read-side economics — their derived state is total — or end-to-end guarantees across the write/read boundary. That is what the REV is for.</w:t>
      </w:r>
    </w:p>
    <w:bookmarkEnd w:id="48"/>
    <w:bookmarkStart w:id="49" w:name="Xaf50ae6f355bf251a9f9489b25d8a6b359da812"/>
    <w:p>
      <w:pPr>
        <w:pStyle w:val="Heading2"/>
      </w:pPr>
      <w:r>
        <w:t xml:space="preserve">2.9 Workload Evidence: Skew, Working Sets, and Their Limits</w:t>
      </w:r>
    </w:p>
    <w:p>
      <w:pPr>
        <w:pStyle w:val="FirstParagraph"/>
      </w:pPr>
      <w:r>
        <w:t xml:space="preserve">The thesis’s economic premise is that access to derived state is skewed. This premise must be inherited from measurement, and the measurements disagree.</w:t>
      </w:r>
    </w:p>
    <w:p>
      <w:pPr>
        <w:pStyle w:val="BodyText"/>
      </w:pPr>
      <w:r>
        <w:t xml:space="preserve">Twitter’s analysis of 153 in-memory cache clusters — 54 analyzed in detail, ~700 billion requests, 80 TB of traces — reports that 80% of workloads fit Zipf with R² &gt; 0.8 and more than half with R² &gt; 0.9, with fitted α</w:t>
      </w:r>
      <w:r>
        <w:t xml:space="preserve"> </w:t>
      </w:r>
      <w:r>
        <w:t xml:space="preserve">“</w:t>
      </w:r>
      <w:r>
        <w:t xml:space="preserve">in the range from 1 to 2.5,</w:t>
      </w:r>
      <w:r>
        <w:t xml:space="preserve">”</w:t>
      </w:r>
      <w:r>
        <w:t xml:space="preserve"> </w:t>
      </w:r>
      <w:r>
        <w:t xml:space="preserve">and a sharp split between read-heavy (median α ≈ 1.4) and write-heavy (median α ≈ 0.9) workloads. It also reports that more than 35% of the clusters studied were write-heavy (&gt;30% writes) and more than 20% had write ratios above 50% [Yang, Yue &amp; Rashmi, OSDI ’20]. Facebook’s earlier memcached study reports power-law-like popularity —</w:t>
      </w:r>
      <w:r>
        <w:t xml:space="preserve"> </w:t>
      </w:r>
      <w:r>
        <w:t xml:space="preserve">“</w:t>
      </w:r>
      <w:r>
        <w:t xml:space="preserve">50% of ETC’s keys occur in only 1% of all requests</w:t>
      </w:r>
      <w:r>
        <w:t xml:space="preserve">”</w:t>
      </w:r>
      <w:r>
        <w:t xml:space="preserve"> </w:t>
      </w:r>
      <w:r>
        <w:t xml:space="preserve">— but publishes no fitted α [Atikoglu et al., SIGMETRICS ’12].</w:t>
      </w:r>
    </w:p>
    <w:p>
      <w:pPr>
        <w:pStyle w:val="BodyText"/>
      </w:pPr>
      <w:r>
        <w:t xml:space="preserve">The counterweight is CacheLib, whose authors state that</w:t>
      </w:r>
      <w:r>
        <w:t xml:space="preserve"> </w:t>
      </w:r>
      <w:r>
        <w:t xml:space="preserve">“</w:t>
      </w:r>
      <w:r>
        <w:t xml:space="preserve">prior models have been too optimistic about the cacheability of production workloads,</w:t>
      </w:r>
      <w:r>
        <w:t xml:space="preserve">”</w:t>
      </w:r>
      <w:r>
        <w:t xml:space="preserve"> </w:t>
      </w:r>
      <w:r>
        <w:t xml:space="preserve">reporting that of four Meta workloads only Lookaside is Zipfian with α near 1, while SocialGraph shows α ≈ 0.55 and CDN α ≈ 0.7, and noting that lower α means a much larger share of requests goes to the tail [Berg et al., OSDI ’20].</w:t>
      </w:r>
    </w:p>
    <w:p>
      <w:pPr>
        <w:pStyle w:val="BodyText"/>
      </w:pPr>
      <w:r>
        <w:t xml:space="preserve">This thesis treats the disagreement as a first-class design input rather than a nuisance: it is precisely why the materialization decision must be</w:t>
      </w:r>
      <w:r>
        <w:t xml:space="preserve"> </w:t>
      </w:r>
      <w:r>
        <w:rPr>
          <w:iCs/>
          <w:i/>
        </w:rPr>
        <w:t xml:space="preserve">measured and adaptive</w:t>
      </w:r>
      <w:r>
        <w:t xml:space="preserve"> </w:t>
      </w:r>
      <w:r>
        <w:t xml:space="preserve">(C5) rather than assumed, why the phase diagram is the headline deliverable, and why S1’s protocol sweeps α down to 0.55 rather than stopping at 0.9.</w:t>
      </w:r>
    </w:p>
    <w:bookmarkEnd w:id="49"/>
    <w:bookmarkStart w:id="50" w:name="Xdc6c8754e98c9c2ab21e004aec03a77ccbf6332"/>
    <w:p>
      <w:pPr>
        <w:pStyle w:val="Heading2"/>
      </w:pPr>
      <w:r>
        <w:t xml:space="preserve">2.10 Caching Theory, View Selection, and Adaptive Structures</w:t>
      </w:r>
    </w:p>
    <w:p>
      <w:pPr>
        <w:pStyle w:val="FirstParagraph"/>
      </w:pPr>
      <w:r>
        <w:t xml:space="preserve">The decision</w:t>
      </w:r>
      <w:r>
        <w:t xml:space="preserve"> </w:t>
      </w:r>
      <w:r>
        <w:t xml:space="preserve">“</w:t>
      </w:r>
      <w:r>
        <w:t xml:space="preserve">materialize this or not</w:t>
      </w:r>
      <w:r>
        <w:t xml:space="preserve">”</w:t>
      </w:r>
      <w:r>
        <w:t xml:space="preserve"> </w:t>
      </w:r>
      <w:r>
        <w:t xml:space="preserve">has a mature theory in three literatures the thesis draws on.</w:t>
      </w:r>
    </w:p>
    <w:p>
      <w:pPr>
        <w:pStyle w:val="BodyText"/>
      </w:pPr>
      <w:r>
        <w:rPr>
          <w:bCs/>
          <w:b/>
        </w:rPr>
        <w:t xml:space="preserve">Competitive paging.</w:t>
      </w:r>
      <w:r>
        <w:t xml:space="preserve"> </w:t>
      </w:r>
      <w:r>
        <w:t xml:space="preserve">Sleator and Tarjan established the resource-augmented bound for online paging — LRU’s fault count is at most k/(k − h + 1) times the offline optimum’s with a smaller cache, and no deterministic online algorithm does better — with Belady’s MIN as the offline optimum [Sleator &amp; Tarjan, CACM 1985; Belady, IBM Syst. J. 1966]. Randomization helps by a logarithmic factor: the marking algorithm is 2H_k-competitive and no randomized algorithm beats H_k [Fiat et al., J. Algorithms 1991]. Crucially for this setting, the</w:t>
      </w:r>
      <w:r>
        <w:t xml:space="preserve"> </w:t>
      </w:r>
      <w:r>
        <w:rPr>
          <w:iCs/>
          <w:i/>
        </w:rPr>
        <w:t xml:space="preserve">weighted</w:t>
      </w:r>
      <w:r>
        <w:t xml:space="preserve"> </w:t>
      </w:r>
      <w:r>
        <w:t xml:space="preserve">generalization exists: in file caching, where objects have heterogeneous sizes and retrieval costs, Young’s Landlord algorithm attains the same k/(k − h + 1) form [Young, Algorithmica 2002], and heterogeneous retrieval cost is exactly what upqueries of differing depth impose.</w:t>
      </w:r>
    </w:p>
    <w:p>
      <w:pPr>
        <w:pStyle w:val="BodyText"/>
      </w:pPr>
      <w:r>
        <w:rPr>
          <w:bCs/>
          <w:b/>
        </w:rPr>
        <w:t xml:space="preserve">Rent-or-buy.</w:t>
      </w:r>
      <w:r>
        <w:t xml:space="preserve"> </w:t>
      </w:r>
      <w:r>
        <w:t xml:space="preserve">Whether to pay repeatedly (upquery on every miss) or once (materialize and maintain) is the ski-rental problem: the break-even strategy is 2-competitive, and randomization achieves a ratio approaching e/(e−1) ≈ 1.58, which is optimal [Karlin et al., Algorithmica 1994]. This is the skeleton of the per-key materialization decision in C5.</w:t>
      </w:r>
    </w:p>
    <w:p>
      <w:pPr>
        <w:pStyle w:val="BodyText"/>
      </w:pPr>
      <w:r>
        <w:rPr>
          <w:bCs/>
          <w:b/>
        </w:rPr>
        <w:t xml:space="preserve">Delayed hits.</w:t>
      </w:r>
      <w:r>
        <w:t xml:space="preserve"> </w:t>
      </w:r>
      <w:r>
        <w:t xml:space="preserve">The classical results assume a miss is resolved instantaneously. Upqueries are not. Atre et al. formalize the</w:t>
      </w:r>
      <w:r>
        <w:t xml:space="preserve"> </w:t>
      </w:r>
      <w:r>
        <w:rPr>
          <w:iCs/>
          <w:i/>
        </w:rPr>
        <w:t xml:space="preserve">delayed hit</w:t>
      </w:r>
      <w:r>
        <w:t xml:space="preserve">: requests arriving while a fetch is in flight are neither hits nor full misses, and the decisive parameter is Z, the ratio of fetch time to mean inter-arrival time. Under this objective,</w:t>
      </w:r>
      <w:r>
        <w:t xml:space="preserve"> </w:t>
      </w:r>
      <w:r>
        <w:t xml:space="preserve">“</w:t>
      </w:r>
      <w:r>
        <w:t xml:space="preserve">traditional caching strategies — even so called</w:t>
      </w:r>
      <w:r>
        <w:t xml:space="preserve"> </w:t>
      </w:r>
      <w:r>
        <w:t xml:space="preserve">‘</w:t>
      </w:r>
      <w:r>
        <w:t xml:space="preserve">optimal</w:t>
      </w:r>
      <w:r>
        <w:t xml:space="preserve">’</w:t>
      </w:r>
      <w:r>
        <w:t xml:space="preserve"> </w:t>
      </w:r>
      <w:r>
        <w:t xml:space="preserve">algorithms — can fail to minimize latency,</w:t>
      </w:r>
      <w:r>
        <w:t xml:space="preserve">”</w:t>
      </w:r>
      <w:r>
        <w:t xml:space="preserve"> </w:t>
      </w:r>
      <w:r>
        <w:t xml:space="preserve">and the authors demonstrate that Belady’s MIN is not latency-optimal [Atre et al., SIGCOMM ’20]. They also report a competitive lower bound of Ω(kZ) for deterministic online algorithms, attributed to parallel work — a result whose shape is directly relevant to this thesis’s frontier, and which is cited here as attributed rather than as their own.</w:t>
      </w:r>
    </w:p>
    <w:p>
      <w:pPr>
        <w:pStyle w:val="BodyText"/>
      </w:pPr>
      <w:r>
        <w:rPr>
          <w:bCs/>
          <w:b/>
        </w:rPr>
        <w:t xml:space="preserve">View and index selection.</w:t>
      </w:r>
      <w:r>
        <w:t xml:space="preserve"> </w:t>
      </w:r>
      <w:r>
        <w:t xml:space="preserve">Choosing which views to materialize under a space budget is NP-complete by reduction from set cover, and the greedy algorithm achieves benefit at least (1 − 1/e) of optimal — but</w:t>
      </w:r>
      <w:r>
        <w:t xml:space="preserve"> </w:t>
      </w:r>
      <w:r>
        <w:rPr>
          <w:iCs/>
          <w:i/>
        </w:rPr>
        <w:t xml:space="preserve">under a cost model in which</w:t>
      </w:r>
      <w:r>
        <w:rPr>
          <w:iCs/>
          <w:i/>
        </w:rPr>
        <w:t xml:space="preserve"> </w:t>
      </w:r>
      <w:r>
        <w:rPr>
          <w:iCs/>
          <w:i/>
        </w:rPr>
        <w:t xml:space="preserve">“</w:t>
      </w:r>
      <w:r>
        <w:rPr>
          <w:iCs/>
          <w:i/>
        </w:rPr>
        <w:t xml:space="preserve">the cost of answering Q is the number of rows present in the table for that query</w:t>
      </w:r>
      <w:r>
        <w:rPr>
          <w:iCs/>
          <w:i/>
        </w:rPr>
        <w:t xml:space="preserve">”</w:t>
      </w:r>
      <w:r>
        <w:t xml:space="preserve"> </w:t>
      </w:r>
      <w:r>
        <w:t xml:space="preserve">[Harinarayan, Rajaraman &amp; Ullman, SIGMOD ’96]. That linear cost assumption is exactly what partial materialization violates, since the cost of answering from a partially materialized view depends on the miss rate and the reconstruction depth, not on the view’s size. The violation is a contribution hook, not an oversight: C5 must either restore a submodular structure or give up the greedy guarantee explicitly. Index selection is likewise hard [Comer, TODS 1978], and the practical lineage runs through AutoAdmin’s cost-based enumeration with what-if indexes and its Greedy(m,k) search [Chaudhuri &amp; Narasayya, VLDB ’97] to the self-driving DBMS agenda [Pavlo et al., CIDR ’17].</w:t>
      </w:r>
    </w:p>
    <w:p>
      <w:pPr>
        <w:pStyle w:val="BodyText"/>
      </w:pPr>
      <w:r>
        <w:rPr>
          <w:bCs/>
          <w:b/>
        </w:rPr>
        <w:t xml:space="preserve">Adaptive structures.</w:t>
      </w:r>
      <w:r>
        <w:t xml:space="preserve"> </w:t>
      </w:r>
      <w:r>
        <w:t xml:space="preserve">Database cracking states the thesis’s own principle for physical layout:</w:t>
      </w:r>
      <w:r>
        <w:t xml:space="preserve"> </w:t>
      </w:r>
      <w:r>
        <w:t xml:space="preserve">“</w:t>
      </w:r>
      <w:r>
        <w:t xml:space="preserve">Each query is interpreted not only as a request for a particular result set, but also as an advice to crack the physical database store into smaller pieces</w:t>
      </w:r>
      <w:r>
        <w:t xml:space="preserve">”</w:t>
      </w:r>
      <w:r>
        <w:t xml:space="preserve"> </w:t>
      </w:r>
      <w:r>
        <w:t xml:space="preserve">[Idreos, Kersten &amp; Manegold, CIDR ’07]. Adaptive merging refines it, and the comparison is instructive: Graefe and Kuno report that merging is</w:t>
      </w:r>
      <w:r>
        <w:t xml:space="preserve"> </w:t>
      </w:r>
      <w:r>
        <w:t xml:space="preserve">“</w:t>
      </w:r>
      <w:r>
        <w:t xml:space="preserve">practically complete after about 40 queries</w:t>
      </w:r>
      <w:r>
        <w:t xml:space="preserve">”</w:t>
      </w:r>
      <w:r>
        <w:t xml:space="preserve"> </w:t>
      </w:r>
      <w:r>
        <w:t xml:space="preserve">where cracking needs on the order of 5,000, because of the difference between a fan-out of two or three and a merge fan-in in the hundreds [EDBT ’10].</w:t>
      </w:r>
      <w:r>
        <w:t xml:space="preserve"> </w:t>
      </w:r>
      <w:r>
        <w:rPr>
          <w:iCs/>
          <w:i/>
        </w:rPr>
        <w:t xml:space="preserve">How</w:t>
      </w:r>
      <w:r>
        <w:t xml:space="preserve"> </w:t>
      </w:r>
      <w:r>
        <w:t xml:space="preserve">demand-driven filling is done can move the break-even by orders of magnitude — a caution the optimizer design takes seriously. What none of these systems has is a consistency dimension: cracking reorganizes physical storage, not derived views, and asks no questions about visibility.</w:t>
      </w:r>
    </w:p>
    <w:bookmarkEnd w:id="50"/>
    <w:bookmarkStart w:id="51" w:name="X94b517fdc7941dee13559c398ad3bb333325f0a"/>
    <w:p>
      <w:pPr>
        <w:pStyle w:val="Heading2"/>
      </w:pPr>
      <w:r>
        <w:t xml:space="preserve">2.11 Coordination Avoidance and Contended Records</w:t>
      </w:r>
    </w:p>
    <w:p>
      <w:pPr>
        <w:pStyle w:val="FirstParagraph"/>
      </w:pPr>
      <w:r>
        <w:t xml:space="preserve">Two independent literatures agree on where coordination becomes unavoidable, and their agreement is the backbone of this thesis’s frontier.</w:t>
      </w:r>
    </w:p>
    <w:p>
      <w:pPr>
        <w:pStyle w:val="BodyText"/>
      </w:pPr>
      <w:r>
        <w:rPr>
          <w:bCs/>
          <w:b/>
        </w:rPr>
        <w:t xml:space="preserve">Invariant confluence.</w:t>
      </w:r>
      <w:r>
        <w:t xml:space="preserve"> </w:t>
      </w:r>
      <w:r>
        <w:t xml:space="preserve">Bailis et al. define I-confluence — a set of transactions is I-confluent with respect to an invariant if, for all reachable states with a common ancestor, their merge is valid — and prove it necessary and sufficient for invariant-preserving coordination-free execution [PVLDB 2015]. Their catalogue is directly applicable: attribute equality and inequality are I-confluent under any operation; materialized-view update and secondary indexing are I-confluent; a</w:t>
      </w:r>
      <w:r>
        <w:t xml:space="preserve"> </w:t>
      </w:r>
      <w:r>
        <w:rPr>
          <w:rStyle w:val="VerbatimChar"/>
        </w:rPr>
        <w:t xml:space="preserve">&gt;</w:t>
      </w:r>
      <w:r>
        <w:t xml:space="preserve"> </w:t>
      </w:r>
      <w:r>
        <w:t xml:space="preserve">threshold with</w:t>
      </w:r>
      <w:r>
        <w:t xml:space="preserve"> </w:t>
      </w:r>
      <w:r>
        <w:rPr>
          <w:iCs/>
          <w:i/>
        </w:rPr>
        <w:t xml:space="preserve">decrement</w:t>
      </w:r>
      <w:r>
        <w:t xml:space="preserve"> </w:t>
      </w:r>
      <w:r>
        <w:t xml:space="preserve">is</w:t>
      </w:r>
      <w:r>
        <w:t xml:space="preserve"> </w:t>
      </w:r>
      <w:r>
        <w:rPr>
          <w:bCs/>
          <w:b/>
        </w:rPr>
        <w:t xml:space="preserve">not</w:t>
      </w:r>
      <w:r>
        <w:t xml:space="preserve">. In this thesis’s terms:</w:t>
      </w:r>
      <w:r>
        <w:t xml:space="preserve"> </w:t>
      </w:r>
      <w:r>
        <w:rPr>
          <w:bCs/>
          <w:b/>
        </w:rPr>
        <w:t xml:space="preserve">conservation of value is a sum-equality invariant and is coordination-free, while</w:t>
      </w:r>
      <w:r>
        <w:rPr>
          <w:bCs/>
          <w:b/>
        </w:rPr>
        <w:t xml:space="preserve"> </w:t>
      </w:r>
      <w:r>
        <w:rPr>
          <w:bCs/>
          <w:b/>
        </w:rPr>
        <w:t xml:space="preserve">“</w:t>
      </w:r>
      <w:r>
        <w:rPr>
          <w:bCs/>
          <w:b/>
        </w:rPr>
        <w:t xml:space="preserve">balance must not go below zero</w:t>
      </w:r>
      <w:r>
        <w:rPr>
          <w:bCs/>
          <w:b/>
        </w:rPr>
        <w:t xml:space="preserve">”</w:t>
      </w:r>
      <w:r>
        <w:rPr>
          <w:bCs/>
          <w:b/>
        </w:rPr>
        <w:t xml:space="preserve"> </w:t>
      </w:r>
      <w:r>
        <w:rPr>
          <w:bCs/>
          <w:b/>
        </w:rPr>
        <w:t xml:space="preserve">is provably not.</w:t>
      </w:r>
      <w:r>
        <w:t xml:space="preserve"> </w:t>
      </w:r>
      <w:r>
        <w:t xml:space="preserve">Contribution 1’s corollary is defensible partly</w:t>
      </w:r>
      <w:r>
        <w:t xml:space="preserve"> </w:t>
      </w:r>
      <w:r>
        <w:rPr>
          <w:iCs/>
          <w:i/>
        </w:rPr>
        <w:t xml:space="preserve">because</w:t>
      </w:r>
      <w:r>
        <w:t xml:space="preserve"> </w:t>
      </w:r>
      <w:r>
        <w:t xml:space="preserve">conservation is I-confluent; Contribution 4’s no-unauthorized-overdraft guarantee necessarily costs coordination, and Bailis is the citation that forbids wishing that away.</w:t>
      </w:r>
    </w:p>
    <w:p>
      <w:pPr>
        <w:pStyle w:val="BodyText"/>
      </w:pPr>
      <w:r>
        <w:rPr>
          <w:bCs/>
          <w:b/>
        </w:rPr>
        <w:t xml:space="preserve">Contended-record techniques.</w:t>
      </w:r>
      <w:r>
        <w:t xml:space="preserve"> </w:t>
      </w:r>
      <w:r>
        <w:t xml:space="preserve">O’Neil’s escrow method maintains, per field, the lowest and highest values the field could take given which in-flight transactions commit or abort, and admits an increment or decrement without a lock exactly when the operation cannot violate any outstanding condition regardless of the outcome of concurrent transactions [O’Neil, TODS 1986]. Barbará and Garcia-Molina’s demarcation protocol generalizes this to distributed sites by granting each a safe local range —</w:t>
      </w:r>
      <w:r>
        <w:t xml:space="preserve"> </w:t>
      </w:r>
      <w:r>
        <w:t xml:space="preserve">“</w:t>
      </w:r>
      <w:r>
        <w:t xml:space="preserve">lines drawn in the sand</w:t>
      </w:r>
      <w:r>
        <w:t xml:space="preserve">”</w:t>
      </w:r>
      <w:r>
        <w:t xml:space="preserve"> </w:t>
      </w:r>
      <w:r>
        <w:t xml:space="preserve">— adjustable by bilateral exchange [VLDB J. 1994]. Doppel’s phase reconciliation splits contended records into per-core slices during a split phase and reconciles them, under four stated conditions, of which two matter here: splittable operations must commute with themselves, and must return nothing — so a</w:t>
      </w:r>
      <w:r>
        <w:t xml:space="preserve"> </w:t>
      </w:r>
      <w:r>
        <w:rPr>
          <w:iCs/>
          <w:i/>
        </w:rPr>
        <w:t xml:space="preserve">read</w:t>
      </w:r>
      <w:r>
        <w:t xml:space="preserve"> </w:t>
      </w:r>
      <w:r>
        <w:t xml:space="preserve">of a split record forces a return to the joined phase [Narula et al., OSDI ’14]. Firestore’s sharded counters make the same trade in the simplest possible form: writes scale linearly with shards, reads become O(shards), and no aggregate threshold can be enforced.</w:t>
      </w:r>
    </w:p>
    <w:p>
      <w:pPr>
        <w:pStyle w:val="BodyText"/>
      </w:pPr>
      <w:r>
        <w:t xml:space="preserve">Three literatures, one boundary: blind conservation-preserving addition is cheap and splittable; a threshold on the aggregate is not. TigerBeetle’s pending transfers are escrow made concrete as immutable ledger records, and its</w:t>
      </w:r>
      <w:r>
        <w:t xml:space="preserve"> </w:t>
      </w:r>
      <w:r>
        <w:rPr>
          <w:rStyle w:val="VerbatimChar"/>
        </w:rPr>
        <w:t xml:space="preserve">credits_must_not_exceed_debits</w:t>
      </w:r>
      <w:r>
        <w:t xml:space="preserve"> </w:t>
      </w:r>
      <w:r>
        <w:t xml:space="preserve">flag is the non-I-confluent constraint given a first-class home. Section 3.19 builds on exactly this.</w:t>
      </w:r>
    </w:p>
    <w:bookmarkEnd w:id="51"/>
    <w:bookmarkStart w:id="52" w:name="provenance-and-lineage"/>
    <w:p>
      <w:pPr>
        <w:pStyle w:val="Heading2"/>
      </w:pPr>
      <w:r>
        <w:t xml:space="preserve">2.12 Provenance and Lineage</w:t>
      </w:r>
    </w:p>
    <w:p>
      <w:pPr>
        <w:pStyle w:val="FirstParagraph"/>
      </w:pPr>
      <w:r>
        <w:t xml:space="preserve">Full traceability of operations, changes and states is a requirement of the system and has an established formal home. Semiring provenance annotates tuples with elements of a commutative semiring, with positive relational algebra mapping union and projection to</w:t>
      </w:r>
      <w:r>
        <w:t xml:space="preserve"> </w:t>
      </w:r>
      <w:r>
        <w:rPr>
          <w:rStyle w:val="VerbatimChar"/>
        </w:rPr>
        <w:t xml:space="preserve">+</w:t>
      </w:r>
      <w:r>
        <w:t xml:space="preserve"> </w:t>
      </w:r>
      <w:r>
        <w:t xml:space="preserve">and join to</w:t>
      </w:r>
      <w:r>
        <w:t xml:space="preserve"> </w:t>
      </w:r>
      <w:r>
        <w:rPr>
          <w:rStyle w:val="VerbatimChar"/>
        </w:rPr>
        <w:t xml:space="preserve">·</w:t>
      </w:r>
      <w:r>
        <w:t xml:space="preserve">. Its central factorization theorem states that for any positive query and</w:t>
      </w:r>
      <w:r>
        <w:t xml:space="preserve"> </w:t>
      </w:r>
      <w:r>
        <w:rPr>
          <w:iCs/>
          <w:i/>
        </w:rPr>
        <w:t xml:space="preserve">any</w:t>
      </w:r>
      <w:r>
        <w:t xml:space="preserve"> </w:t>
      </w:r>
      <w:r>
        <w:t xml:space="preserve">commutative semiring, the semantics factors through polynomial provenance — so ℕ[X], polynomials over tuple identifiers, is the most general provenance, and every other semantics (set, bag, probabilistic, incomplete-database) is recovered by a semiring homomorphism [Green, Karvounarakis &amp; Tannen, PODS ’07]. Why-, how-, and where-provenance are distinguished in the standard survey [Cheney, Chiticariu &amp; Tan, 2009].</w:t>
      </w:r>
    </w:p>
    <w:p>
      <w:pPr>
        <w:pStyle w:val="BodyText"/>
      </w:pPr>
      <w:r>
        <w:t xml:space="preserve">Two results are directly load-bearing. First, Z-sets are the (ℤ, +, ·) case, so the thesis’s algebra is already a semiring image, and provenance-preservation under reconstruction can be obtained as a corollary of the factorization theorem rather than proved from scratch. Second — and this is prior art the thesis must engage rather than rediscover — ORCHESTRA used semiring provenance</w:t>
      </w:r>
      <w:r>
        <w:t xml:space="preserve"> </w:t>
      </w:r>
      <w:r>
        <w:rPr>
          <w:iCs/>
          <w:i/>
        </w:rPr>
        <w:t xml:space="preserve">specifically</w:t>
      </w:r>
      <w:r>
        <w:t xml:space="preserve"> </w:t>
      </w:r>
      <w:r>
        <w:t xml:space="preserve">to maintain derived state incrementally, choosing its provenance formalism for exactly that property, and reported that its provenance-guided deletion algorithm</w:t>
      </w:r>
      <w:r>
        <w:t xml:space="preserve"> </w:t>
      </w:r>
      <w:r>
        <w:t xml:space="preserve">“</w:t>
      </w:r>
      <w:r>
        <w:t xml:space="preserve">is faster than a full recomputation even when deleting up to approximately 80% of the instance</w:t>
      </w:r>
      <w:r>
        <w:t xml:space="preserve">”</w:t>
      </w:r>
      <w:r>
        <w:t xml:space="preserve"> </w:t>
      </w:r>
      <w:r>
        <w:t xml:space="preserve">[Green, Karvounarakis, Ives &amp; Tannen, VLDB ’07]. That is a break-even claim of the same</w:t>
      </w:r>
      <w:r>
        <w:t xml:space="preserve"> </w:t>
      </w:r>
      <w:r>
        <w:rPr>
          <w:iCs/>
          <w:i/>
        </w:rPr>
        <w:t xml:space="preserve">kind</w:t>
      </w:r>
      <w:r>
        <w:t xml:space="preserve"> </w:t>
      </w:r>
      <w:r>
        <w:t xml:space="preserve">as this thesis’s frontier, published in 2007, and Section 4.3 positions against it explicitly.</w:t>
      </w:r>
    </w:p>
    <w:p>
      <w:pPr>
        <w:pStyle w:val="BodyText"/>
      </w:pPr>
      <w:r>
        <w:t xml:space="preserve">For streaming and dataflow specifically, Ariadne instruments operators to annotate tuples with provenance during processing, supporting eager and lazy (replay-based) generation with compression [Glavic et al., DEBS ’13], and Titian provides interactive-speed lineage for Spark at typically under 30% overhead [Interlandi et al., PVLDB 2015]. The overhead figure is the order-of-magnitude reference for S9.</w:t>
      </w:r>
    </w:p>
    <w:bookmarkEnd w:id="52"/>
    <w:bookmarkStart w:id="53" w:name="Xf6424711c3c17ce474971d6d8d924e0c5fbe580"/>
    <w:p>
      <w:pPr>
        <w:pStyle w:val="Heading2"/>
      </w:pPr>
      <w:r>
        <w:t xml:space="preserve">2.13 Tamper Evidence and Verifiable Structures</w:t>
      </w:r>
    </w:p>
    <w:p>
      <w:pPr>
        <w:pStyle w:val="FirstParagraph"/>
      </w:pPr>
      <w:r>
        <w:t xml:space="preserve">Hash chaining and Merkle trees provide</w:t>
      </w:r>
      <w:r>
        <w:t xml:space="preserve"> </w:t>
      </w:r>
      <w:r>
        <w:rPr>
          <w:iCs/>
          <w:i/>
        </w:rPr>
        <w:t xml:space="preserve">evidence</w:t>
      </w:r>
      <w:r>
        <w:t xml:space="preserve">, and the literature says so in terms the thesis adopts verbatim. RFC 6962 describes the append-only property as achieved through Merkle trees that</w:t>
      </w:r>
      <w:r>
        <w:t xml:space="preserve"> </w:t>
      </w:r>
      <w:r>
        <w:t xml:space="preserve">“</w:t>
      </w:r>
      <w:r>
        <w:t xml:space="preserve">can be used to show that any particular version of the log is a superset of any particular previous version,</w:t>
      </w:r>
      <w:r>
        <w:t xml:space="preserve">”</w:t>
      </w:r>
      <w:r>
        <w:t xml:space="preserve"> </w:t>
      </w:r>
      <w:r>
        <w:t xml:space="preserve">split-view attempts as detectable</w:t>
      </w:r>
      <w:r>
        <w:t xml:space="preserve"> </w:t>
      </w:r>
      <w:r>
        <w:t xml:space="preserve">“</w:t>
      </w:r>
      <w:r>
        <w:t xml:space="preserve">by comparing tree roots and consistency proofs,</w:t>
      </w:r>
      <w:r>
        <w:t xml:space="preserve">”</w:t>
      </w:r>
      <w:r>
        <w:t xml:space="preserve"> </w:t>
      </w:r>
      <w:r>
        <w:t xml:space="preserve">and states outright that</w:t>
      </w:r>
      <w:r>
        <w:t xml:space="preserve"> </w:t>
      </w:r>
      <w:r>
        <w:t xml:space="preserve">“</w:t>
      </w:r>
      <w:r>
        <w:t xml:space="preserve">the logs do not themselves prevent misissue, but they ensure that interested parties … can detect such misissuance.</w:t>
      </w:r>
      <w:r>
        <w:t xml:space="preserve">”</w:t>
      </w:r>
      <w:r>
        <w:t xml:space="preserve"> </w:t>
      </w:r>
      <w:r>
        <w:t xml:space="preserve">QLDB’s journal is hash-chained into blocks with digests described as</w:t>
      </w:r>
      <w:r>
        <w:t xml:space="preserve"> </w:t>
      </w:r>
      <w:r>
        <w:t xml:space="preserve">“</w:t>
      </w:r>
      <w:r>
        <w:t xml:space="preserve">a unique signature of your data’s entire change history as of a point in time,</w:t>
      </w:r>
      <w:r>
        <w:t xml:space="preserve">”</w:t>
      </w:r>
      <w:r>
        <w:t xml:space="preserve"> </w:t>
      </w:r>
      <w:r>
        <w:t xml:space="preserve">and O(log n) verification — with the scope stated precisely: what is proved is that a revision was not altered</w:t>
      </w:r>
      <w:r>
        <w:t xml:space="preserve"> </w:t>
      </w:r>
      <w:r>
        <w:rPr>
          <w:iCs/>
          <w:i/>
        </w:rPr>
        <w:t xml:space="preserve">between the time a digest was saved and the time verification runs</w:t>
      </w:r>
      <w:r>
        <w:t xml:space="preserve">.</w:t>
      </w:r>
    </w:p>
    <w:p>
      <w:pPr>
        <w:pStyle w:val="BodyText"/>
      </w:pPr>
      <w:r>
        <w:t xml:space="preserve">Trillian’s</w:t>
      </w:r>
      <w:r>
        <w:t xml:space="preserve"> </w:t>
      </w:r>
      <w:r>
        <w:rPr>
          <w:iCs/>
          <w:i/>
        </w:rPr>
        <w:t xml:space="preserve">log-backed map</w:t>
      </w:r>
      <w:r>
        <w:t xml:space="preserve"> </w:t>
      </w:r>
      <w:r>
        <w:t xml:space="preserve">is the structural precedent for the whole architecture:</w:t>
      </w:r>
      <w:r>
        <w:t xml:space="preserve"> </w:t>
      </w:r>
      <w:r>
        <w:t xml:space="preserve">“</w:t>
      </w:r>
      <w:r>
        <w:t xml:space="preserve">Any changes to the verifiable map are entered into a verifiable log, and only when present in the log are they applied to the verifiable map.</w:t>
      </w:r>
      <w:r>
        <w:t xml:space="preserve">”</w:t>
      </w:r>
      <w:r>
        <w:t xml:space="preserve"> </w:t>
      </w:r>
      <w:r>
        <w:t xml:space="preserve">Citing it strengthens rather than weakens the thesis’s position, since the novelty claimed is the partial-materialization layer above that pattern, not the pattern. Finally, LambdaAuth shows that authenticated data structures can be made a</w:t>
      </w:r>
      <w:r>
        <w:t xml:space="preserve"> </w:t>
      </w:r>
      <w:r>
        <w:rPr>
          <w:iCs/>
          <w:i/>
        </w:rPr>
        <w:t xml:space="preserve">type-system</w:t>
      </w:r>
      <w:r>
        <w:t xml:space="preserve"> </w:t>
      </w:r>
      <w:r>
        <w:t xml:space="preserve">property — all well-typed programs compile to operations secure under collision resistance [Miller, Hicks, Katz &amp; Shi, POPL ’14] — which is the closest precedent for Contribution 4’s move of making auditability statically checkable.</w:t>
      </w:r>
    </w:p>
    <w:bookmarkEnd w:id="53"/>
    <w:bookmarkStart w:id="54" w:name="Xe9dca9227b7f07f7154f9bdec58900474adedf7"/>
    <w:p>
      <w:pPr>
        <w:pStyle w:val="Heading2"/>
      </w:pPr>
      <w:r>
        <w:t xml:space="preserve">2.14 HTAP, Multi-Model, and the One-Size-Fits-All Debate</w:t>
      </w:r>
    </w:p>
    <w:p>
      <w:pPr>
        <w:pStyle w:val="FirstParagraph"/>
      </w:pPr>
      <w:r>
        <w:t xml:space="preserve">A general-purpose DBMS today is expected to serve transactional and analytical work together and to accommodate document, graph, time-series and search access patterns. The relevant history is a dialectic. Stonebraker and Çetintemel argued in 2005 that the one-size-fits-all RDBMS was obsolete and specialized engines would win [ICDE ’05]. Kemper and Neumann answered with HyPer and a paper titled</w:t>
      </w:r>
      <w:r>
        <w:t xml:space="preserve"> </w:t>
      </w:r>
      <w:r>
        <w:t xml:space="preserve">“</w:t>
      </w:r>
      <w:r>
        <w:t xml:space="preserve">One Size Fits all, Again!</w:t>
      </w:r>
      <w:r>
        <w:t xml:space="preserve">”</w:t>
      </w:r>
      <w:r>
        <w:t xml:space="preserve">, arguing that main-memory hardware invalidated the premise, using</w:t>
      </w:r>
      <w:r>
        <w:t xml:space="preserve"> </w:t>
      </w:r>
      <w:r>
        <w:rPr>
          <w:rStyle w:val="VerbatimChar"/>
        </w:rPr>
        <w:t xml:space="preserve">fork</w:t>
      </w:r>
      <w:r>
        <w:t xml:space="preserve">-based virtual-memory snapshots so that OLAP sessions run on a consistent snapshot while OLTP proceeds [BIRTE 2010; ICDE ’11]. The HTAP literature is the empirical continuation, and a recent survey organizes it by four storage architectures: primary row store with in-memory column store; distributed row store with column-store replica; primary row store with distributed in-memory column store; and primary column store with delta row store [Zhang et al., TKDE 2024].</w:t>
      </w:r>
    </w:p>
    <w:p>
      <w:pPr>
        <w:pStyle w:val="BodyText"/>
      </w:pPr>
      <w:r>
        <w:t xml:space="preserve">The systems instantiate these differently. SAP HANA holds that</w:t>
      </w:r>
      <w:r>
        <w:t xml:space="preserve"> </w:t>
      </w:r>
      <w:r>
        <w:t xml:space="preserve">“</w:t>
      </w:r>
      <w:r>
        <w:t xml:space="preserve">it is no longer reasonable to continue the classical distinction between transactional and analytical access patterns,</w:t>
      </w:r>
      <w:r>
        <w:t xml:space="preserve">”</w:t>
      </w:r>
      <w:r>
        <w:t xml:space="preserve"> </w:t>
      </w:r>
      <w:r>
        <w:t xml:space="preserve">combining row and column tables in one SQL statement. TiDB replicates from a row store (TiKV) to a columnar store (TiFlash) through a novel Raft</w:t>
      </w:r>
      <w:r>
        <w:t xml:space="preserve"> </w:t>
      </w:r>
      <w:r>
        <w:rPr>
          <w:iCs/>
          <w:i/>
        </w:rPr>
        <w:t xml:space="preserve">learner</w:t>
      </w:r>
      <w:r>
        <w:t xml:space="preserve"> </w:t>
      </w:r>
      <w:r>
        <w:t xml:space="preserve">role that neither votes nor counts toward quorum, with consistency enforced at read time [Huang et al., PVLDB 2020]. SingleStore’s Universal Storage</w:t>
      </w:r>
      <w:r>
        <w:t xml:space="preserve"> </w:t>
      </w:r>
      <w:r>
        <w:t xml:space="preserve">“</w:t>
      </w:r>
      <w:r>
        <w:t xml:space="preserve">internally makes use of both rowstore and columnstore formats, but end users need not be aware of this,</w:t>
      </w:r>
      <w:r>
        <w:t xml:space="preserve">”</w:t>
      </w:r>
      <w:r>
        <w:t xml:space="preserve"> </w:t>
      </w:r>
      <w:r>
        <w:t xml:space="preserve">with an in-memory skiplist rowstore for recent writes over an LSM columnstore. Oracle Database In-Memory keeps the same table in both formats transactionally consistently, arguing the column store pays for itself by replacing analytic indexes. F1 Lightning takes the opposite architectural stance —</w:t>
      </w:r>
      <w:r>
        <w:t xml:space="preserve"> </w:t>
      </w:r>
      <w:r>
        <w:t xml:space="preserve">“</w:t>
      </w:r>
      <w:r>
        <w:t xml:space="preserve">HTAP as a service,</w:t>
      </w:r>
      <w:r>
        <w:t xml:space="preserve">”</w:t>
      </w:r>
      <w:r>
        <w:t xml:space="preserve"> </w:t>
      </w:r>
      <w:r>
        <w:t xml:space="preserve">deliberately not co-designed with the transactional engine.</w:t>
      </w:r>
    </w:p>
    <w:p>
      <w:pPr>
        <w:pStyle w:val="BodyText"/>
      </w:pPr>
      <w:r>
        <w:t xml:space="preserve">For multi-model, the survey position is Lu and Holubová’s [ACM CSUR 2019]; the concrete precedents this thesis reuses are PostgreSQL’s</w:t>
      </w:r>
      <w:r>
        <w:t xml:space="preserve"> </w:t>
      </w:r>
      <w:r>
        <w:rPr>
          <w:rStyle w:val="VerbatimChar"/>
        </w:rPr>
        <w:t xml:space="preserve">jsonb</w:t>
      </w:r>
      <w:r>
        <w:t xml:space="preserve"> </w:t>
      </w:r>
      <w:r>
        <w:t xml:space="preserve">(a decomposed binary representation that is</w:t>
      </w:r>
      <w:r>
        <w:t xml:space="preserve"> </w:t>
      </w:r>
      <w:r>
        <w:t xml:space="preserve">“</w:t>
      </w:r>
      <w:r>
        <w:t xml:space="preserve">significantly faster to process, since no reparsing is needed</w:t>
      </w:r>
      <w:r>
        <w:t xml:space="preserve">”</w:t>
      </w:r>
      <w:r>
        <w:t xml:space="preserve"> </w:t>
      </w:r>
      <w:r>
        <w:t xml:space="preserve">and supports indexing), Azure DocumentDB’s schema-agnostic indexing that treats documents as trees of paths, Gorilla’s time-series compression (delta-of-delta timestamps where</w:t>
      </w:r>
      <w:r>
        <w:t xml:space="preserve"> </w:t>
      </w:r>
      <w:r>
        <w:t xml:space="preserve">“</w:t>
      </w:r>
      <w:r>
        <w:t xml:space="preserve">96% of all time stamps can be compressed to a single bit,</w:t>
      </w:r>
      <w:r>
        <w:t xml:space="preserve">”</w:t>
      </w:r>
      <w:r>
        <w:t xml:space="preserve"> </w:t>
      </w:r>
      <w:r>
        <w:t xml:space="preserve">XOR’d values where 51% compress to a single bit, 1.37 bytes per point overall) [Pelkonen et al., PVLDB 2015], and Lucene’s immutable segments with tombstones and tiered merging.</w:t>
      </w:r>
    </w:p>
    <w:p>
      <w:pPr>
        <w:pStyle w:val="BodyText"/>
      </w:pPr>
      <w:r>
        <w:t xml:space="preserve">This thesis’s position within the dialectic is stated in Section 6.5: the</w:t>
      </w:r>
      <w:r>
        <w:t xml:space="preserve"> </w:t>
      </w:r>
      <w:r>
        <w:rPr>
          <w:iCs/>
          <w:i/>
        </w:rPr>
        <w:t xml:space="preserve">storage</w:t>
      </w:r>
      <w:r>
        <w:t xml:space="preserve"> </w:t>
      </w:r>
      <w:r>
        <w:t xml:space="preserve">debate is orthogonal to its claims — Nilestream’s derived read models can be row-shaped, column-shaped, inverted, or time-partitioned as the optimizer chooses, because they are all REVs over the same base. What HTAP systems achieve by dual formats over a mutable table, Nilestream achieves by multiple derived views over an immutable base, which is the same idea with a stronger correctness story and a partial-materialization dimension the HTAP literature does not have.</w:t>
      </w:r>
    </w:p>
    <w:bookmarkEnd w:id="54"/>
    <w:bookmarkStart w:id="55" w:name="Xc75fa2fa8931b65356ef3297d5b47958b506568"/>
    <w:p>
      <w:pPr>
        <w:pStyle w:val="Heading2"/>
      </w:pPr>
      <w:r>
        <w:t xml:space="preserve">2.15 The Regulatory Frame: Retention, Aggregation, Value Dates, Erasure</w:t>
      </w:r>
    </w:p>
    <w:p>
      <w:pPr>
        <w:pStyle w:val="FirstParagraph"/>
      </w:pPr>
      <w:r>
        <w:t xml:space="preserve">Four regulatory facts shape requirements, and each is stated here in its own terms because the thesis’s design claims lean on them.</w:t>
      </w:r>
    </w:p>
    <w:p>
      <w:pPr>
        <w:pStyle w:val="BodyText"/>
      </w:pPr>
      <w:r>
        <w:rPr>
          <w:bCs/>
          <w:b/>
        </w:rPr>
        <w:t xml:space="preserve">Retention with an audit-trail alternative.</w:t>
      </w:r>
      <w:r>
        <w:t xml:space="preserve"> </w:t>
      </w:r>
      <w:r>
        <w:t xml:space="preserve">SEC Rule 17a-4 requires preservation of specified records for not less than six years (the first two</w:t>
      </w:r>
      <w:r>
        <w:t xml:space="preserve"> </w:t>
      </w:r>
      <w:r>
        <w:t xml:space="preserve">“</w:t>
      </w:r>
      <w:r>
        <w:t xml:space="preserve">in an easily accessible place</w:t>
      </w:r>
      <w:r>
        <w:t xml:space="preserve">”</w:t>
      </w:r>
      <w:r>
        <w:t xml:space="preserve">) and others for three, and — since amendments adopted 12 October 2022, effective 3 January 2023 — offers two ways to satisfy the electronic-records condition: preserve records</w:t>
      </w:r>
      <w:r>
        <w:t xml:space="preserve"> </w:t>
      </w:r>
      <w:r>
        <w:t xml:space="preserve">“</w:t>
      </w:r>
      <w:r>
        <w:t xml:space="preserve">exclusively in a non-rewriteable, non-erasable format</w:t>
      </w:r>
      <w:r>
        <w:t xml:space="preserve">”</w:t>
      </w:r>
      <w:r>
        <w:t xml:space="preserve"> </w:t>
      </w:r>
      <w:r>
        <w:t xml:space="preserve">(WORM),</w:t>
      </w:r>
      <w:r>
        <w:t xml:space="preserve"> </w:t>
      </w:r>
      <w:r>
        <w:rPr>
          <w:iCs/>
          <w:i/>
        </w:rPr>
        <w:t xml:space="preserve">or</w:t>
      </w:r>
      <w:r>
        <w:t xml:space="preserve"> </w:t>
      </w:r>
      <w:r>
        <w:t xml:space="preserve">“</w:t>
      </w:r>
      <w:r>
        <w:t xml:space="preserve">preserve a record … in a manner that maintains a complete time-stamped audit trail,</w:t>
      </w:r>
      <w:r>
        <w:t xml:space="preserve">”</w:t>
      </w:r>
      <w:r>
        <w:t xml:space="preserve"> </w:t>
      </w:r>
      <w:r>
        <w:t xml:space="preserve">including all modifications and deletions, the time of each action, the identity of the actor where applicable, and enough information to</w:t>
      </w:r>
      <w:r>
        <w:t xml:space="preserve"> </w:t>
      </w:r>
      <w:r>
        <w:t xml:space="preserve">“</w:t>
      </w:r>
      <w:r>
        <w:t xml:space="preserve">permit the recreation of an original record if it is modified or deleted.</w:t>
      </w:r>
      <w:r>
        <w:t xml:space="preserve">”</w:t>
      </w:r>
      <w:r>
        <w:t xml:space="preserve"> </w:t>
      </w:r>
      <w:r>
        <w:t xml:space="preserve">That second alternative is, in regulatory language, precisely this thesis’s architecture: a complete, attributed, time-stamped change log sufficient to reconstruct any prior state.</w:t>
      </w:r>
    </w:p>
    <w:p>
      <w:pPr>
        <w:pStyle w:val="BodyText"/>
      </w:pPr>
      <w:r>
        <w:rPr>
          <w:bCs/>
          <w:b/>
        </w:rPr>
        <w:t xml:space="preserve">Aggregation.</w:t>
      </w:r>
      <w:r>
        <w:t xml:space="preserve"> </w:t>
      </w:r>
      <w:r>
        <w:t xml:space="preserve">BCBS 239’s fourteen principles include the four that constrain a read-model architecture directly: accuracy and integrity (aggregation</w:t>
      </w:r>
      <w:r>
        <w:t xml:space="preserve"> </w:t>
      </w:r>
      <w:r>
        <w:t xml:space="preserve">“</w:t>
      </w:r>
      <w:r>
        <w:t xml:space="preserve">on a largely automated basis so as to minimise the probability of errors</w:t>
      </w:r>
      <w:r>
        <w:t xml:space="preserve">”</w:t>
      </w:r>
      <w:r>
        <w:t xml:space="preserve">), completeness (data available</w:t>
      </w:r>
      <w:r>
        <w:t xml:space="preserve"> </w:t>
      </w:r>
      <w:r>
        <w:t xml:space="preserve">“</w:t>
      </w:r>
      <w:r>
        <w:t xml:space="preserve">by business line, legal entity, asset type, industry, region and other groupings</w:t>
      </w:r>
      <w:r>
        <w:t xml:space="preserve">”</w:t>
      </w:r>
      <w:r>
        <w:t xml:space="preserve">), timeliness — explicitly conditional on simultaneously meeting accuracy, completeness and adaptability — and adaptability, which requires meeting</w:t>
      </w:r>
      <w:r>
        <w:t xml:space="preserve"> </w:t>
      </w:r>
      <w:r>
        <w:t xml:space="preserve">“</w:t>
      </w:r>
      <w:r>
        <w:t xml:space="preserve">a broad range of on-demand, ad hoc risk management reporting requests, including requests during stress/crisis situations</w:t>
      </w:r>
      <w:r>
        <w:t xml:space="preserve">”</w:t>
      </w:r>
      <w:r>
        <w:t xml:space="preserve"> </w:t>
      </w:r>
      <w:r>
        <w:t xml:space="preserve">[BCBS d328, January 2013]. The 2023 progress report on the 31 assessed G-SIBs found that</w:t>
      </w:r>
      <w:r>
        <w:t xml:space="preserve"> </w:t>
      </w:r>
      <w:r>
        <w:t xml:space="preserve">“</w:t>
      </w:r>
      <w:r>
        <w:t xml:space="preserve">significant work remain[s] at most banks to fully adopt the Principles</w:t>
      </w:r>
      <w:r>
        <w:t xml:space="preserve">”</w:t>
      </w:r>
      <w:r>
        <w:t xml:space="preserve"> </w:t>
      </w:r>
      <w:r>
        <w:t xml:space="preserve">[BCBS d559].</w:t>
      </w:r>
    </w:p>
    <w:p>
      <w:pPr>
        <w:pStyle w:val="BodyText"/>
      </w:pPr>
      <w:r>
        <w:rPr>
          <w:bCs/>
          <w:b/>
        </w:rPr>
        <w:t xml:space="preserve">Value dates.</w:t>
      </w:r>
      <w:r>
        <w:t xml:space="preserve"> </w:t>
      </w:r>
      <w:r>
        <w:t xml:space="preserve">PSD2 Article 87 constrains the relationship between value dating and settlement: the credit value date for the payee</w:t>
      </w:r>
      <w:r>
        <w:t xml:space="preserve"> </w:t>
      </w:r>
      <w:r>
        <w:t xml:space="preserve">“</w:t>
      </w:r>
      <w:r>
        <w:t xml:space="preserve">no later than the business day on which the amount … is credited to the payee’s payment service provider’s account,</w:t>
      </w:r>
      <w:r>
        <w:t xml:space="preserve">”</w:t>
      </w:r>
      <w:r>
        <w:t xml:space="preserve"> </w:t>
      </w:r>
      <w:r>
        <w:t xml:space="preserve">and the debit value date for the payer</w:t>
      </w:r>
      <w:r>
        <w:t xml:space="preserve"> </w:t>
      </w:r>
      <w:r>
        <w:t xml:space="preserve">“</w:t>
      </w:r>
      <w:r>
        <w:t xml:space="preserve">no earlier than the time at which the amount … is debited.</w:t>
      </w:r>
      <w:r>
        <w:t xml:space="preserve">”</w:t>
      </w:r>
      <w:r>
        <w:t xml:space="preserve"> </w:t>
      </w:r>
      <w:r>
        <w:t xml:space="preserve">This is a legal constraint relating the valid-time axis to the transaction-time axis — the strongest available argument that bitemporality belongs in the type system rather than in application convention.</w:t>
      </w:r>
    </w:p>
    <w:p>
      <w:pPr>
        <w:pStyle w:val="BodyText"/>
      </w:pPr>
      <w:r>
        <w:rPr>
          <w:bCs/>
          <w:b/>
        </w:rPr>
        <w:t xml:space="preserve">Erasure versus immutability.</w:t>
      </w:r>
      <w:r>
        <w:t xml:space="preserve"> </w:t>
      </w:r>
      <w:r>
        <w:t xml:space="preserve">GDPR Article 17 sits in genuine tension with a never-forgetting base. The most authoritative published treatment is CNIL’s, which states that</w:t>
      </w:r>
      <w:r>
        <w:t xml:space="preserve"> </w:t>
      </w:r>
      <w:r>
        <w:t xml:space="preserve">“</w:t>
      </w:r>
      <w:r>
        <w:t xml:space="preserve">it is technically impossible to grant the request for erasure made by a data subject when data is registered on a blockchain,</w:t>
      </w:r>
      <w:r>
        <w:t xml:space="preserve">”</w:t>
      </w:r>
      <w:r>
        <w:t xml:space="preserve"> </w:t>
      </w:r>
      <w:r>
        <w:t xml:space="preserve">and offers the crypto-shredding mitigation — where data is stored as a commitment, keyed hash or ciphertext, deleting the verification elements or the secret key can</w:t>
      </w:r>
      <w:r>
        <w:t xml:space="preserve"> </w:t>
      </w:r>
      <w:r>
        <w:t xml:space="preserve">“</w:t>
      </w:r>
      <w:r>
        <w:t xml:space="preserve">make the data practically inaccessible, and therefore move closer to the effects of data erasure.</w:t>
      </w:r>
      <w:r>
        <w:t xml:space="preserve">”</w:t>
      </w:r>
      <w:r>
        <w:t xml:space="preserve"> </w:t>
      </w:r>
      <w:r>
        <w:t xml:space="preserve">The hedge in that phrasing is deliberate and this thesis preserves it: crypto-shredding approaches the effect of erasure; CNIL does not say it satisfies Article 17. Section 11.1 accordingly lists legal-erasure-over-base-facts among the workloads where this design is the wrong choice.</w:t>
      </w:r>
    </w:p>
    <w:bookmarkEnd w:id="55"/>
    <w:bookmarkStart w:id="56" w:name="existing-research-behind-the-thesis"/>
    <w:p>
      <w:pPr>
        <w:pStyle w:val="Heading2"/>
      </w:pPr>
      <w:r>
        <w:t xml:space="preserve">2.16 Existing Research Behind the Thesis</w:t>
      </w:r>
    </w:p>
    <w:p>
      <w:pPr>
        <w:pStyle w:val="FirstParagraph"/>
      </w:pPr>
      <w:r>
        <w:t xml:space="preserve">Gathered so that Chapter 10 can concentrate on differences: provenance and lineage underlie the upquery’s claim to recompute exactly a key’s slice; MVCC underlies versioned reads; hash-chained and Merkle-authenticated structures underlie tamper-evidence; deterministic execution (Calvin, Aria) underlies epoch-batched commit; type-and-effect systems, linear/affine types, units-of-measure typing, refinement types and information-flow typing underlie the calculus; bitemporal database theory and SQL:2011 supply the two-calendar model; competitive analysis, view selection and adaptive indexing supply the optimizer’s theory; coordination avoidance and escrow supply its limits; MLIR’s dialect-and-progressive-lowering philosophy [Lattner et al., CGO 2021] and data-centric query compilation [Neumann, PVLDB 2011] supply the compiler architecture; WebAssembly and WASI supply the UDF sandbox — with the important caveat, taken up in Section 6.13 and Appendix C, that Wasm is</w:t>
      </w:r>
      <w:r>
        <w:t xml:space="preserve"> </w:t>
      </w:r>
      <w:r>
        <w:rPr>
          <w:iCs/>
          <w:i/>
        </w:rPr>
        <w:t xml:space="preserve">not</w:t>
      </w:r>
      <w:r>
        <w:t xml:space="preserve"> </w:t>
      </w:r>
      <w:r>
        <w:t xml:space="preserve">fully deterministic: the specification names NaN payloads, resource exhaustion, and host functions as implementation-dependent [Haas et al., PLDI ’17]. The thesis’s novelty claims are always relative to this inheritance.</w:t>
      </w:r>
    </w:p>
    <w:bookmarkEnd w:id="56"/>
    <w:bookmarkEnd w:id="57"/>
    <w:bookmarkStart w:id="79" w:name="theoretical-framework"/>
    <w:p>
      <w:pPr>
        <w:pStyle w:val="Heading1"/>
      </w:pPr>
      <w:r>
        <w:t xml:space="preserve">3. Theoretical Framework</w:t>
      </w:r>
    </w:p>
    <w:p>
      <w:pPr>
        <w:pStyle w:val="FirstParagraph"/>
      </w:pPr>
      <w:r>
        <w:t xml:space="preserve">This chapter fixes the formal universe in which the contributions of Chapter 4 are stated and proved. Notation: Z[A] denotes Z-sets over tuples of type A; streams are epoch-indexed families; ⊞ and ⊟ are Z-set addition and negation; I and D are DBSP integration and differentiation.</w:t>
      </w:r>
    </w:p>
    <w:bookmarkStart w:id="58" w:name="X96c04db3f5516339931614dba3007950dfa078c"/>
    <w:p>
      <w:pPr>
        <w:pStyle w:val="Heading2"/>
      </w:pPr>
      <w:r>
        <w:t xml:space="preserve">3.1 The General Core: Bases, Committed Writes, and Derived State</w:t>
      </w:r>
    </w:p>
    <w:p>
      <w:pPr>
        <w:pStyle w:val="FirstParagraph"/>
      </w:pPr>
      <w:r>
        <w:rPr>
          <w:bCs/>
          <w:b/>
        </w:rPr>
        <w:t xml:space="preserve">Definition 3.1 (Authoritative base).</w:t>
      </w:r>
      <w:r>
        <w:t xml:space="preserve"> </w:t>
      </w:r>
      <w:r>
        <w:t xml:space="preserve">An</w:t>
      </w:r>
      <w:r>
        <w:t xml:space="preserve"> </w:t>
      </w:r>
      <w:r>
        <w:rPr>
          <w:iCs/>
          <w:i/>
        </w:rPr>
        <w:t xml:space="preserve">authoritative base</w:t>
      </w:r>
      <w:r>
        <w:t xml:space="preserve"> </w:t>
      </w:r>
      <w:r>
        <w:t xml:space="preserve">is a triple B = (Δ, h, ⊑) where Δ = ⟨Δ₀, Δ₁, Δ₂, …⟩ is an unbounded sequence of</w:t>
      </w:r>
      <w:r>
        <w:t xml:space="preserve"> </w:t>
      </w:r>
      <w:r>
        <w:rPr>
          <w:iCs/>
          <w:i/>
        </w:rPr>
        <w:t xml:space="preserve">epoch deltas</w:t>
      </w:r>
      <w:r>
        <w:t xml:space="preserve">, each Δₑ ∈ Z[Row] a finite Z-set of committed rows with positive weights only (append-only: no retraction at the base); h is the hash chain h₋₁ = genesis, hₑ = H(hₑ₋₁ ∥ canon(Δₑ)) for a collision-resistant H and a canonical serialization; and ⊑ is the prefix order on epochs. The</w:t>
      </w:r>
      <w:r>
        <w:t xml:space="preserve"> </w:t>
      </w:r>
      <w:r>
        <w:rPr>
          <w:iCs/>
          <w:i/>
        </w:rPr>
        <w:t xml:space="preserve">state at epoch e</w:t>
      </w:r>
      <w:r>
        <w:t xml:space="preserve"> </w:t>
      </w:r>
      <w:r>
        <w:t xml:space="preserve">is the integral S(e) = Σ_{i≤e} Δᵢ = I(Δ)(e).</w:t>
      </w:r>
    </w:p>
    <w:p>
      <w:pPr>
        <w:pStyle w:val="BodyText"/>
      </w:pPr>
      <w:r>
        <w:t xml:space="preserve">Three clauses carry the guarantee set.</w:t>
      </w:r>
      <w:r>
        <w:t xml:space="preserve"> </w:t>
      </w:r>
      <w:r>
        <w:rPr>
          <w:iCs/>
          <w:i/>
        </w:rPr>
        <w:t xml:space="preserve">Never partial:</w:t>
      </w:r>
      <w:r>
        <w:t xml:space="preserve"> </w:t>
      </w:r>
      <w:r>
        <w:t xml:space="preserve">every committed epoch is fully durable and fully retained; there are no holes at the base, ever.</w:t>
      </w:r>
      <w:r>
        <w:t xml:space="preserve"> </w:t>
      </w:r>
      <w:r>
        <w:rPr>
          <w:iCs/>
          <w:i/>
        </w:rPr>
        <w:t xml:space="preserve">Strictly serializable:</w:t>
      </w:r>
      <w:r>
        <w:t xml:space="preserve"> </w:t>
      </w:r>
      <w:r>
        <w:t xml:space="preserve">the writes folded into Δₑ result from a commit protocol producing one serial order consistent with real time; the epoch sequence is that order, coarsened.</w:t>
      </w:r>
      <w:r>
        <w:t xml:space="preserve"> </w:t>
      </w:r>
      <w:r>
        <w:rPr>
          <w:iCs/>
          <w:i/>
        </w:rPr>
        <w:t xml:space="preserve">Tamper-evident:</w:t>
      </w:r>
      <w:r>
        <w:t xml:space="preserve"> </w:t>
      </w:r>
      <w:r>
        <w:t xml:space="preserve">hₑ commits to the entire prefix, so a holder of a later digest can detect revision of any earlier part — the guarantee, per Section 1.9, is detection relative to a retained digest, not physical immutability.</w:t>
      </w:r>
    </w:p>
    <w:p>
      <w:pPr>
        <w:pStyle w:val="BodyText"/>
      </w:pPr>
      <w:r>
        <w:rPr>
          <w:bCs/>
          <w:b/>
        </w:rPr>
        <w:t xml:space="preserve">Definition 3.2 (Commit rule).</w:t>
      </w:r>
      <w:r>
        <w:t xml:space="preserve"> </w:t>
      </w:r>
      <w:r>
        <w:t xml:space="preserve">A base carries a</w:t>
      </w:r>
      <w:r>
        <w:t xml:space="preserve"> </w:t>
      </w:r>
      <w:r>
        <w:rPr>
          <w:iCs/>
          <w:i/>
        </w:rPr>
        <w:t xml:space="preserve">commit rule</w:t>
      </w:r>
      <w:r>
        <w:t xml:space="preserve"> </w:t>
      </w:r>
      <w:r>
        <w:t xml:space="preserve">C: a decidable predicate on candidate write sets. Admission computes C and appends only if it holds. The general core requires only that C be decidable and deterministic given the prefix; specific bases instantiate it — a uniqueness constraint, a referential rule, or (Section 3.3) a per-group sum-zero rule.</w:t>
      </w:r>
    </w:p>
    <w:p>
      <w:pPr>
        <w:pStyle w:val="BodyText"/>
      </w:pPr>
      <w:r>
        <w:rPr>
          <w:bCs/>
          <w:b/>
        </w:rPr>
        <w:t xml:space="preserve">Definition 3.3 (Derived state, versioned).</w:t>
      </w:r>
      <w:r>
        <w:t xml:space="preserve"> </w:t>
      </w:r>
      <w:r>
        <w:t xml:space="preserve">A</w:t>
      </w:r>
      <w:r>
        <w:t xml:space="preserve"> </w:t>
      </w:r>
      <w:r>
        <w:rPr>
          <w:iCs/>
          <w:i/>
        </w:rPr>
        <w:t xml:space="preserve">view definition</w:t>
      </w:r>
      <w:r>
        <w:t xml:space="preserve"> </w:t>
      </w:r>
      <w:r>
        <w:t xml:space="preserve">is a DBSP circuit Q from base streams to a keyed output Z[K × V]. The</w:t>
      </w:r>
      <w:r>
        <w:t xml:space="preserve"> </w:t>
      </w:r>
      <w:r>
        <w:rPr>
          <w:iCs/>
          <w:i/>
        </w:rPr>
        <w:t xml:space="preserve">ideal view at epoch e</w:t>
      </w:r>
      <w:r>
        <w:t xml:space="preserve"> </w:t>
      </w:r>
      <w:r>
        <w:t xml:space="preserve">is V*(e) = Q(S(e)) — total, a mathematical object rather than a data structure. A</w:t>
      </w:r>
      <w:r>
        <w:t xml:space="preserve"> </w:t>
      </w:r>
      <w:r>
        <w:rPr>
          <w:iCs/>
          <w:i/>
        </w:rPr>
        <w:t xml:space="preserve">versioned partial state</w:t>
      </w:r>
      <w:r>
        <w:t xml:space="preserve"> </w:t>
      </w:r>
      <w:r>
        <w:t xml:space="preserve">for Q is a partial function M : K ⇀ (V × Epoch), where M(k) = (v, e) asserts v = V*(e)[k].</w:t>
      </w:r>
    </w:p>
    <w:p>
      <w:pPr>
        <w:pStyle w:val="BodyText"/>
      </w:pPr>
      <w:r>
        <w:t xml:space="preserve">The ledger of Section 3.2 is Definition 3.1 with a particular commit rule and particular column types. Every result in this chapter and the next is stated at the level of Definitions 3.1–3.3 and instantiated afterwards. This is the formal content of</w:t>
      </w:r>
      <w:r>
        <w:t xml:space="preserve"> </w:t>
      </w:r>
      <w:r>
        <w:t xml:space="preserve">“</w:t>
      </w:r>
      <w:r>
        <w:t xml:space="preserve">banking is a domain layer on a general relational core.</w:t>
      </w:r>
      <w:r>
        <w:t xml:space="preserve">”</w:t>
      </w:r>
    </w:p>
    <w:bookmarkEnd w:id="58"/>
    <w:bookmarkStart w:id="59" w:name="the-ledger-as-a-domain-instance"/>
    <w:p>
      <w:pPr>
        <w:pStyle w:val="Heading2"/>
      </w:pPr>
      <w:r>
        <w:t xml:space="preserve">3.2 The Ledger as a Domain Instance</w:t>
      </w:r>
    </w:p>
    <w:p>
      <w:pPr>
        <w:pStyle w:val="FirstParagraph"/>
      </w:pPr>
      <w:r>
        <w:t xml:space="preserve">A</w:t>
      </w:r>
      <w:r>
        <w:t xml:space="preserve"> </w:t>
      </w:r>
      <w:r>
        <w:rPr>
          <w:bCs/>
          <w:b/>
        </w:rPr>
        <w:t xml:space="preserve">ledger</w:t>
      </w:r>
      <w:r>
        <w:t xml:space="preserve"> </w:t>
      </w:r>
      <w:r>
        <w:t xml:space="preserve">is a base whose rows are postings p = (txn, acct, cur, amt, valid, idem, …), whose commit rule is per-transaction, per-currency balance (Definition 3.5), and whose columns carry: an idempotency key with a defined admission semantics (Section 3.20); two time axes (Section 3.9); and an amount typed as</w:t>
      </w:r>
      <w:r>
        <w:t xml:space="preserve"> </w:t>
      </w:r>
      <w:r>
        <w:rPr>
          <w:rStyle w:val="VerbatimChar"/>
        </w:rPr>
        <w:t xml:space="preserve">Money⟨cur⟩</w:t>
      </w:r>
      <w:r>
        <w:t xml:space="preserve"> </w:t>
      </w:r>
      <w:r>
        <w:t xml:space="preserve">in exact minor units at the currency’s own scale.</w:t>
      </w:r>
    </w:p>
    <w:p>
      <w:pPr>
        <w:pStyle w:val="BodyText"/>
      </w:pPr>
      <w:r>
        <w:t xml:space="preserve">The scale is per-currency and is not two. ISO 4217 assigns minor-unit exponents that include 0 (JPY, CLP, ISK), 2 (USD, EUR), and 3 (KWD, BHD, TND, OMR, JOD), and some entries have no minor unit at all. A</w:t>
      </w:r>
      <w:r>
        <w:t xml:space="preserve"> </w:t>
      </w:r>
      <w:r>
        <w:rPr>
          <w:rStyle w:val="VerbatimChar"/>
        </w:rPr>
        <w:t xml:space="preserve">Money</w:t>
      </w:r>
      <w:r>
        <w:t xml:space="preserve"> </w:t>
      </w:r>
      <w:r>
        <w:t xml:space="preserve">type with a fixed scale of two is therefore</w:t>
      </w:r>
      <w:r>
        <w:t xml:space="preserve"> </w:t>
      </w:r>
      <w:r>
        <w:rPr>
          <w:iCs/>
          <w:i/>
        </w:rPr>
        <w:t xml:space="preserve">provably wrong</w:t>
      </w:r>
      <w:r>
        <w:t xml:space="preserve"> </w:t>
      </w:r>
      <w:r>
        <w:t xml:space="preserve">for a general system, which is why the scale is part of the type (Appendix B.4) and why the industrial</w:t>
      </w:r>
      <w:r>
        <w:t xml:space="preserve"> </w:t>
      </w:r>
      <w:r>
        <w:t xml:space="preserve">“</w:t>
      </w:r>
      <w:r>
        <w:t xml:space="preserve">store everything in cents</w:t>
      </w:r>
      <w:r>
        <w:t xml:space="preserve">”</w:t>
      </w:r>
      <w:r>
        <w:t xml:space="preserve"> </w:t>
      </w:r>
      <w:r>
        <w:t xml:space="preserve">convention is treated in this thesis as a special case rather than a rule.</w:t>
      </w:r>
    </w:p>
    <w:bookmarkEnd w:id="59"/>
    <w:bookmarkStart w:id="60" w:name="X3233c552509685805dd56f78e28f4ebb44da6d9"/>
    <w:p>
      <w:pPr>
        <w:pStyle w:val="Heading2"/>
      </w:pPr>
      <w:r>
        <w:t xml:space="preserve">3.3 The Double-Entry Invariant and Its Coordination Cost</w:t>
      </w:r>
    </w:p>
    <w:p>
      <w:pPr>
        <w:pStyle w:val="FirstParagraph"/>
      </w:pPr>
      <w:r>
        <w:rPr>
          <w:bCs/>
          <w:b/>
        </w:rPr>
        <w:t xml:space="preserve">Definition 3.4 (Balanced delta).</w:t>
      </w:r>
      <w:r>
        <w:t xml:space="preserve"> </w:t>
      </w:r>
      <w:r>
        <w:t xml:space="preserve">Write w(p) for a posting’s Z-set weight. A delta Δ is</w:t>
      </w:r>
      <w:r>
        <w:t xml:space="preserve"> </w:t>
      </w:r>
      <w:r>
        <w:rPr>
          <w:iCs/>
          <w:i/>
        </w:rPr>
        <w:t xml:space="preserve">balanced</w:t>
      </w:r>
      <w:r>
        <w:t xml:space="preserve"> </w:t>
      </w:r>
      <w:r>
        <w:t xml:space="preserve">iff for every transaction t and currency c: Σ { amt(p)·w(p) : p ∈ Δ, txn(p) = t, cur(p) = c } = 0.</w:t>
      </w:r>
    </w:p>
    <w:p>
      <w:pPr>
        <w:pStyle w:val="BodyText"/>
      </w:pPr>
      <w:r>
        <w:rPr>
          <w:bCs/>
          <w:b/>
        </w:rPr>
        <w:t xml:space="preserve">Definition 3.5 (Conservation).</w:t>
      </w:r>
      <w:r>
        <w:t xml:space="preserve"> </w:t>
      </w:r>
      <w:r>
        <w:t xml:space="preserve">A ledger</w:t>
      </w:r>
      <w:r>
        <w:t xml:space="preserve"> </w:t>
      </w:r>
      <w:r>
        <w:rPr>
          <w:iCs/>
          <w:i/>
        </w:rPr>
        <w:t xml:space="preserve">conserves value</w:t>
      </w:r>
      <w:r>
        <w:t xml:space="preserve"> </w:t>
      </w:r>
      <w:r>
        <w:t xml:space="preserve">iff every Δₑ is balanced. Then for all e, the signed sum of all balances per currency is invariant, changing only through postings against explicitly modeled issuance accounts.</w:t>
      </w:r>
    </w:p>
    <w:p>
      <w:pPr>
        <w:pStyle w:val="BodyText"/>
      </w:pPr>
      <w:r>
        <w:rPr>
          <w:bCs/>
          <w:b/>
        </w:rPr>
        <w:t xml:space="preserve">Lemma 3.1 (Compositionality).</w:t>
      </w:r>
      <w:r>
        <w:t xml:space="preserve"> </w:t>
      </w:r>
      <w:r>
        <w:t xml:space="preserve">Balanced deltas are closed under ⊞ and under integer weighting; hence balance of every transaction implies balance of every epoch, every prefix, and the whole ledger.</w:t>
      </w:r>
      <w:r>
        <w:t xml:space="preserve"> </w:t>
      </w:r>
      <w:r>
        <w:rPr>
          <w:iCs/>
          <w:i/>
        </w:rPr>
        <w:t xml:space="preserve">Proof:</w:t>
      </w:r>
      <w:r>
        <w:t xml:space="preserve"> </w:t>
      </w:r>
      <w:r>
        <w:t xml:space="preserve">linearity of the sum in Definition 3.4 over Z-set addition. ∎</w:t>
      </w:r>
    </w:p>
    <w:p>
      <w:pPr>
        <w:pStyle w:val="BodyText"/>
      </w:pPr>
      <w:r>
        <w:rPr>
          <w:bCs/>
          <w:b/>
        </w:rPr>
        <w:t xml:space="preserve">Proposition 3.2 (The coordination boundary).</w:t>
      </w:r>
      <w:r>
        <w:t xml:space="preserve"> </w:t>
      </w:r>
      <w:r>
        <w:t xml:space="preserve">Conservation is a sum-equality invariant and is I-confluent; the non-negativity invariant</w:t>
      </w:r>
      <w:r>
        <w:t xml:space="preserve"> </w:t>
      </w:r>
      <w:r>
        <w:t xml:space="preserve">“</w:t>
      </w:r>
      <w:r>
        <w:t xml:space="preserve">balance ≥ 0</w:t>
      </w:r>
      <w:r>
        <w:t xml:space="preserve">”</w:t>
      </w:r>
      <w:r>
        <w:t xml:space="preserve"> </w:t>
      </w:r>
      <w:r>
        <w:t xml:space="preserve">is not.</w:t>
      </w:r>
      <w:r>
        <w:t xml:space="preserve"> </w:t>
      </w:r>
      <w:r>
        <w:rPr>
          <w:iCs/>
          <w:i/>
        </w:rPr>
        <w:t xml:space="preserve">Justification:</w:t>
      </w:r>
      <w:r>
        <w:t xml:space="preserve"> </w:t>
      </w:r>
      <w:r>
        <w:t xml:space="preserve">Bailis et al. establish I-confluence as necessary and sufficient for invariant-preserving coordination-free execution, and classify a</w:t>
      </w:r>
      <w:r>
        <w:t xml:space="preserve"> </w:t>
      </w:r>
      <w:r>
        <w:rPr>
          <w:rStyle w:val="VerbatimChar"/>
        </w:rPr>
        <w:t xml:space="preserve">&gt;</w:t>
      </w:r>
      <w:r>
        <w:t xml:space="preserve"> </w:t>
      </w:r>
      <w:r>
        <w:t xml:space="preserve">threshold under decrement as not I-confluent while attribute equality and materialized-view update are I-confluent [PVLDB 2015]. Two independent lines confirm the same boundary from the systems side: Doppel’s splittability conditions admit self-commuting operations that return nothing — blind</w:t>
      </w:r>
      <w:r>
        <w:t xml:space="preserve"> </w:t>
      </w:r>
      <w:r>
        <w:rPr>
          <w:rStyle w:val="VerbatimChar"/>
        </w:rPr>
        <w:t xml:space="preserve">Add</w:t>
      </w:r>
      <w:r>
        <w:t xml:space="preserve"> </w:t>
      </w:r>
      <w:r>
        <w:t xml:space="preserve">qualifies, a threshold check does not, and a</w:t>
      </w:r>
      <w:r>
        <w:t xml:space="preserve"> </w:t>
      </w:r>
      <w:r>
        <w:rPr>
          <w:iCs/>
          <w:i/>
        </w:rPr>
        <w:t xml:space="preserve">read</w:t>
      </w:r>
      <w:r>
        <w:t xml:space="preserve"> </w:t>
      </w:r>
      <w:r>
        <w:t xml:space="preserve">of a split record forces rejoining [Narula et al., OSDI ’14]; and sharded counters scale writes linearly while providing no mechanism for an aggregate threshold. ∎</w:t>
      </w:r>
    </w:p>
    <w:p>
      <w:pPr>
        <w:pStyle w:val="BodyText"/>
      </w:pPr>
      <w:r>
        <w:t xml:space="preserve">This proposition governs the architecture. Conservation — the invariant Contribution 1’s corollary protects — is cheap and survives concurrency and partition; no-overdraft — the invariant Contribution 4 enforces — necessarily costs coordination. The design therefore makes the coordination explicit and confines it: the authorization path runs at the top rung of the ladder (Section 3.7) while every other view is free to run cheaply, and the reservation mechanism of Section 3.19 is the classical escrow answer to exactly this constraint.</w:t>
      </w:r>
    </w:p>
    <w:bookmarkEnd w:id="60"/>
    <w:bookmarkStart w:id="61" w:name="the-lattice-of-absence"/>
    <w:p>
      <w:pPr>
        <w:pStyle w:val="Heading2"/>
      </w:pPr>
      <w:r>
        <w:t xml:space="preserve">3.4 The Lattice of Absence</w:t>
      </w:r>
    </w:p>
    <w:p>
      <w:pPr>
        <w:pStyle w:val="FirstParagraph"/>
      </w:pPr>
      <w:r>
        <w:t xml:space="preserve">Partial state needs a semantics for</w:t>
      </w:r>
      <w:r>
        <w:t xml:space="preserve"> </w:t>
      </w:r>
      <w:r>
        <w:rPr>
          <w:iCs/>
          <w:i/>
        </w:rPr>
        <w:t xml:space="preserve">not being there</w:t>
      </w:r>
      <w:r>
        <w:t xml:space="preserve">. For each key k, a materialization sits at exactly one point of the</w:t>
      </w:r>
      <w:r>
        <w:t xml:space="preserve"> </w:t>
      </w:r>
      <w:r>
        <w:rPr>
          <w:iCs/>
          <w:i/>
        </w:rPr>
        <w:t xml:space="preserve">absence lattice</w:t>
      </w:r>
      <w:r>
        <w:t xml:space="preserve"> </w:t>
      </w:r>
      <w:r>
        <w:t xml:space="preserve">𝔸, ordered by information content:</w:t>
      </w:r>
    </w:p>
    <w:p>
      <w:pPr>
        <w:pStyle w:val="BodyText"/>
      </w:pPr>
      <w:r>
        <w:t xml:space="preserve">⊥ (never-computed) ⊏ Hole(e′) ⊏ Pending(e′) ⊏ Present(v, e′)</w:t>
      </w:r>
    </w:p>
    <w:p>
      <w:pPr>
        <w:pStyle w:val="BodyText"/>
      </w:pPr>
      <w:r>
        <w:t xml:space="preserve">⊥: the runtime asserts nothing about k. Hole(e′): the key was evicted; the runtime retains the</w:t>
      </w:r>
      <w:r>
        <w:t xml:space="preserve"> </w:t>
      </w:r>
      <w:r>
        <w:rPr>
          <w:iCs/>
          <w:i/>
        </w:rPr>
        <w:t xml:space="preserve">version</w:t>
      </w:r>
      <w:r>
        <w:t xml:space="preserve"> </w:t>
      </w:r>
      <w:r>
        <w:t xml:space="preserve">it held, not the value. Pending(e′): an upquery anchored at e′ is in flight; readers wait or degrade per contract. Present(v, e′): v = V*(e′)[k], certified.</w:t>
      </w:r>
    </w:p>
    <w:p>
      <w:pPr>
        <w:pStyle w:val="BodyText"/>
      </w:pPr>
      <w:r>
        <w:t xml:space="preserve">Two invariants are imposed and later discharged.</w:t>
      </w:r>
      <w:r>
        <w:t xml:space="preserve"> </w:t>
      </w:r>
      <w:r>
        <w:rPr>
          <w:bCs/>
          <w:b/>
        </w:rPr>
        <w:t xml:space="preserve">Monotone anchoring:</w:t>
      </w:r>
      <w:r>
        <w:t xml:space="preserve"> </w:t>
      </w:r>
      <w:r>
        <w:t xml:space="preserve">maintenance moves a Present entry’s anchor only forward.</w:t>
      </w:r>
      <w:r>
        <w:t xml:space="preserve"> </w:t>
      </w:r>
      <w:r>
        <w:rPr>
          <w:bCs/>
          <w:b/>
        </w:rPr>
        <w:t xml:space="preserve">Honest absence:</w:t>
      </w:r>
      <w:r>
        <w:t xml:space="preserve"> </w:t>
      </w:r>
      <w:r>
        <w:t xml:space="preserve">eviction maps Present(v, e) to Hole(e), never to ⊥ — absence of</w:t>
      </w:r>
      <w:r>
        <w:t xml:space="preserve"> </w:t>
      </w:r>
      <w:r>
        <w:rPr>
          <w:iCs/>
          <w:i/>
        </w:rPr>
        <w:t xml:space="preserve">value</w:t>
      </w:r>
      <w:r>
        <w:t xml:space="preserve"> </w:t>
      </w:r>
      <w:r>
        <w:t xml:space="preserve">never masquerades as absence of</w:t>
      </w:r>
      <w:r>
        <w:t xml:space="preserve"> </w:t>
      </w:r>
      <w:r>
        <w:rPr>
          <w:iCs/>
          <w:i/>
        </w:rPr>
        <w:t xml:space="preserve">history</w:t>
      </w:r>
      <w:r>
        <w:t xml:space="preserve">. Honest absence is what lets the consistency predicates of Section 3.8 be evaluated without the value being resident, and it is the structural reason the runtime never has to guess whether a hole is stale.</w:t>
      </w:r>
    </w:p>
    <w:p>
      <w:pPr>
        <w:pStyle w:val="BodyText"/>
      </w:pPr>
      <w:r>
        <w:t xml:space="preserve">The lattice is also the formal answer to a question Noria answers operationally: what does an evicted entry</w:t>
      </w:r>
      <w:r>
        <w:t xml:space="preserve"> </w:t>
      </w:r>
      <w:r>
        <w:rPr>
          <w:iCs/>
          <w:i/>
        </w:rPr>
        <w:t xml:space="preserve">mean</w:t>
      </w:r>
      <w:r>
        <w:t xml:space="preserve">? In Noria an evicted entry is ⊥ with an eviction notice propagated forward so that downstream operators drop updates addressed to it. Here, Hole(e) is a</w:t>
      </w:r>
      <w:r>
        <w:t xml:space="preserve"> </w:t>
      </w:r>
      <w:r>
        <w:rPr>
          <w:iCs/>
          <w:i/>
        </w:rPr>
        <w:t xml:space="preserve">positive assertion about a version</w:t>
      </w:r>
      <w:r>
        <w:t xml:space="preserve">, and because the base is immutable, the pair (Hole(e), requested epoch e″) determines exactly what must be recomputed. Section 4.2 shows this turns the five partial-state anomalies into non-events.</w:t>
      </w:r>
    </w:p>
    <w:p>
      <w:pPr>
        <w:pStyle w:val="BodyText"/>
      </w:pPr>
      <w:r>
        <w:t xml:space="preserve">Pointwise join and meet over keys give partial materializations a lattice structure used in the frontier constructions of Chapter 4.</w:t>
      </w:r>
    </w:p>
    <w:bookmarkEnd w:id="61"/>
    <w:bookmarkStart w:id="62" w:name="epochs"/>
    <w:p>
      <w:pPr>
        <w:pStyle w:val="Heading2"/>
      </w:pPr>
      <w:r>
        <w:t xml:space="preserve">3.5 Epochs</w:t>
      </w:r>
    </w:p>
    <w:p>
      <w:pPr>
        <w:pStyle w:val="FirstParagraph"/>
      </w:pPr>
      <w:r>
        <w:t xml:space="preserve">The epoch is the unit of visibility, versioning, hashing, and consistency. The commit protocol admits writes, validates them against the commit rule, sequences them into the open epoch, and</w:t>
      </w:r>
      <w:r>
        <w:t xml:space="preserve"> </w:t>
      </w:r>
      <w:r>
        <w:rPr>
          <w:iCs/>
          <w:i/>
        </w:rPr>
        <w:t xml:space="preserve">seals</w:t>
      </w:r>
      <w:r>
        <w:t xml:space="preserve"> </w:t>
      </w:r>
      <w:r>
        <w:t xml:space="preserve">on a boundary (time quantum τ or size bound); the sealed epoch obtains its hash, becomes durable, and only then becomes visible. There is no observable state</w:t>
      </w:r>
      <w:r>
        <w:t xml:space="preserve"> </w:t>
      </w:r>
      <w:r>
        <w:t xml:space="preserve">“</w:t>
      </w:r>
      <w:r>
        <w:t xml:space="preserve">inside</w:t>
      </w:r>
      <w:r>
        <w:t xml:space="preserve">”</w:t>
      </w:r>
      <w:r>
        <w:t xml:space="preserve"> </w:t>
      </w:r>
      <w:r>
        <w:t xml:space="preserve">an epoch: sealing is the atom of the global timeline.</w:t>
      </w:r>
    </w:p>
    <w:p>
      <w:pPr>
        <w:pStyle w:val="BodyText"/>
      </w:pPr>
      <w:r>
        <w:t xml:space="preserve">τ trades commit latency against per-epoch amortization. It is a measured knob, never a semantic one — every theorem quantifies over arbitrary τ &gt; 0. Epochs also discretize DBSP time, so</w:t>
      </w:r>
      <w:r>
        <w:t xml:space="preserve"> </w:t>
      </w:r>
      <w:r>
        <w:t xml:space="preserve">“</w:t>
      </w:r>
      <w:r>
        <w:t xml:space="preserve">the view at e</w:t>
      </w:r>
      <w:r>
        <w:t xml:space="preserve">”</w:t>
      </w:r>
      <w:r>
        <w:t xml:space="preserve"> </w:t>
      </w:r>
      <w:r>
        <w:t xml:space="preserve">is simultaneously well-defined for</w:t>
      </w:r>
      <w:r>
        <w:t xml:space="preserve"> </w:t>
      </w:r>
      <w:r>
        <w:rPr>
          <w:iCs/>
          <w:i/>
        </w:rPr>
        <w:t xml:space="preserve">every</w:t>
      </w:r>
      <w:r>
        <w:t xml:space="preserve"> </w:t>
      </w:r>
      <w:r>
        <w:t xml:space="preserve">view, which is what makes cross-view reads coherent (predicate X-CONSIST, Section 3.8).</w:t>
      </w:r>
    </w:p>
    <w:p>
      <w:pPr>
        <w:pStyle w:val="BodyText"/>
      </w:pPr>
      <w:r>
        <w:t xml:space="preserve">The design lineage here is deterministic execution: Calvin and Aria establish that pre-agreeing a total order over transaction inputs makes execution a deterministic function of that order, removing the need for a distributed commit vote [Thomson et al., SIGMOD ’12; Lu et al., PVLDB ’20]. The epoch sequence is that agreed order; the read side inherits its determinism, which is precisely what Theorem 4.1 needs.</w:t>
      </w:r>
    </w:p>
    <w:bookmarkEnd w:id="62"/>
    <w:bookmarkStart w:id="63" w:name="visibility-frontiers"/>
    <w:p>
      <w:pPr>
        <w:pStyle w:val="Heading2"/>
      </w:pPr>
      <w:r>
        <w:t xml:space="preserve">3.6 Visibility Frontiers</w:t>
      </w:r>
    </w:p>
    <w:p>
      <w:pPr>
        <w:pStyle w:val="FirstParagraph"/>
      </w:pPr>
      <w:r>
        <w:rPr>
          <w:bCs/>
          <w:b/>
        </w:rPr>
        <w:t xml:space="preserve">Definition 3.6 (Frontiers).</w:t>
      </w:r>
      <w:r>
        <w:t xml:space="preserve"> </w:t>
      </w:r>
      <w:r>
        <w:t xml:space="preserve">At wall-clock instant t: seal(t) is the greatest sealed epoch; dur(t) ≤ seal(t) the greatest durable epoch; vis(t) ≤ dur(t) the greatest</w:t>
      </w:r>
      <w:r>
        <w:t xml:space="preserve"> </w:t>
      </w:r>
      <w:r>
        <w:rPr>
          <w:iCs/>
          <w:i/>
        </w:rPr>
        <w:t xml:space="preserve">visible</w:t>
      </w:r>
      <w:r>
        <w:t xml:space="preserve"> </w:t>
      </w:r>
      <w:r>
        <w:t xml:space="preserve">epoch; and for each view V, applied_V(t) ≤ vis(t) the greatest epoch fully applied to V’s resident state. The default profile maintains dur = vis (visibility waits for durability), and each view publishes applied_V as an ordinary queryable value.</w:t>
      </w:r>
    </w:p>
    <w:p>
      <w:pPr>
        <w:pStyle w:val="BodyText"/>
      </w:pPr>
      <w:r>
        <w:t xml:space="preserve">Frontiers turn staleness from folklore into arithmetic: the staleness of Present(v, e) at time t is vis(t) − e epochs, or the τ-scaled duration. Every read is answered</w:t>
      </w:r>
      <w:r>
        <w:t xml:space="preserve"> </w:t>
      </w:r>
      <w:r>
        <w:rPr>
          <w:iCs/>
          <w:i/>
        </w:rPr>
        <w:t xml:space="preserve">with its anchor</w:t>
      </w:r>
      <w:r>
        <w:t xml:space="preserve">: the API returns (result, e), never a bare result.</w:t>
      </w:r>
    </w:p>
    <w:p>
      <w:pPr>
        <w:pStyle w:val="BodyText"/>
      </w:pPr>
      <w:r>
        <w:t xml:space="preserve">The distinction from progress tracking is important and is a boundary of novelty rather than a claim of it. Naiad’s frontier is a lower bound on what may still arrive at a location, computed from could-result-in relations over pointstamps [Murray et al., SOSP ’13]. A visibility frontier over a sealed, totally ordered base is not an estimate: nothing can arrive before a sealed epoch. The machinery is simpler</w:t>
      </w:r>
      <w:r>
        <w:t xml:space="preserve"> </w:t>
      </w:r>
      <w:r>
        <w:rPr>
          <w:iCs/>
          <w:i/>
        </w:rPr>
        <w:t xml:space="preserve">because</w:t>
      </w:r>
      <w:r>
        <w:t xml:space="preserve"> </w:t>
      </w:r>
      <w:r>
        <w:t xml:space="preserve">the base is authoritative, which is one of the concrete dividends of putting the ledger inside the system rather than upstream of it.</w:t>
      </w:r>
    </w:p>
    <w:bookmarkEnd w:id="63"/>
    <w:bookmarkStart w:id="64" w:name="the-consistency-ladder"/>
    <w:p>
      <w:pPr>
        <w:pStyle w:val="Heading2"/>
      </w:pPr>
      <w:r>
        <w:t xml:space="preserve">3.7 The Consistency Ladder</w:t>
      </w:r>
    </w:p>
    <w:p>
      <w:pPr>
        <w:pStyle w:val="FirstParagraph"/>
      </w:pPr>
      <w:r>
        <w:t xml:space="preserve">Six rungs, each declarable per view in the</w:t>
      </w:r>
      <w:r>
        <w:t xml:space="preserve"> </w:t>
      </w:r>
      <w:r>
        <w:rPr>
          <w:rStyle w:val="VerbatimChar"/>
        </w:rPr>
        <w:t xml:space="preserve">serve</w:t>
      </w:r>
      <w:r>
        <w:t xml:space="preserve"> </w:t>
      </w:r>
      <w:r>
        <w:t xml:space="preserve">clause:</w:t>
      </w:r>
    </w:p>
    <w:p>
      <w:pPr>
        <w:numPr>
          <w:ilvl w:val="0"/>
          <w:numId w:val="1003"/>
        </w:numPr>
        <w:pStyle w:val="Compact"/>
      </w:pPr>
      <w:r>
        <w:rPr>
          <w:bCs/>
          <w:b/>
        </w:rPr>
        <w:t xml:space="preserve">ℓ₀ Bounded staleness(K, T):</w:t>
      </w:r>
      <w:r>
        <w:t xml:space="preserve"> </w:t>
      </w:r>
      <w:r>
        <w:t xml:space="preserve">answers anchored at e ≥ vis(t) − K epochs, and no older than T wall-clock, whichever binds first. The dual parameterization follows shipping practice [Azure Cosmos DB].</w:t>
      </w:r>
    </w:p>
    <w:p>
      <w:pPr>
        <w:numPr>
          <w:ilvl w:val="0"/>
          <w:numId w:val="1003"/>
        </w:numPr>
        <w:pStyle w:val="Compact"/>
      </w:pPr>
      <w:r>
        <w:rPr>
          <w:bCs/>
          <w:b/>
        </w:rPr>
        <w:t xml:space="preserve">ℓ₁ Monotonic reads:</w:t>
      </w:r>
      <w:r>
        <w:t xml:space="preserve"> </w:t>
      </w:r>
      <w:r>
        <w:t xml:space="preserve">per session, anchors never decrease.</w:t>
      </w:r>
    </w:p>
    <w:p>
      <w:pPr>
        <w:numPr>
          <w:ilvl w:val="0"/>
          <w:numId w:val="1003"/>
        </w:numPr>
        <w:pStyle w:val="Compact"/>
      </w:pPr>
      <w:r>
        <w:rPr>
          <w:bCs/>
          <w:b/>
        </w:rPr>
        <w:t xml:space="preserve">ℓ₂ Read-your-writes:</w:t>
      </w:r>
      <w:r>
        <w:t xml:space="preserve"> </w:t>
      </w:r>
      <w:r>
        <w:t xml:space="preserve">a session’s reads are anchored at or after the epoch of its own last committed write.</w:t>
      </w:r>
    </w:p>
    <w:p>
      <w:pPr>
        <w:numPr>
          <w:ilvl w:val="0"/>
          <w:numId w:val="1003"/>
        </w:numPr>
        <w:pStyle w:val="Compact"/>
      </w:pPr>
      <w:r>
        <w:rPr>
          <w:bCs/>
          <w:b/>
        </w:rPr>
        <w:t xml:space="preserve">ℓ₃ Epoch-consistent (snapshot):</w:t>
      </w:r>
      <w:r>
        <w:t xml:space="preserve"> </w:t>
      </w:r>
      <w:r>
        <w:t xml:space="preserve">each read, including multi-key and multi-view read sets, is anchored at a</w:t>
      </w:r>
      <w:r>
        <w:t xml:space="preserve"> </w:t>
      </w:r>
      <w:r>
        <w:rPr>
          <w:iCs/>
          <w:i/>
        </w:rPr>
        <w:t xml:space="preserve">single</w:t>
      </w:r>
      <w:r>
        <w:t xml:space="preserve"> </w:t>
      </w:r>
      <w:r>
        <w:t xml:space="preserve">epoch e ≤ vis(t).</w:t>
      </w:r>
    </w:p>
    <w:p>
      <w:pPr>
        <w:numPr>
          <w:ilvl w:val="0"/>
          <w:numId w:val="1003"/>
        </w:numPr>
        <w:pStyle w:val="Compact"/>
      </w:pPr>
      <w:r>
        <w:rPr>
          <w:bCs/>
          <w:b/>
        </w:rPr>
        <w:t xml:space="preserve">ℓ₄ Serializable reads:</w:t>
      </w:r>
      <w:r>
        <w:t xml:space="preserve"> </w:t>
      </w:r>
      <w:r>
        <w:t xml:space="preserve">read sets are anchored at epochs forming a serial order consistent with transaction order.</w:t>
      </w:r>
    </w:p>
    <w:p>
      <w:pPr>
        <w:numPr>
          <w:ilvl w:val="0"/>
          <w:numId w:val="1003"/>
        </w:numPr>
        <w:pStyle w:val="Compact"/>
      </w:pPr>
      <w:r>
        <w:rPr>
          <w:bCs/>
          <w:b/>
        </w:rPr>
        <w:t xml:space="preserve">ℓ₅ Ledger-consistent (strict serializable):</w:t>
      </w:r>
      <w:r>
        <w:t xml:space="preserve"> </w:t>
      </w:r>
      <w:r>
        <w:t xml:space="preserve">anchored at vis(t) exactly, reflecting every committed write that precedes the read in real time; where the read also reserves (Section 3.19), the reservation is atomic with the observation.</w:t>
      </w:r>
    </w:p>
    <w:p>
      <w:pPr>
        <w:pStyle w:val="FirstParagraph"/>
      </w:pPr>
      <w:r>
        <w:t xml:space="preserve">The ladder is deliberately not a free menu. The HAT results place ℓ₀–ℓ₂ in the highly-available or sticky-available classes and ℓ₃–ℓ₅ in the unavailable class [Bailis et al., PVLDB 2013]; a per-view contract is therefore a statement about</w:t>
      </w:r>
      <w:r>
        <w:t xml:space="preserve"> </w:t>
      </w:r>
      <w:r>
        <w:rPr>
          <w:iCs/>
          <w:i/>
        </w:rPr>
        <w:t xml:space="preserve">what a view gives up</w:t>
      </w:r>
      <w:r>
        <w:t xml:space="preserve">, and the language makes that statement explicit rather than implicit. The worked assignments from Chapter 1’s motivation: a dashboard declares ℓ₀; a statement as of a value date declares ℓ₃ anchored at a value-date-derived epoch; a balance-and-hold authorization check declares ℓ₅ with reservation.</w:t>
      </w:r>
    </w:p>
    <w:bookmarkEnd w:id="64"/>
    <w:bookmarkStart w:id="65" w:name="consistency-levels-as-formal-predicates"/>
    <w:p>
      <w:pPr>
        <w:pStyle w:val="Heading2"/>
      </w:pPr>
      <w:r>
        <w:t xml:space="preserve">3.8 Consistency Levels as Formal Predicates</w:t>
      </w:r>
    </w:p>
    <w:p>
      <w:pPr>
        <w:pStyle w:val="FirstParagraph"/>
      </w:pPr>
      <w:r>
        <w:t xml:space="preserve">Following the decomposition style of the consistency-model literature [Viotti &amp; Vukolić, ACM CSUR 2016] and the predicate form of the session guarantees [Terry et al., PDIS 1994], each rung is a conjunction of independently varying predicates over a system trace. Let a read event be r = (session s, keys 𝒦, views 𝒱, result ρ, anchor e_r, wall time t_r).</w:t>
      </w:r>
    </w:p>
    <w:p>
      <w:pPr>
        <w:numPr>
          <w:ilvl w:val="0"/>
          <w:numId w:val="1004"/>
        </w:numPr>
        <w:pStyle w:val="Compact"/>
      </w:pPr>
      <w:r>
        <w:rPr>
          <w:bCs/>
          <w:b/>
        </w:rPr>
        <w:t xml:space="preserve">EXACT(r):</w:t>
      </w:r>
      <w:r>
        <w:t xml:space="preserve"> </w:t>
      </w:r>
      <w:r>
        <w:t xml:space="preserve">∀k ∈ 𝒦: ρ[k] = V*(e_r)[k].</w:t>
      </w:r>
      <w:r>
        <w:t xml:space="preserve"> </w:t>
      </w:r>
      <w:r>
        <w:rPr>
          <w:iCs/>
          <w:i/>
        </w:rPr>
        <w:t xml:space="preserve">(Exactness at the anchor.)</w:t>
      </w:r>
    </w:p>
    <w:p>
      <w:pPr>
        <w:numPr>
          <w:ilvl w:val="0"/>
          <w:numId w:val="1004"/>
        </w:numPr>
        <w:pStyle w:val="Compact"/>
      </w:pPr>
      <w:r>
        <w:rPr>
          <w:bCs/>
          <w:b/>
        </w:rPr>
        <w:t xml:space="preserve">BS(K,T)(r):</w:t>
      </w:r>
      <w:r>
        <w:t xml:space="preserve"> </w:t>
      </w:r>
      <w:r>
        <w:t xml:space="preserve">e_r ≥ vis(t_r) − K and time(vis(t_r)) − time(e_r) ≤ T.</w:t>
      </w:r>
    </w:p>
    <w:p>
      <w:pPr>
        <w:numPr>
          <w:ilvl w:val="0"/>
          <w:numId w:val="1004"/>
        </w:numPr>
        <w:pStyle w:val="Compact"/>
      </w:pPr>
      <w:r>
        <w:rPr>
          <w:bCs/>
          <w:b/>
        </w:rPr>
        <w:t xml:space="preserve">MONO(r₁,r₂):</w:t>
      </w:r>
      <w:r>
        <w:t xml:space="preserve"> </w:t>
      </w:r>
      <w:r>
        <w:t xml:space="preserve">r₁ &lt;</w:t>
      </w:r>
      <w:r>
        <w:rPr>
          <w:iCs/>
          <w:i/>
        </w:rPr>
        <w:t xml:space="preserve">s r₂ ⟹ e</w:t>
      </w:r>
      <w:r>
        <w:t xml:space="preserve">{r₁} ≤ e_{r₂}.</w:t>
      </w:r>
    </w:p>
    <w:p>
      <w:pPr>
        <w:numPr>
          <w:ilvl w:val="0"/>
          <w:numId w:val="1004"/>
        </w:numPr>
        <w:pStyle w:val="Compact"/>
      </w:pPr>
      <w:r>
        <w:rPr>
          <w:bCs/>
          <w:b/>
        </w:rPr>
        <w:t xml:space="preserve">RYW(w,r):</w:t>
      </w:r>
      <w:r>
        <w:t xml:space="preserve"> </w:t>
      </w:r>
      <w:r>
        <w:t xml:space="preserve">w &lt;_s r ⟹ epoch(w) ≤ e_r.</w:t>
      </w:r>
    </w:p>
    <w:p>
      <w:pPr>
        <w:numPr>
          <w:ilvl w:val="0"/>
          <w:numId w:val="1004"/>
        </w:numPr>
        <w:pStyle w:val="Compact"/>
      </w:pPr>
      <w:r>
        <w:rPr>
          <w:bCs/>
          <w:b/>
        </w:rPr>
        <w:t xml:space="preserve">X-CONSIST(r):</w:t>
      </w:r>
      <w:r>
        <w:t xml:space="preserve"> </w:t>
      </w:r>
      <w:r>
        <w:t xml:space="preserve">a single e_r for the whole read set, across views.</w:t>
      </w:r>
    </w:p>
    <w:p>
      <w:pPr>
        <w:numPr>
          <w:ilvl w:val="0"/>
          <w:numId w:val="1004"/>
        </w:numPr>
        <w:pStyle w:val="Compact"/>
      </w:pPr>
      <w:r>
        <w:rPr>
          <w:bCs/>
          <w:b/>
        </w:rPr>
        <w:t xml:space="preserve">SER:</w:t>
      </w:r>
      <w:r>
        <w:t xml:space="preserve"> </w:t>
      </w:r>
      <w:r>
        <w:t xml:space="preserve">∃ a total order O on transactions and reads, consistent with commit order, such that every read returns V* at its predecessor prefix in O.</w:t>
      </w:r>
    </w:p>
    <w:p>
      <w:pPr>
        <w:numPr>
          <w:ilvl w:val="0"/>
          <w:numId w:val="1004"/>
        </w:numPr>
        <w:pStyle w:val="Compact"/>
      </w:pPr>
      <w:r>
        <w:rPr>
          <w:bCs/>
          <w:b/>
        </w:rPr>
        <w:t xml:space="preserve">RT:</w:t>
      </w:r>
      <w:r>
        <w:t xml:space="preserve"> </w:t>
      </w:r>
      <w:r>
        <w:t xml:space="preserve">O is consistent with real time; equivalently ∀r: e_r = vis(t_r).</w:t>
      </w:r>
    </w:p>
    <w:p>
      <w:pPr>
        <w:pStyle w:val="FirstParagraph"/>
      </w:pPr>
      <w:r>
        <w:t xml:space="preserve">Then: ℓ₀ = EXACT ∧ BS; ℓ₁ = ℓ₀ ∧ MONO; ℓ₂ = ℓ₁ ∧ RYW; ℓ₃ = EXACT ∧ X-CONSIST; ℓ₄ = ℓ₃ ∧ SER; ℓ₅ = ℓ₄ ∧ RT.</w:t>
      </w:r>
    </w:p>
    <w:p>
      <w:pPr>
        <w:pStyle w:val="BodyText"/>
      </w:pPr>
      <w:r>
        <w:t xml:space="preserve">Two observations do a great deal of work later. First,</w:t>
      </w:r>
      <w:r>
        <w:t xml:space="preserve"> </w:t>
      </w:r>
      <w:r>
        <w:rPr>
          <w:bCs/>
          <w:b/>
        </w:rPr>
        <w:t xml:space="preserve">EXACT is a conjunct of every rung and is identical at every rung</w:t>
      </w:r>
      <w:r>
        <w:t xml:space="preserve">: it says the value agrees with the ideal view</w:t>
      </w:r>
      <w:r>
        <w:t xml:space="preserve"> </w:t>
      </w:r>
      <w:r>
        <w:rPr>
          <w:iCs/>
          <w:i/>
        </w:rPr>
        <w:t xml:space="preserve">at whatever anchor was served</w:t>
      </w:r>
      <w:r>
        <w:t xml:space="preserve">. It is discharged once, by the Reconstruction Theorem, independently of eviction — which is why eviction cannot damage correctness at any level. Second, everything that</w:t>
      </w:r>
      <w:r>
        <w:t xml:space="preserve"> </w:t>
      </w:r>
      <w:r>
        <w:rPr>
          <w:iCs/>
          <w:i/>
        </w:rPr>
        <w:t xml:space="preserve">differs</w:t>
      </w:r>
      <w:r>
        <w:t xml:space="preserve"> </w:t>
      </w:r>
      <w:r>
        <w:t xml:space="preserve">between rungs is anchor policy. The ladder therefore prices only anchor policy, which is what makes Contribution 3’s history-independence result possible.</w:t>
      </w:r>
    </w:p>
    <w:p>
      <w:pPr>
        <w:pStyle w:val="BodyText"/>
      </w:pPr>
      <w:r>
        <w:t xml:space="preserve">A note on attribution, since the seam matters: Papadimitriou’s strict serializability (SSR) is defined over the history’s own operation order, not external real time [JACM 1979]; the real-time formulation is the Herlihy–Wing composition [TOPLAS 1990]. The RT predicate above is the latter, stated over the visibility timeline, and the thesis uses</w:t>
      </w:r>
      <w:r>
        <w:t xml:space="preserve"> </w:t>
      </w:r>
      <w:r>
        <w:t xml:space="preserve">“</w:t>
      </w:r>
      <w:r>
        <w:t xml:space="preserve">ledger-consistent</w:t>
      </w:r>
      <w:r>
        <w:t xml:space="preserve">”</w:t>
      </w:r>
      <w:r>
        <w:t xml:space="preserve"> </w:t>
      </w:r>
      <w:r>
        <w:t xml:space="preserve">as its operational name to avoid conflating the two.</w:t>
      </w:r>
    </w:p>
    <w:p>
      <w:pPr>
        <w:pStyle w:val="BodyText"/>
      </w:pPr>
      <w:r>
        <w:rPr>
          <w:bCs/>
          <w:b/>
        </w:rPr>
        <w:t xml:space="preserve">A locality caveat that the design depends on.</w:t>
      </w:r>
      <w:r>
        <w:t xml:space="preserve"> </w:t>
      </w:r>
      <w:r>
        <w:t xml:space="preserve">Herlihy and Wing prove that linearizability is a</w:t>
      </w:r>
      <w:r>
        <w:t xml:space="preserve"> </w:t>
      </w:r>
      <w:r>
        <w:rPr>
          <w:iCs/>
          <w:i/>
        </w:rPr>
        <w:t xml:space="preserve">local</w:t>
      </w:r>
      <w:r>
        <w:t xml:space="preserve"> </w:t>
      </w:r>
      <w:r>
        <w:t xml:space="preserve">property — a system is linearizable if each of its objects is — and, in the same breath, that</w:t>
      </w:r>
      <w:r>
        <w:t xml:space="preserve"> </w:t>
      </w:r>
      <w:r>
        <w:t xml:space="preserve">“</w:t>
      </w:r>
      <w:r>
        <w:t xml:space="preserve">neither serializability nor strict serializability is a local property.</w:t>
      </w:r>
      <w:r>
        <w:t xml:space="preserve">”</w:t>
      </w:r>
      <w:r>
        <w:t xml:space="preserve"> </w:t>
      </w:r>
      <w:r>
        <w:t xml:space="preserve">This matters here more than it does in most systems, because this thesis serves</w:t>
      </w:r>
      <w:r>
        <w:t xml:space="preserve"> </w:t>
      </w:r>
      <w:r>
        <w:rPr>
          <w:iCs/>
          <w:i/>
        </w:rPr>
        <w:t xml:space="preserve">per-view</w:t>
      </w:r>
      <w:r>
        <w:t xml:space="preserve"> </w:t>
      </w:r>
      <w:r>
        <w:t xml:space="preserve">consistency contracts and must not be read as claiming that composing individually strictly-serializable views yields a strictly-serializable whole. It does not, in general.</w:t>
      </w:r>
    </w:p>
    <w:p>
      <w:pPr>
        <w:pStyle w:val="BodyText"/>
      </w:pPr>
      <w:r>
        <w:t xml:space="preserve">What rescues the design is not the effect system but the</w:t>
      </w:r>
      <w:r>
        <w:t xml:space="preserve"> </w:t>
      </w:r>
      <w:r>
        <w:rPr>
          <w:bCs/>
          <w:b/>
        </w:rPr>
        <w:t xml:space="preserve">single visibility timeline</w:t>
      </w:r>
      <w:r>
        <w:t xml:space="preserve">. Every view is a function of the same totally ordered epoch sequence, so a multi-view read taken at one common anchor is a read of one global state — which is exactly what X-CONSIST demands, and why it is stated as a predicate over a shared anchor rather than as a per-view property. The compositionality theorem of Section 3.4.2 should therefore be read for what it proves — that</w:t>
      </w:r>
      <w:r>
        <w:t xml:space="preserve"> </w:t>
      </w:r>
      <w:r>
        <w:rPr>
          <w:iCs/>
          <w:i/>
        </w:rPr>
        <w:t xml:space="preserve">effect demands</w:t>
      </w:r>
      <w:r>
        <w:t xml:space="preserve"> </w:t>
      </w:r>
      <w:r>
        <w:t xml:space="preserve">propagate soundly through a dataflow, so a view cannot silently observe a parent at a weaker contract — and not as a global-consistency composition result. The global property comes from the shared timeline; the type system’s job is to stop a program from asking for less than it needs.</w:t>
      </w:r>
    </w:p>
    <w:bookmarkEnd w:id="65"/>
    <w:bookmarkStart w:id="66" w:name="bitemporality-value-dates-and-audit"/>
    <w:p>
      <w:pPr>
        <w:pStyle w:val="Heading2"/>
      </w:pPr>
      <w:r>
        <w:t xml:space="preserve">3.9 Bitemporality, Value Dates, and Audit</w:t>
      </w:r>
    </w:p>
    <w:p>
      <w:pPr>
        <w:pStyle w:val="FirstParagraph"/>
      </w:pPr>
      <w:r>
        <w:t xml:space="preserve">Every base row carries two times:</w:t>
      </w:r>
      <w:r>
        <w:t xml:space="preserve"> </w:t>
      </w:r>
      <w:r>
        <w:rPr>
          <w:iCs/>
          <w:i/>
        </w:rPr>
        <w:t xml:space="preserve">valid time</w:t>
      </w:r>
      <w:r>
        <w:t xml:space="preserve"> </w:t>
      </w:r>
      <w:r>
        <w:t xml:space="preserve">(when the fact is true in the world — for payments, the value date) and</w:t>
      </w:r>
      <w:r>
        <w:t xml:space="preserve"> </w:t>
      </w:r>
      <w:r>
        <w:rPr>
          <w:iCs/>
          <w:i/>
        </w:rPr>
        <w:t xml:space="preserve">system time</w:t>
      </w:r>
      <w:r>
        <w:t xml:space="preserve"> </w:t>
      </w:r>
      <w:r>
        <w:t xml:space="preserve">(the epoch that recorded it). Bitemporal state is B(e_sys, t_valid): the view computed from rows with epoch ≤ e_sys and valid-time ≤ t_valid. Late-arriving and corrected data move only along the system axis — a backdated correction is a new epoch asserting a fact about an old valid time — so</w:t>
      </w:r>
      <w:r>
        <w:t xml:space="preserve"> </w:t>
      </w:r>
      <w:r>
        <w:t xml:space="preserve">“</w:t>
      </w:r>
      <w:r>
        <w:t xml:space="preserve">what did the institution believe at s about time t</w:t>
      </w:r>
      <w:r>
        <w:t xml:space="preserve">”</w:t>
      </w:r>
      <w:r>
        <w:t xml:space="preserve"> </w:t>
      </w:r>
      <w:r>
        <w:t xml:space="preserve">is a total function, queryable forever.</w:t>
      </w:r>
    </w:p>
    <w:p>
      <w:pPr>
        <w:pStyle w:val="BodyText"/>
      </w:pPr>
      <w:r>
        <w:t xml:space="preserve">This is not a convenience feature. PSD2 Article 87 constrains the credit value date to be</w:t>
      </w:r>
      <w:r>
        <w:t xml:space="preserve"> </w:t>
      </w:r>
      <w:r>
        <w:t xml:space="preserve">“</w:t>
      </w:r>
      <w:r>
        <w:t xml:space="preserve">no later than the business day on which the amount … is credited to the payee’s payment service provider’s account</w:t>
      </w:r>
      <w:r>
        <w:t xml:space="preserve">”</w:t>
      </w:r>
      <w:r>
        <w:t xml:space="preserve"> </w:t>
      </w:r>
      <w:r>
        <w:t xml:space="preserve">and the debit value date</w:t>
      </w:r>
      <w:r>
        <w:t xml:space="preserve"> </w:t>
      </w:r>
      <w:r>
        <w:t xml:space="preserve">“</w:t>
      </w:r>
      <w:r>
        <w:t xml:space="preserve">no earlier than the time at which the amount … is debited</w:t>
      </w:r>
      <w:r>
        <w:t xml:space="preserve">”</w:t>
      </w:r>
      <w:r>
        <w:t xml:space="preserve">: a legal constraint</w:t>
      </w:r>
      <w:r>
        <w:t xml:space="preserve"> </w:t>
      </w:r>
      <w:r>
        <w:rPr>
          <w:iCs/>
          <w:i/>
        </w:rPr>
        <w:t xml:space="preserve">relating the two axes</w:t>
      </w:r>
      <w:r>
        <w:t xml:space="preserve">. Interest accrual runs on the valid-time axis while audit runs on the system-time axis. A system with one clock cannot state either requirement, which is the argument for putting both in the type system (Appendix B.4) rather than in application convention.</w:t>
      </w:r>
    </w:p>
    <w:p>
      <w:pPr>
        <w:pStyle w:val="BodyText"/>
      </w:pPr>
      <w:r>
        <w:t xml:space="preserve">The model aligns with the standardized one where possible: SQL:2011’s application-time and system-versioned tables, with the closed-open period model and the rule that historical rows cannot be modified by users [Kulkarni &amp; Michels, 2012]. The difference is that here system time is not a timestamp column but the epoch — a discrete, hash-committed, totally ordered coordinate — so</w:t>
      </w:r>
      <w:r>
        <w:t xml:space="preserve"> </w:t>
      </w:r>
      <w:r>
        <w:t xml:space="preserve">“</w:t>
      </w:r>
      <w:r>
        <w:t xml:space="preserve">as of</w:t>
      </w:r>
      <w:r>
        <w:t xml:space="preserve">”</w:t>
      </w:r>
      <w:r>
        <w:t xml:space="preserve"> </w:t>
      </w:r>
      <w:r>
        <w:t xml:space="preserve">is exact rather than approximate, and reproducibility is bit-for-bit.</w:t>
      </w:r>
    </w:p>
    <w:p>
      <w:pPr>
        <w:pStyle w:val="BodyText"/>
      </w:pPr>
      <w:r>
        <w:t xml:space="preserve">Audit obligations reduce to two mechanically checkable properties: chain verification of the prefix, and</w:t>
      </w:r>
      <w:r>
        <w:t xml:space="preserve"> </w:t>
      </w:r>
      <w:r>
        <w:rPr>
          <w:iCs/>
          <w:i/>
        </w:rPr>
        <w:t xml:space="preserve">reproducibility</w:t>
      </w:r>
      <w:r>
        <w:t xml:space="preserve"> </w:t>
      </w:r>
      <w:r>
        <w:t xml:space="preserve">— any published (ρ, e) can be recomputed from the prefix at e and compared byte-for-byte. Retention in Niles is a type-level annotation on</w:t>
      </w:r>
      <w:r>
        <w:t xml:space="preserve"> </w:t>
      </w:r>
      <w:r>
        <w:rPr>
          <w:iCs/>
          <w:i/>
        </w:rPr>
        <w:t xml:space="preserve">views</w:t>
      </w:r>
      <w:r>
        <w:t xml:space="preserve">, never on the base: derived state may forget; the base may not (F4).</w:t>
      </w:r>
    </w:p>
    <w:bookmarkEnd w:id="66"/>
    <w:bookmarkStart w:id="67" w:name="X6d800226462be2707237eb48517a3d09b88a8a4"/>
    <w:p>
      <w:pPr>
        <w:pStyle w:val="Heading2"/>
      </w:pPr>
      <w:r>
        <w:t xml:space="preserve">3.10 Lineage: A Provenance Algebra for Derived State</w:t>
      </w:r>
    </w:p>
    <w:p>
      <w:pPr>
        <w:pStyle w:val="FirstParagraph"/>
      </w:pPr>
      <w:r>
        <w:t xml:space="preserve">Full traceability is a requirement, and it is obtained by construction rather than by logging. Annotate base rows with elements of a commutative semiring; positive relational operators map union and projection to</w:t>
      </w:r>
      <w:r>
        <w:t xml:space="preserve"> </w:t>
      </w:r>
      <w:r>
        <w:rPr>
          <w:rStyle w:val="VerbatimChar"/>
        </w:rPr>
        <w:t xml:space="preserve">+</w:t>
      </w:r>
      <w:r>
        <w:t xml:space="preserve"> </w:t>
      </w:r>
      <w:r>
        <w:t xml:space="preserve">and join to</w:t>
      </w:r>
      <w:r>
        <w:t xml:space="preserve"> </w:t>
      </w:r>
      <w:r>
        <w:rPr>
          <w:rStyle w:val="VerbatimChar"/>
        </w:rPr>
        <w:t xml:space="preserve">·</w:t>
      </w:r>
      <w:r>
        <w:t xml:space="preserve">. The factorization theorem gives the key property: for any positive query and any commutative semiring, the semantics factors through polynomial provenance, so ℕ[X] over row identifiers is the most general annotation and every other semantics is recovered by a homomorphism [Green, Karvounarakis &amp; Tannen, PODS ’07].</w:t>
      </w:r>
    </w:p>
    <w:p>
      <w:pPr>
        <w:pStyle w:val="BodyText"/>
      </w:pPr>
      <w:r>
        <w:t xml:space="preserve">Three consequences are used later. (i) Z-sets are the (ℤ, +, ·) instance, so the thesis’s algebra is already a semiring image and lineage rides along the same circuits rather than requiring a parallel mechanism. (ii)</w:t>
      </w:r>
      <w:r>
        <w:t xml:space="preserve"> </w:t>
      </w:r>
      <w:r>
        <w:rPr>
          <w:bCs/>
          <w:b/>
        </w:rPr>
        <w:t xml:space="preserve">Upquery paths are provenance witnesses.</w:t>
      </w:r>
      <w:r>
        <w:t xml:space="preserve"> </w:t>
      </w:r>
      <w:r>
        <w:t xml:space="preserve">For each output key, the set of base slices sufficient to recompute it is exactly the support of its provenance polynomial; deriving upquery plans is therefore a provenance computation, which is the formal version of Noria’s key-provenance tracing. (iii) Preservation of lineage under eviction-and-reconstruction is a corollary of factorization rather than a separate theorem: if the reconstructed value is the homomorphic image of the same polynomial, its explanation is the same explanation.</w:t>
      </w:r>
    </w:p>
    <w:p>
      <w:pPr>
        <w:pStyle w:val="BodyText"/>
      </w:pPr>
      <w:r>
        <w:t xml:space="preserve">Three lineage modes are offered per view, and the choice is a contract term:</w:t>
      </w:r>
      <w:r>
        <w:t xml:space="preserve"> </w:t>
      </w:r>
      <w:r>
        <w:rPr>
          <w:rStyle w:val="VerbatimChar"/>
        </w:rPr>
        <w:t xml:space="preserve">off</w:t>
      </w:r>
      <w:r>
        <w:t xml:space="preserve"> </w:t>
      </w:r>
      <w:r>
        <w:t xml:space="preserve">(anchors only),</w:t>
      </w:r>
      <w:r>
        <w:t xml:space="preserve"> </w:t>
      </w:r>
      <w:r>
        <w:rPr>
          <w:rStyle w:val="VerbatimChar"/>
        </w:rPr>
        <w:t xml:space="preserve">key</w:t>
      </w:r>
      <w:r>
        <w:t xml:space="preserve"> </w:t>
      </w:r>
      <w:r>
        <w:t xml:space="preserve">(which base keys contributed), and</w:t>
      </w:r>
      <w:r>
        <w:t xml:space="preserve"> </w:t>
      </w:r>
      <w:r>
        <w:rPr>
          <w:rStyle w:val="VerbatimChar"/>
        </w:rPr>
        <w:t xml:space="preserve">full</w:t>
      </w:r>
      <w:r>
        <w:t xml:space="preserve"> </w:t>
      </w:r>
      <w:r>
        <w:t xml:space="preserve">(the how-provenance polynomial, retained). Chapter 9’s S9 measures the cost of each; ORCHESTRA is the prior art that established provenance-guided incremental maintenance and must be positioned against, not rediscovered [Green et al., VLDB ’07].</w:t>
      </w:r>
    </w:p>
    <w:bookmarkEnd w:id="67"/>
    <w:bookmarkStart w:id="68" w:name="X3ec98cdd1feaec05fd7908285cbb9efdd7f62a7"/>
    <w:p>
      <w:pPr>
        <w:pStyle w:val="Heading2"/>
      </w:pPr>
      <w:r>
        <w:t xml:space="preserve">3.11 Transition Semantics and the Reference Oracle</w:t>
      </w:r>
    </w:p>
    <w:p>
      <w:pPr>
        <w:pStyle w:val="FirstParagraph"/>
      </w:pPr>
      <w:r>
        <w:t xml:space="preserve">The system is specified as a labeled transition system 𝒮 over configurations C = (B, {M_V}, sessions) with labels: submit(w), seal(e), apply(V, e), evict(V, k), upquery(V, k, e), read(…), reserve(…), crash, recover.</w:t>
      </w:r>
    </w:p>
    <w:p>
      <w:pPr>
        <w:pStyle w:val="BodyText"/>
      </w:pPr>
      <w:r>
        <w:t xml:space="preserve">The</w:t>
      </w:r>
      <w:r>
        <w:t xml:space="preserve"> </w:t>
      </w:r>
      <w:r>
        <w:rPr>
          <w:iCs/>
          <w:i/>
        </w:rPr>
        <w:t xml:space="preserve">reference oracle</w:t>
      </w:r>
      <w:r>
        <w:t xml:space="preserve"> </w:t>
      </w:r>
      <w:r>
        <w:t xml:space="preserve">𝒪 is the same LTS implemented as simply as possible: a single-threaded interpreter that holds the entire base in memory, materializes nothing, and answers every read by folding a prefix (Appendix F gives it as runnable code, and it is the one artifact of this project that already runs). 𝒪</w:t>
      </w:r>
      <w:r>
        <w:t xml:space="preserve"> </w:t>
      </w:r>
      <w:r>
        <w:rPr>
          <w:iCs/>
          <w:i/>
        </w:rPr>
        <w:t xml:space="preserve">defines</w:t>
      </w:r>
      <w:r>
        <w:t xml:space="preserve"> </w:t>
      </w:r>
      <w:r>
        <w:t xml:space="preserve">correctness: Nilestream is correct iff every observable trace of Nilestream is an observable trace of 𝒪 under the declared per-view contracts. All testing in Chapter 9 is differential testing against 𝒪; all proofs below are simulation arguments toward it.</w:t>
      </w:r>
    </w:p>
    <w:p>
      <w:pPr>
        <w:pStyle w:val="BodyText"/>
      </w:pPr>
      <w:r>
        <w:t xml:space="preserve">The methodological point is worth stating plainly: a small, obviously-correct program that anyone can read is a better definition of correctness than a specification nobody checks, and it can be</w:t>
      </w:r>
      <w:r>
        <w:t xml:space="preserve"> </w:t>
      </w:r>
      <w:r>
        <w:rPr>
          <w:iCs/>
          <w:i/>
        </w:rPr>
        <w:t xml:space="preserve">executed against</w:t>
      </w:r>
      <w:r>
        <w:t xml:space="preserve"> </w:t>
      </w:r>
      <w:r>
        <w:t xml:space="preserve">the real system on every commit.</w:t>
      </w:r>
    </w:p>
    <w:p>
      <w:pPr>
        <w:pStyle w:val="BodyText"/>
      </w:pPr>
      <w:r>
        <w:rPr>
          <w:bCs/>
          <w:b/>
        </w:rPr>
        <w:t xml:space="preserve">A second instrument, and why this architecture suits it.</w:t>
      </w:r>
      <w:r>
        <w:t xml:space="preserve"> </w:t>
      </w:r>
      <w:r>
        <w:t xml:space="preserve">Differential testing against 𝒪 checks</w:t>
      </w:r>
      <w:r>
        <w:t xml:space="preserve"> </w:t>
      </w:r>
      <w:r>
        <w:rPr>
          <w:iCs/>
          <w:i/>
        </w:rPr>
        <w:t xml:space="preserve">values</w:t>
      </w:r>
      <w:r>
        <w:t xml:space="preserve">; it does not check</w:t>
      </w:r>
      <w:r>
        <w:t xml:space="preserve"> </w:t>
      </w:r>
      <w:r>
        <w:rPr>
          <w:iCs/>
          <w:i/>
        </w:rPr>
        <w:t xml:space="preserve">isolation</w:t>
      </w:r>
      <w:r>
        <w:t xml:space="preserve">. The distinction is not academic: a published analysis of a distributed SQL database found that its conservation-of-money tests passed consistently while a causal-reverse anomaly showed the system was serializable but not strictly serializable. The correctness programme therefore adds black-box anomaly inference in the style of Elle, which infers an Adya-style dependency graph from client-observed histories and detects the cycles that define G0, G1a–c, G-single and G2, including real-time and per-process edges, and which is</w:t>
      </w:r>
      <w:r>
        <w:t xml:space="preserve"> </w:t>
      </w:r>
      <w:r>
        <w:rPr>
          <w:iCs/>
          <w:i/>
        </w:rPr>
        <w:t xml:space="preserve">sound</w:t>
      </w:r>
      <w:r>
        <w:t xml:space="preserve">: an anomaly it reports is present in every interpretation of the observation.</w:t>
      </w:r>
    </w:p>
    <w:p>
      <w:pPr>
        <w:pStyle w:val="BodyText"/>
      </w:pPr>
      <w:r>
        <w:t xml:space="preserve">That instrument’s power depends on</w:t>
      </w:r>
      <w:r>
        <w:t xml:space="preserve"> </w:t>
      </w:r>
      <w:r>
        <w:rPr>
          <w:iCs/>
          <w:i/>
        </w:rPr>
        <w:t xml:space="preserve">traceability</w:t>
      </w:r>
      <w:r>
        <w:t xml:space="preserve"> </w:t>
      </w:r>
      <w:r>
        <w:t xml:space="preserve">— the property that a complete version history can be recovered by reading, for which append-only structures are the canonical example. An append-only, hash-chained ledger is exactly such a structure. This is a genuine and previously unstated argument for the architecture:</w:t>
      </w:r>
      <w:r>
        <w:t xml:space="preserve"> </w:t>
      </w:r>
      <w:r>
        <w:rPr>
          <w:bCs/>
          <w:b/>
        </w:rPr>
        <w:t xml:space="preserve">the design is unusually amenable to black-box verification, precisely because it never overwrites.</w:t>
      </w:r>
      <w:r>
        <w:t xml:space="preserve"> </w:t>
      </w:r>
      <w:r>
        <w:t xml:space="preserve">A mutable-state store must be coaxed into revealing its version history; this one is its version history.</w:t>
      </w:r>
    </w:p>
    <w:bookmarkEnd w:id="68"/>
    <w:bookmarkStart w:id="69" w:name="the-proof-ladder"/>
    <w:p>
      <w:pPr>
        <w:pStyle w:val="Heading2"/>
      </w:pPr>
      <w:r>
        <w:t xml:space="preserve">3.12 The Proof Ladder</w:t>
      </w:r>
    </w:p>
    <w:p>
      <w:pPr>
        <w:pStyle w:val="FirstParagraph"/>
      </w:pPr>
      <w:r>
        <w:t xml:space="preserve">The results are arranged so that each discharges the premises of the next.</w:t>
      </w:r>
    </w:p>
    <w:p>
      <w:pPr>
        <w:numPr>
          <w:ilvl w:val="0"/>
          <w:numId w:val="1005"/>
        </w:numPr>
        <w:pStyle w:val="Compact"/>
      </w:pPr>
      <w:r>
        <w:rPr>
          <w:bCs/>
          <w:b/>
        </w:rPr>
        <w:t xml:space="preserve">P1</w:t>
      </w:r>
      <w:r>
        <w:t xml:space="preserve"> </w:t>
      </w:r>
      <w:r>
        <w:t xml:space="preserve">Hash-chain integrity and append-only base ⇒ prefixes are identified by their digests and revisions are detectable.</w:t>
      </w:r>
    </w:p>
    <w:p>
      <w:pPr>
        <w:numPr>
          <w:ilvl w:val="0"/>
          <w:numId w:val="1005"/>
        </w:numPr>
        <w:pStyle w:val="Compact"/>
      </w:pPr>
      <w:r>
        <w:rPr>
          <w:bCs/>
          <w:b/>
        </w:rPr>
        <w:t xml:space="preserve">P2</w:t>
      </w:r>
      <w:r>
        <w:t xml:space="preserve"> </w:t>
      </w:r>
      <w:r>
        <w:t xml:space="preserve">⇒ S(e) is well-defined and immutable per e.</w:t>
      </w:r>
    </w:p>
    <w:p>
      <w:pPr>
        <w:numPr>
          <w:ilvl w:val="0"/>
          <w:numId w:val="1005"/>
        </w:numPr>
        <w:pStyle w:val="Compact"/>
      </w:pPr>
      <w:r>
        <w:rPr>
          <w:bCs/>
          <w:b/>
        </w:rPr>
        <w:t xml:space="preserve">P3</w:t>
      </w:r>
      <w:r>
        <w:t xml:space="preserve"> </w:t>
      </w:r>
      <w:r>
        <w:t xml:space="preserve">⇒</w:t>
      </w:r>
      <w:r>
        <w:t xml:space="preserve"> </w:t>
      </w:r>
      <w:r>
        <w:rPr>
          <w:iCs/>
          <w:i/>
        </w:rPr>
        <w:t xml:space="preserve">Upquery purity</w:t>
      </w:r>
      <w:r>
        <w:t xml:space="preserve">: reconstruction is a pure function of (Q, prefix ≤ e, k).</w:t>
      </w:r>
    </w:p>
    <w:p>
      <w:pPr>
        <w:numPr>
          <w:ilvl w:val="0"/>
          <w:numId w:val="1005"/>
        </w:numPr>
        <w:pStyle w:val="Compact"/>
      </w:pPr>
      <w:r>
        <w:rPr>
          <w:bCs/>
          <w:b/>
        </w:rPr>
        <w:t xml:space="preserve">P4</w:t>
      </w:r>
      <w:r>
        <w:t xml:space="preserve"> </w:t>
      </w:r>
      <w:r>
        <w:t xml:space="preserve">⇒</w:t>
      </w:r>
      <w:r>
        <w:t xml:space="preserve"> </w:t>
      </w:r>
      <w:r>
        <w:rPr>
          <w:bCs/>
          <w:b/>
        </w:rPr>
        <w:t xml:space="preserve">Reconstruction Theorem</w:t>
      </w:r>
      <w:r>
        <w:t xml:space="preserve"> </w:t>
      </w:r>
      <w:r>
        <w:t xml:space="preserve">(Thm 4.1).</w:t>
      </w:r>
    </w:p>
    <w:p>
      <w:pPr>
        <w:numPr>
          <w:ilvl w:val="0"/>
          <w:numId w:val="1005"/>
        </w:numPr>
        <w:pStyle w:val="Compact"/>
      </w:pPr>
      <w:r>
        <w:rPr>
          <w:bCs/>
          <w:b/>
        </w:rPr>
        <w:t xml:space="preserve">P5</w:t>
      </w:r>
      <w:r>
        <w:t xml:space="preserve"> </w:t>
      </w:r>
      <w:r>
        <w:t xml:space="preserve">⇒ the EXACT conjunct of every rung’s predicate.</w:t>
      </w:r>
    </w:p>
    <w:p>
      <w:pPr>
        <w:numPr>
          <w:ilvl w:val="0"/>
          <w:numId w:val="1005"/>
        </w:numPr>
        <w:pStyle w:val="Compact"/>
      </w:pPr>
      <w:r>
        <w:rPr>
          <w:bCs/>
          <w:b/>
        </w:rPr>
        <w:t xml:space="preserve">P6</w:t>
      </w:r>
      <w:r>
        <w:t xml:space="preserve"> </w:t>
      </w:r>
      <w:r>
        <w:t xml:space="preserve">Per-rung anchor-policy implementations are correct (the consistency-and-invariant protocol, Section 3.13).</w:t>
      </w:r>
    </w:p>
    <w:p>
      <w:pPr>
        <w:numPr>
          <w:ilvl w:val="0"/>
          <w:numId w:val="1005"/>
        </w:numPr>
        <w:pStyle w:val="Compact"/>
      </w:pPr>
      <w:r>
        <w:rPr>
          <w:bCs/>
          <w:b/>
        </w:rPr>
        <w:t xml:space="preserve">P7</w:t>
      </w:r>
      <w:r>
        <w:t xml:space="preserve"> </w:t>
      </w:r>
      <w:r>
        <w:t xml:space="preserve">⇒ end-to-end per-view contracts.</w:t>
      </w:r>
    </w:p>
    <w:p>
      <w:pPr>
        <w:numPr>
          <w:ilvl w:val="0"/>
          <w:numId w:val="1005"/>
        </w:numPr>
        <w:pStyle w:val="Compact"/>
      </w:pPr>
      <w:r>
        <w:rPr>
          <w:bCs/>
          <w:b/>
        </w:rPr>
        <w:t xml:space="preserve">P8</w:t>
      </w:r>
      <w:r>
        <w:t xml:space="preserve"> </w:t>
      </w:r>
      <w:r>
        <w:t xml:space="preserve">⇒</w:t>
      </w:r>
      <w:r>
        <w:t xml:space="preserve"> </w:t>
      </w:r>
      <w:r>
        <w:rPr>
          <w:bCs/>
          <w:b/>
        </w:rPr>
        <w:t xml:space="preserve">Niles soundness</w:t>
      </w:r>
      <w:r>
        <w:t xml:space="preserve"> </w:t>
      </w:r>
      <w:r>
        <w:t xml:space="preserve">(Thm 4.4) transfers the guarantees to programs.</w:t>
      </w:r>
    </w:p>
    <w:p>
      <w:pPr>
        <w:numPr>
          <w:ilvl w:val="0"/>
          <w:numId w:val="1005"/>
        </w:numPr>
        <w:pStyle w:val="Compact"/>
      </w:pPr>
      <w:r>
        <w:rPr>
          <w:bCs/>
          <w:b/>
        </w:rPr>
        <w:t xml:space="preserve">P9</w:t>
      </w:r>
      <w:r>
        <w:t xml:space="preserve"> </w:t>
      </w:r>
      <w:r>
        <w:t xml:space="preserve">The optimizer’s mode choices never weaken P7 — materialization mode is</w:t>
      </w:r>
      <w:r>
        <w:t xml:space="preserve"> </w:t>
      </w:r>
      <w:r>
        <w:rPr>
          <w:iCs/>
          <w:i/>
        </w:rPr>
        <w:t xml:space="preserve">cost</w:t>
      </w:r>
      <w:r>
        <w:t xml:space="preserve">, not</w:t>
      </w:r>
      <w:r>
        <w:t xml:space="preserve"> </w:t>
      </w:r>
      <w:r>
        <w:rPr>
          <w:iCs/>
          <w:i/>
        </w:rPr>
        <w:t xml:space="preserve">semantics</w:t>
      </w:r>
      <w:r>
        <w:t xml:space="preserve"> </w:t>
      </w:r>
      <w:r>
        <w:t xml:space="preserve">(Thm 4.5’s safety clause).</w:t>
      </w:r>
    </w:p>
    <w:bookmarkEnd w:id="69"/>
    <w:bookmarkStart w:id="70" w:name="the-consistency-and-invariant-protocol"/>
    <w:p>
      <w:pPr>
        <w:pStyle w:val="Heading2"/>
      </w:pPr>
      <w:r>
        <w:t xml:space="preserve">3.13 The Consistency-and-Invariant Protocol</w:t>
      </w:r>
    </w:p>
    <w:p>
      <w:pPr>
        <w:pStyle w:val="FirstParagraph"/>
      </w:pPr>
      <w:r>
        <w:t xml:space="preserve">The protocol is the operational content of P6, and is stated here because Chapter 4’s theorems assume it.</w:t>
      </w:r>
    </w:p>
    <w:p>
      <w:pPr>
        <w:pStyle w:val="BodyText"/>
      </w:pPr>
      <w:r>
        <w:rPr>
          <w:bCs/>
          <w:b/>
        </w:rPr>
        <w:t xml:space="preserve">Write path.</w:t>
      </w:r>
      <w:r>
        <w:t xml:space="preserve"> </w:t>
      </w:r>
      <w:r>
        <w:t xml:space="preserve">admit → validate(C, idempotency, authorization) → sequence into open epoch → seal(τ or size) → hash → fsync (and quorum, in replicated profiles) → publish vis. Reservations (Section 3.19) are ordinary appended rows admitted under the same rule.</w:t>
      </w:r>
    </w:p>
    <w:p>
      <w:pPr>
        <w:pStyle w:val="BodyText"/>
      </w:pPr>
      <w:r>
        <w:rPr>
          <w:bCs/>
          <w:b/>
        </w:rPr>
        <w:t xml:space="preserve">Maintenance.</w:t>
      </w:r>
      <w:r>
        <w:t xml:space="preserve"> </w:t>
      </w:r>
      <w:r>
        <w:t xml:space="preserve">For each view, apply sealed epochs in order through the incrementalized circuit, touching only resident keys, advancing anchors monotonically. Because the base is immutable, application is a pure function of (resident state, Δₑ) and may proceed concurrently with reads at older anchors.</w:t>
      </w:r>
    </w:p>
    <w:p>
      <w:pPr>
        <w:pStyle w:val="BodyText"/>
      </w:pPr>
      <w:r>
        <w:rPr>
          <w:bCs/>
          <w:b/>
        </w:rPr>
        <w:t xml:space="preserve">Read path.</w:t>
      </w:r>
      <w:r>
        <w:t xml:space="preserve"> </w:t>
      </w:r>
      <w:r>
        <w:t xml:space="preserve">Given (view, key, contract, session): compute the</w:t>
      </w:r>
      <w:r>
        <w:t xml:space="preserve"> </w:t>
      </w:r>
      <w:r>
        <w:rPr>
          <w:iCs/>
          <w:i/>
        </w:rPr>
        <w:t xml:space="preserve">required anchor</w:t>
      </w:r>
      <w:r>
        <w:t xml:space="preserve"> </w:t>
      </w:r>
      <w:r>
        <w:t xml:space="preserve">a from the contract and session watermarks (ℓ₀: any e ≥ vis − K; ℓ₂: ≥ session’s last write epoch; ℓ₃: the read set’s chosen e; ℓ₅: vis(t)). If the slot is Present(v, e) with e ≥ a, serve (v, e). If Present with e &lt; a, either advance (apply pending epochs for that key) or upquery at a, per the optimizer’s latency policy. If Hole or ⊥, upquery at a. If Pending(a′) with a′ ≥ a, join the wait.</w:t>
      </w:r>
    </w:p>
    <w:p>
      <w:pPr>
        <w:pStyle w:val="BodyText"/>
      </w:pPr>
      <w:r>
        <w:rPr>
          <w:bCs/>
          <w:b/>
        </w:rPr>
        <w:t xml:space="preserve">Upquery.</w:t>
      </w:r>
      <w:r>
        <w:t xml:space="preserve"> </w:t>
      </w:r>
      <w:r>
        <w:t xml:space="preserve">Evaluate the circuit in pull mode along the provenance-derived paths against the</w:t>
      </w:r>
      <w:r>
        <w:t xml:space="preserve"> </w:t>
      </w:r>
      <w:r>
        <w:rPr>
          <w:iCs/>
          <w:i/>
        </w:rPr>
        <w:t xml:space="preserve">frozen prefix at a</w:t>
      </w:r>
      <w:r>
        <w:t xml:space="preserve">. Fill the slot as Present(value, a). Because the prefix is immutable, no update can interleave with the reconstruction in a way that changes its result; concurrent epoch application to the same key resolves by anchor comparison, and the higher anchor wins.</w:t>
      </w:r>
    </w:p>
    <w:p>
      <w:pPr>
        <w:pStyle w:val="BodyText"/>
      </w:pPr>
      <w:r>
        <w:rPr>
          <w:bCs/>
          <w:b/>
        </w:rPr>
        <w:t xml:space="preserve">Eviction.</w:t>
      </w:r>
      <w:r>
        <w:t xml:space="preserve"> </w:t>
      </w:r>
      <w:r>
        <w:t xml:space="preserve">Present(v, e) ↦ Hole(e), at any time, for any key not pinned by contract or by an in-flight snapshot. No propagation of eviction notices downstream is required, because a downstream hole is filled by upquery at</w:t>
      </w:r>
      <w:r>
        <w:t xml:space="preserve"> </w:t>
      </w:r>
      <w:r>
        <w:rPr>
          <w:iCs/>
          <w:i/>
        </w:rPr>
        <w:t xml:space="preserve">its</w:t>
      </w:r>
      <w:r>
        <w:t xml:space="preserve"> </w:t>
      </w:r>
      <w:r>
        <w:t xml:space="preserve">required anchor, not by a message from upstream.</w:t>
      </w:r>
    </w:p>
    <w:p>
      <w:pPr>
        <w:pStyle w:val="BodyText"/>
      </w:pPr>
      <w:r>
        <w:t xml:space="preserve">That last sentence is the protocol’s most consequential simplification, and Section 4.2 proves it sound.</w:t>
      </w:r>
    </w:p>
    <w:bookmarkEnd w:id="70"/>
    <w:bookmarkStart w:id="71" w:name="the-cost-law-for-consistency-rungs"/>
    <w:p>
      <w:pPr>
        <w:pStyle w:val="Heading2"/>
      </w:pPr>
      <w:r>
        <w:t xml:space="preserve">3.14 The Cost Law for Consistency Rungs</w:t>
      </w:r>
    </w:p>
    <w:p>
      <w:pPr>
        <w:pStyle w:val="FirstParagraph"/>
      </w:pPr>
      <w:r>
        <w:rPr>
          <w:bCs/>
          <w:b/>
        </w:rPr>
        <w:t xml:space="preserve">Cost model.</w:t>
      </w:r>
      <w:r>
        <w:t xml:space="preserve"> </w:t>
      </w:r>
      <w:r>
        <w:t xml:space="preserve">Charge 1 unit per resident entry-epoch (memory), c_u per upquery path evaluation of width w (base slices touched), c_a per resident-key delta application, and — following the delayed-hits formulation — account for upquery</w:t>
      </w:r>
      <w:r>
        <w:t xml:space="preserve"> </w:t>
      </w:r>
      <w:r>
        <w:rPr>
          <w:iCs/>
          <w:i/>
        </w:rPr>
        <w:t xml:space="preserve">latency</w:t>
      </w:r>
      <w:r>
        <w:t xml:space="preserve"> </w:t>
      </w:r>
      <w:r>
        <w:t xml:space="preserve">through Z, the ratio of upquery service time to mean inter-arrival time for the key range [Atre et al., SIGCOMM ’20].</w:t>
      </w:r>
    </w:p>
    <w:p>
      <w:pPr>
        <w:pStyle w:val="BodyText"/>
      </w:pPr>
      <w:r>
        <w:rPr>
          <w:bCs/>
          <w:b/>
        </w:rPr>
        <w:t xml:space="preserve">Cost law (stated here, proved as Contribution 3).</w:t>
      </w:r>
      <w:r>
        <w:t xml:space="preserve"> </w:t>
      </w:r>
      <w:r>
        <w:t xml:space="preserve">For a workload W with popularity distribution π (Zipf α), working set, read/write mix, and memory budget m:</w:t>
      </w:r>
    </w:p>
    <w:p>
      <w:pPr>
        <w:pStyle w:val="BodyText"/>
      </w:pPr>
      <w:r>
        <w:t xml:space="preserve">C(ℓ, W, m) = C_base(W, m) + Φ(ℓ) · U(W, m, Z)</w:t>
      </w:r>
    </w:p>
    <w:p>
      <w:pPr>
        <w:pStyle w:val="BodyText"/>
      </w:pPr>
      <w:r>
        <w:t xml:space="preserve">where U is the reconstruction/coordination term determined by miss rate under π and m and by Z, and Φ is a rung multiplier: Φ(ℓ₀…ℓ₂) = O(1) (anchor bookkeeping only); Φ(ℓ₃) = O(1) plus snapshot pinning memory; Φ(ℓ₄) = O(contention); Φ(ℓ₅) = Θ(freshness), since every read must observe vis(t).</w:t>
      </w:r>
      <w:r>
        <w:t xml:space="preserve"> </w:t>
      </w:r>
      <w:r>
        <w:rPr>
          <w:bCs/>
          <w:b/>
        </w:rPr>
        <w:t xml:space="preserve">No term depends on the base length n</w:t>
      </w:r>
      <w:r>
        <w:t xml:space="preserve"> </w:t>
      </w:r>
      <w:r>
        <w:t xml:space="preserve">— history enters only through per-key update counts, which is a workload property. That is the claim S3 operationalizes.</w:t>
      </w:r>
    </w:p>
    <w:bookmarkEnd w:id="71"/>
    <w:bookmarkStart w:id="72" w:name="X212a4774680c83ccfb26732fed987ef32a43707"/>
    <w:p>
      <w:pPr>
        <w:pStyle w:val="Heading2"/>
      </w:pPr>
      <w:r>
        <w:t xml:space="preserve">3.15 The Eviction–Consistency Frontier (Statement) and Verification Status</w:t>
      </w:r>
    </w:p>
    <w:p>
      <w:pPr>
        <w:pStyle w:val="FirstParagraph"/>
      </w:pPr>
      <w:r>
        <w:t xml:space="preserve">Stated here in framework vocabulary and proved as Contribution 2:</w:t>
      </w:r>
      <w:r>
        <w:t xml:space="preserve"> </w:t>
      </w:r>
      <w:r>
        <w:rPr>
          <w:iCs/>
          <w:i/>
        </w:rPr>
        <w:t xml:space="preserve">for any partially stateful implementation serving reads at ℓ₅, a read touching a Hole must complete an upquery anchored at vis(t_r), after the seal and application of all real-time-preceding writes to its slice; consequently, beyond a threshold on miss rate determined by write rate, slice width and Z, the expected cost of ℓ₅ serving under partiality is bounded below by the cost of full materialization.</w:t>
      </w:r>
    </w:p>
    <w:p>
      <w:pPr>
        <w:pStyle w:val="BodyText"/>
      </w:pPr>
      <w:r>
        <w:rPr>
          <w:bCs/>
          <w:b/>
        </w:rPr>
        <w:t xml:space="preserve">Verification status — what is proved, tested, or assumed.</w:t>
      </w:r>
      <w:r>
        <w:t xml:space="preserve"> </w:t>
      </w:r>
      <w:r>
        <w:t xml:space="preserve">Honesty here is a deliverable.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P1–P3</w:t>
            </w:r>
          </w:p>
        </w:tc>
        <w:tc>
          <w:tcPr/>
          <w:p>
            <w:pPr>
              <w:pStyle w:val="Compact"/>
              <w:jc w:val="left"/>
            </w:pPr>
            <w:r>
              <w:t xml:space="preserve">Proved from the definitions; hash-chain security reduces to collision resistance of H (assumed), and the guarantee is detection relative to a retained digest.</w:t>
            </w:r>
          </w:p>
        </w:tc>
      </w:tr>
      <w:tr>
        <w:tc>
          <w:tcPr/>
          <w:p>
            <w:pPr>
              <w:pStyle w:val="Compact"/>
              <w:jc w:val="left"/>
            </w:pPr>
            <w:r>
              <w:t xml:space="preserve">Thm 4.1 (reconstruction) + conservation corollary</w:t>
            </w:r>
          </w:p>
        </w:tc>
        <w:tc>
          <w:tcPr/>
          <w:p>
            <w:pPr>
              <w:pStyle w:val="Compact"/>
              <w:jc w:val="left"/>
            </w:pPr>
            <w:r>
              <w:t xml:space="preserve">Proved on paper; mirrored as executable property tests against 𝒪.</w:t>
            </w:r>
          </w:p>
        </w:tc>
      </w:tr>
      <w:tr>
        <w:tc>
          <w:tcPr/>
          <w:p>
            <w:pPr>
              <w:pStyle w:val="Compact"/>
              <w:jc w:val="left"/>
            </w:pPr>
            <w:r>
              <w:t xml:space="preserve">Thm 4.2 (frontier)</w:t>
            </w:r>
          </w:p>
        </w:tc>
        <w:tc>
          <w:tcPr/>
          <w:p>
            <w:pPr>
              <w:pStyle w:val="Compact"/>
              <w:jc w:val="left"/>
            </w:pPr>
            <w:r>
              <w:t xml:space="preserve">Paper proof of an asymptotic bound; explicit constants only in special cases. The Ω(kZ) competitive lower bound for delayed hits is</w:t>
            </w:r>
            <w:r>
              <w:t xml:space="preserve"> </w:t>
            </w:r>
            <w:r>
              <w:rPr>
                <w:iCs/>
                <w:i/>
              </w:rPr>
              <w:t xml:space="preserve">attributed</w:t>
            </w:r>
            <w:r>
              <w:t xml:space="preserve"> </w:t>
            </w:r>
            <w:r>
              <w:t xml:space="preserve">to work cited in Atre et al. and is used as corroboration, not as this thesis’s result.</w:t>
            </w:r>
          </w:p>
        </w:tc>
      </w:tr>
      <w:tr>
        <w:tc>
          <w:tcPr/>
          <w:p>
            <w:pPr>
              <w:pStyle w:val="Compact"/>
              <w:jc w:val="left"/>
            </w:pPr>
            <w:r>
              <w:t xml:space="preserve">Thm 4.3 (rung pricing)</w:t>
            </w:r>
          </w:p>
        </w:tc>
        <w:tc>
          <w:tcPr/>
          <w:p>
            <w:pPr>
              <w:pStyle w:val="Compact"/>
              <w:jc w:val="left"/>
            </w:pPr>
            <w:r>
              <w:t xml:space="preserve">Upper bounds constructive; lower bounds proved in the restricted cost model stated in §4.4, which assumes anchor-indexed access to per-key deltas.</w:t>
            </w:r>
          </w:p>
        </w:tc>
      </w:tr>
      <w:tr>
        <w:tc>
          <w:tcPr/>
          <w:p>
            <w:pPr>
              <w:pStyle w:val="Compact"/>
              <w:jc w:val="left"/>
            </w:pPr>
            <w:r>
              <w:t xml:space="preserve">Thm 4.4 (Niles soundness)</w:t>
            </w:r>
          </w:p>
        </w:tc>
        <w:tc>
          <w:tcPr/>
          <w:p>
            <w:pPr>
              <w:pStyle w:val="Compact"/>
              <w:jc w:val="left"/>
            </w:pPr>
            <w:r>
              <w:t xml:space="preserve">Proved for the calculus λ_niles, which idealizes the implemented language; the gap is a declared threat and is attacked by the S4 campaign.</w:t>
            </w:r>
          </w:p>
        </w:tc>
      </w:tr>
      <w:tr>
        <w:tc>
          <w:tcPr/>
          <w:p>
            <w:pPr>
              <w:pStyle w:val="Compact"/>
              <w:jc w:val="left"/>
            </w:pPr>
            <w:r>
              <w:t xml:space="preserve">Thm 4.5 (optimizer)</w:t>
            </w:r>
          </w:p>
        </w:tc>
        <w:tc>
          <w:tcPr/>
          <w:p>
            <w:pPr>
              <w:pStyle w:val="Compact"/>
              <w:jc w:val="left"/>
            </w:pPr>
            <w:r>
              <w:t xml:space="preserve">Competitive bounds proved for the stated cost model; the delayed-hit regime inherits the literature’s caution that classical optimality does not transfer.</w:t>
            </w:r>
          </w:p>
        </w:tc>
      </w:tr>
      <w:tr>
        <w:tc>
          <w:tcPr/>
          <w:p>
            <w:pPr>
              <w:pStyle w:val="Compact"/>
              <w:jc w:val="left"/>
            </w:pPr>
            <w:r>
              <w:t xml:space="preserve">Thm 4.6 (generality)</w:t>
            </w:r>
          </w:p>
        </w:tc>
        <w:tc>
          <w:tcPr/>
          <w:p>
            <w:pPr>
              <w:pStyle w:val="Compact"/>
              <w:jc w:val="left"/>
            </w:pPr>
            <w:r>
              <w:t xml:space="preserve">Relational completeness and the SQL-fragment translation are constructive; fixpoint completeness is by reduction to Immerman–Vardi, whose ordering hypothesis the epoch order supplies.</w:t>
            </w:r>
          </w:p>
        </w:tc>
      </w:tr>
      <w:tr>
        <w:tc>
          <w:tcPr/>
          <w:p>
            <w:pPr>
              <w:pStyle w:val="Compact"/>
              <w:jc w:val="left"/>
            </w:pPr>
            <w:r>
              <w:t xml:space="preserve">Mechanization</w:t>
            </w:r>
          </w:p>
        </w:tc>
        <w:tc>
          <w:tcPr/>
          <w:p>
            <w:pPr>
              <w:pStyle w:val="Compact"/>
              <w:jc w:val="left"/>
            </w:pPr>
            <w:r>
              <w:t xml:space="preserve">Not done. A Lean or Coq development of P4 and Thm 4.4 is future work (Chapter 12), scoped but not claimed. Note that DBSP’s own mathematics has been mechanized in Lean, which lowers the cost of that step.</w:t>
            </w:r>
          </w:p>
        </w:tc>
      </w:tr>
      <w:tr>
        <w:tc>
          <w:tcPr/>
          <w:p>
            <w:pPr>
              <w:pStyle w:val="Compact"/>
              <w:jc w:val="left"/>
            </w:pPr>
            <w:r>
              <w:t xml:space="preserve">Empirical validation</w:t>
            </w:r>
          </w:p>
        </w:tc>
        <w:tc>
          <w:tcPr/>
          <w:p>
            <w:pPr>
              <w:pStyle w:val="Compact"/>
              <w:jc w:val="left"/>
            </w:pPr>
            <w:r>
              <w:rPr>
                <w:bCs/>
                <w:b/>
              </w:rPr>
              <w:t xml:space="preserve">None yet.</w:t>
            </w:r>
            <w:r>
              <w:t xml:space="preserve"> </w:t>
            </w:r>
            <w:r>
              <w:t xml:space="preserve">Chapter 9 is protocol and prediction.</w:t>
            </w:r>
          </w:p>
        </w:tc>
      </w:tr>
    </w:tbl>
    <w:bookmarkEnd w:id="72"/>
    <w:bookmarkStart w:id="73" w:name="X7248fee205b8a9f08d3040417325fd4438bd838"/>
    <w:p>
      <w:pPr>
        <w:pStyle w:val="Heading2"/>
      </w:pPr>
      <w:r>
        <w:t xml:space="preserve">3.16 Establishment and Formalization of the Foundational Hypotheses</w:t>
      </w:r>
    </w:p>
    <w:p>
      <w:pPr>
        <w:pStyle w:val="FirstParagraph"/>
      </w:pPr>
      <w:r>
        <w:rPr>
          <w:bCs/>
          <w:b/>
        </w:rPr>
        <w:t xml:space="preserve">F1 (unboundedness).</w:t>
      </w:r>
      <w:r>
        <w:t xml:space="preserve"> </w:t>
      </w:r>
      <w:r>
        <w:t xml:space="preserve">Formally: the source is a stream Δ : ℕ → Z[Row] with no computable bound on Σ|Δᵢ|. The design consequence — no component may be admitted whose correctness or resident-state requirement depends on total input — is imposed on every part of Nilestream and audited. The</w:t>
      </w:r>
      <w:r>
        <w:t xml:space="preserve"> </w:t>
      </w:r>
      <w:r>
        <w:rPr>
          <w:iCs/>
          <w:i/>
        </w:rPr>
        <w:t xml:space="preserve">mismatch catalog</w:t>
      </w:r>
      <w:r>
        <w:t xml:space="preserve"> </w:t>
      </w:r>
      <w:r>
        <w:t xml:space="preserve">is the argument’s substance: (i) a finite-first engine that destroys the changelog by in-place update must reconstruct it downstream by CDC, paying twice for information it had; (ii) audit that retention gives exactly must be approximated by triggers and shadow tables; (iii) absent anchors, applications implement version fencing by hand, and each hand-rolled fence is an anomaly class; (iv) unbounded state in stream operators must be bounded by windows chosen for engineering rather than semantic reasons, which converts a correctness question into a configuration question. Each entry names the aligned primitive that dissolves it.</w:t>
      </w:r>
    </w:p>
    <w:p>
      <w:pPr>
        <w:pStyle w:val="BodyText"/>
      </w:pPr>
      <w:r>
        <w:rPr>
          <w:bCs/>
          <w:b/>
        </w:rPr>
        <w:t xml:space="preserve">F2 (duality).</w:t>
      </w:r>
      <w:r>
        <w:t xml:space="preserve"> </w:t>
      </w:r>
      <w:r>
        <w:t xml:space="preserve">On epoch-indexed streams, D and I are mutually inverse [Budiu et al., Thm 2.20]. The thesis’s contribution is the</w:t>
      </w:r>
      <w:r>
        <w:t xml:space="preserve"> </w:t>
      </w:r>
      <w:r>
        <w:rPr>
          <w:iCs/>
          <w:i/>
        </w:rPr>
        <w:t xml:space="preserve">asymmetry</w:t>
      </w:r>
      <w:r>
        <w:t xml:space="preserve"> </w:t>
      </w:r>
      <w:r>
        <w:t xml:space="preserve">that follows:</w:t>
      </w:r>
    </w:p>
    <w:p>
      <w:pPr>
        <w:pStyle w:val="BodyText"/>
      </w:pPr>
      <w:r>
        <w:rPr>
          <w:bCs/>
          <w:b/>
        </w:rPr>
        <w:t xml:space="preserve">Lemma 3.3 (Information asymmetry).</w:t>
      </w:r>
      <w:r>
        <w:t xml:space="preserve"> </w:t>
      </w:r>
      <w:r>
        <w:t xml:space="preserve">Let 𝔖 be the set of finite histories and let ι : 𝔖 → State send a history to its integral at its final epoch. Then ι is not injective, whereas the map sending a retained history to the family ⟨S(e)⟩_{e≤n} together with the order and per-row provenance is injective.</w:t>
      </w:r>
      <w:r>
        <w:t xml:space="preserve"> </w:t>
      </w:r>
      <w:r>
        <w:rPr>
          <w:iCs/>
          <w:i/>
        </w:rPr>
        <w:t xml:space="preserve">Proof:</w:t>
      </w:r>
      <w:r>
        <w:t xml:space="preserve"> </w:t>
      </w:r>
      <w:r>
        <w:t xml:space="preserve">two distinct histories (a single posting of +5, versus +7 followed by −2) share an integral, so ι is not injective; conversely a retained history determines every prefix integral by Definition 3.1 and determines the order by indexing, so the map is injective by construction. ∎</w:t>
      </w:r>
    </w:p>
    <w:p>
      <w:pPr>
        <w:pStyle w:val="BodyText"/>
      </w:pPr>
      <w:r>
        <w:t xml:space="preserve">Hence</w:t>
      </w:r>
      <w:r>
        <w:t xml:space="preserve"> </w:t>
      </w:r>
      <w:r>
        <w:t xml:space="preserve">“</w:t>
      </w:r>
      <w:r>
        <w:t xml:space="preserve">the table is merely the integral of the stream</w:t>
      </w:r>
      <w:r>
        <w:t xml:space="preserve">”</w:t>
      </w:r>
      <w:r>
        <w:t xml:space="preserve">: the integral is a lossy summary of the stream, and it is the stream that is primitive. CQL is cited for the older architectural correspondence — relations as time-varying mappings, with three operator classes bridging streams and relations — with the explicit caveat that CQL states a reduction rather than a duality theorem; Sax et al. are cited for the systems-level duality [BIRTE ’18].</w:t>
      </w:r>
    </w:p>
    <w:p>
      <w:pPr>
        <w:pStyle w:val="BodyText"/>
      </w:pPr>
      <w:r>
        <w:rPr>
          <w:bCs/>
          <w:b/>
        </w:rPr>
        <w:t xml:space="preserve">F3 (alignment).</w:t>
      </w:r>
      <w:r>
        <w:t xml:space="preserve"> </w:t>
      </w:r>
      <w:r>
        <w:t xml:space="preserve">Established argumentatively via the catalog above, with a comparative audit (Section 9.7) whose counting rules are fixed in advance, and with the generality half discharged by proof: Theorem 4.6 shows the stream-first design retains full relational expressive power, so alignment costs nothing in what can be asked. The strongest opposing position — that SQL needs only time-varying relations, event-time semantics and a few materialization keywords [Begoli et al., SIGMOD ’19] — is engaged directly in Section 6.10 rather than ignored.</w:t>
      </w:r>
    </w:p>
    <w:p>
      <w:pPr>
        <w:pStyle w:val="BodyText"/>
      </w:pPr>
      <w:r>
        <w:rPr>
          <w:bCs/>
          <w:b/>
        </w:rPr>
        <w:t xml:space="preserve">F4 (the aligned shape).</w:t>
      </w:r>
      <w:r>
        <w:t xml:space="preserve"> </w:t>
      </w:r>
      <w:r>
        <w:t xml:space="preserve">The reconstruction-equivalence theorem (Thm 4.1) shows that with a fully retained base, the pair (immutable base,</w:t>
      </w:r>
      <w:r>
        <w:t xml:space="preserve"> </w:t>
      </w:r>
      <w:r>
        <w:rPr>
          <w:iCs/>
          <w:i/>
        </w:rPr>
        <w:t xml:space="preserve">partial</w:t>
      </w:r>
      <w:r>
        <w:t xml:space="preserve"> </w:t>
      </w:r>
      <w:r>
        <w:t xml:space="preserve">derived state) is observationally equivalent to (immutable base,</w:t>
      </w:r>
      <w:r>
        <w:t xml:space="preserve"> </w:t>
      </w:r>
      <w:r>
        <w:rPr>
          <w:iCs/>
          <w:i/>
        </w:rPr>
        <w:t xml:space="preserve">total</w:t>
      </w:r>
      <w:r>
        <w:t xml:space="preserve"> </w:t>
      </w:r>
      <w:r>
        <w:t xml:space="preserve">derived state) under all declared contracts. The converse direction is what makes retention</w:t>
      </w:r>
      <w:r>
        <w:t xml:space="preserve"> </w:t>
      </w:r>
      <w:r>
        <w:rPr>
          <w:iCs/>
          <w:i/>
        </w:rPr>
        <w:t xml:space="preserve">necessary</w:t>
      </w:r>
      <w:r>
        <w:t xml:space="preserve"> </w:t>
      </w:r>
      <w:r>
        <w:t xml:space="preserve">rather than merely sufficient:</w:t>
      </w:r>
    </w:p>
    <w:p>
      <w:pPr>
        <w:pStyle w:val="BodyText"/>
      </w:pPr>
      <w:r>
        <w:rPr>
          <w:bCs/>
          <w:b/>
        </w:rPr>
        <w:t xml:space="preserve">Proposition 3.4 (Necessity of retention).</w:t>
      </w:r>
      <w:r>
        <w:t xml:space="preserve"> </w:t>
      </w:r>
      <w:r>
        <w:t xml:space="preserve">If the base is truncated below epoch e₀, then for any view whose provenance support includes rows before e₀, there exists an eviction schedule after which no procedure can restore the pre-eviction value.</w:t>
      </w:r>
      <w:r>
        <w:t xml:space="preserve"> </w:t>
      </w:r>
      <w:r>
        <w:rPr>
          <w:iCs/>
          <w:i/>
        </w:rPr>
        <w:t xml:space="preserve">Proof:</w:t>
      </w:r>
      <w:r>
        <w:t xml:space="preserve"> </w:t>
      </w:r>
      <w:r>
        <w:t xml:space="preserve">by P3 reconstruction is a function of the retained prefix; a truncated prefix is a different function’s domain; choose a key whose polynomial support includes a truncated row and evict it. ∎ Compaction and snapshotting are therefore</w:t>
      </w:r>
      <w:r>
        <w:t xml:space="preserve"> </w:t>
      </w:r>
      <w:r>
        <w:rPr>
          <w:iCs/>
          <w:i/>
        </w:rPr>
        <w:t xml:space="preserve">optimizations that must preserve reconstructibility</w:t>
      </w:r>
      <w:r>
        <w:t xml:space="preserve">, not licence to forget.</w:t>
      </w:r>
    </w:p>
    <w:p>
      <w:pPr>
        <w:pStyle w:val="BodyText"/>
      </w:pPr>
      <w:r>
        <w:t xml:space="preserve">The architectural precedents — event sourcing and CQRS, the Lambda/Kappa debate, Datomic’s immutable model, Lucene’s write-once segments with tombstones and background merging, Trillian’s log-backed map — are treated as evidence of practicality, not of correctness; correctness is the theorem’s job.</w:t>
      </w:r>
    </w:p>
    <w:bookmarkEnd w:id="73"/>
    <w:bookmarkStart w:id="74" w:name="immutability-and-data-race-freedom"/>
    <w:p>
      <w:pPr>
        <w:pStyle w:val="Heading2"/>
      </w:pPr>
      <w:r>
        <w:t xml:space="preserve">3.17 Immutability and Data-Race Freedom</w:t>
      </w:r>
    </w:p>
    <w:p>
      <w:pPr>
        <w:pStyle w:val="FirstParagraph"/>
      </w:pPr>
      <w:r>
        <w:t xml:space="preserve">Immutability is also a concurrency theorem. Sealed epochs and their integrals are immutable values, so every read of prefix data is race-free without synchronization, and the only contended objects in the entire system are (i) the open epoch’s admission queue and (ii) each view’s resident-state map.</w:t>
      </w:r>
    </w:p>
    <w:p>
      <w:pPr>
        <w:pStyle w:val="BodyText"/>
      </w:pPr>
      <w:r>
        <w:t xml:space="preserve">Formally, the happens-before order generated by seal events makes every access to sealed data a read of an immutable location; hence no data race can involve the base, and the residual proof obligations are exactly two lock disciplines — small enough for exhaustive interleaving checks. The implementation encodes this in the type system: sealed data is reachable only through shared immutable references, so the absence of</w:t>
      </w:r>
      <w:r>
        <w:t xml:space="preserve"> </w:t>
      </w:r>
      <w:r>
        <w:rPr>
          <w:rStyle w:val="VerbatimChar"/>
        </w:rPr>
        <w:t xml:space="preserve">&amp;mut</w:t>
      </w:r>
      <w:r>
        <w:t xml:space="preserve"> </w:t>
      </w:r>
      <w:r>
        <w:t xml:space="preserve">to prefix data is a compile-time property rather than a convention. Rust’s guarantee here is the affine-ownership one formalized by RustBelt, whose central invariant is that</w:t>
      </w:r>
      <w:r>
        <w:t xml:space="preserve"> </w:t>
      </w:r>
      <w:r>
        <w:t xml:space="preserve">“</w:t>
      </w:r>
      <w:r>
        <w:t xml:space="preserve">aliasing and mutation cannot occur simultaneously on any given location</w:t>
      </w:r>
      <w:r>
        <w:t xml:space="preserve">”</w:t>
      </w:r>
      <w:r>
        <w:t xml:space="preserve"> </w:t>
      </w:r>
      <w:r>
        <w:t xml:space="preserve">[Jung et al., POPL ’18]. Section 5.8 gives the verification plan; Section 9.10 the acceptance criteria.</w:t>
      </w:r>
    </w:p>
    <w:bookmarkEnd w:id="74"/>
    <w:bookmarkStart w:id="75" w:name="X16b858ee4a8c3880dba2d4d39bf8419bfca8ac3"/>
    <w:p>
      <w:pPr>
        <w:pStyle w:val="Heading2"/>
      </w:pPr>
      <w:r>
        <w:t xml:space="preserve">3.18 Multi-Currency, FX, and Atomic Cross-Currency Conservation</w:t>
      </w:r>
    </w:p>
    <w:p>
      <w:pPr>
        <w:pStyle w:val="FirstParagraph"/>
      </w:pPr>
      <w:r>
        <w:t xml:space="preserve">Conservation is per-currency (Definition 3.4 quantifies over c), so currencies are independent conserved quantities. An FX conversion is therefore</w:t>
      </w:r>
      <w:r>
        <w:t xml:space="preserve"> </w:t>
      </w:r>
      <w:r>
        <w:rPr>
          <w:iCs/>
          <w:i/>
        </w:rPr>
        <w:t xml:space="preserve">two</w:t>
      </w:r>
      <w:r>
        <w:t xml:space="preserve"> </w:t>
      </w:r>
      <w:r>
        <w:t xml:space="preserve">balanced legs joined atomically.</w:t>
      </w:r>
    </w:p>
    <w:p>
      <w:pPr>
        <w:pStyle w:val="BodyText"/>
      </w:pPr>
      <w:r>
        <w:rPr>
          <w:bCs/>
          <w:b/>
        </w:rPr>
        <w:t xml:space="preserve">Definition 3.7 (FX-atomic).</w:t>
      </w:r>
      <w:r>
        <w:t xml:space="preserve"> </w:t>
      </w:r>
      <w:r>
        <w:t xml:space="preserve">A transaction touching currencies A ≠ B is well-formed iff each currency’s postings balance</w:t>
      </w:r>
      <w:r>
        <w:t xml:space="preserve"> </w:t>
      </w:r>
      <w:r>
        <w:rPr>
          <w:iCs/>
          <w:i/>
        </w:rPr>
        <w:t xml:space="preserve">separately</w:t>
      </w:r>
      <w:r>
        <w:t xml:space="preserve"> </w:t>
      </w:r>
      <w:r>
        <w:t xml:space="preserve">within it.</w:t>
      </w:r>
    </w:p>
    <w:p>
      <w:pPr>
        <w:pStyle w:val="BodyText"/>
      </w:pPr>
      <w:r>
        <w:rPr>
          <w:bCs/>
          <w:b/>
        </w:rPr>
        <w:t xml:space="preserve">Lemma 3.5.</w:t>
      </w:r>
      <w:r>
        <w:t xml:space="preserve"> </w:t>
      </w:r>
      <w:r>
        <w:t xml:space="preserve">Under Definition 3.7, no interleaving, eviction, reconstruction or crash-recovery can observe a state in which value has crossed currencies; cross-currency exposure exists only as explicitly modeled positions in FX-position accounts.</w:t>
      </w:r>
      <w:r>
        <w:t xml:space="preserve"> </w:t>
      </w:r>
      <w:r>
        <w:rPr>
          <w:iCs/>
          <w:i/>
        </w:rPr>
        <w:t xml:space="preserve">Proof sketch:</w:t>
      </w:r>
      <w:r>
        <w:t xml:space="preserve"> </w:t>
      </w:r>
      <w:r>
        <w:t xml:space="preserve">per-currency balance is compositional (Lemma 3.1), epochs are atomic visibility units (Section 3.5), and Corollary 4.1.1 extends conservation across eviction. ∎</w:t>
      </w:r>
    </w:p>
    <w:p>
      <w:pPr>
        <w:pStyle w:val="BodyText"/>
      </w:pPr>
      <w:r>
        <w:t xml:space="preserve">The industrial precedent is exact: TigerBeetle partitions accounts by ledger, typically one per currency, permits direct transfers only within a ledger, and performs FX through atomically</w:t>
      </w:r>
      <w:r>
        <w:t xml:space="preserve"> </w:t>
      </w:r>
      <w:r>
        <w:rPr>
          <w:iCs/>
          <w:i/>
        </w:rPr>
        <w:t xml:space="preserve">linked</w:t>
      </w:r>
      <w:r>
        <w:t xml:space="preserve"> </w:t>
      </w:r>
      <w:r>
        <w:t xml:space="preserve">transfers. The type-level enforcement —</w:t>
      </w:r>
      <w:r>
        <w:t xml:space="preserve"> </w:t>
      </w:r>
      <w:r>
        <w:rPr>
          <w:rStyle w:val="VerbatimChar"/>
        </w:rPr>
        <w:t xml:space="preserve">Money⟨A⟩ + Money⟨B⟩</w:t>
      </w:r>
      <w:r>
        <w:t xml:space="preserve"> </w:t>
      </w:r>
      <w:r>
        <w:t xml:space="preserve">is not typeable, and conversion requires an</w:t>
      </w:r>
      <w:r>
        <w:t xml:space="preserve"> </w:t>
      </w:r>
      <w:r>
        <w:rPr>
          <w:rStyle w:val="VerbatimChar"/>
        </w:rPr>
        <w:t xml:space="preserve">fx</w:t>
      </w:r>
      <w:r>
        <w:t xml:space="preserve"> </w:t>
      </w:r>
      <w:r>
        <w:t xml:space="preserve">term carrying both legs — is Contribution 4. The formal warrant that a type system can carry this weight is Kennedy’s parametricity result for units of measure, whose striking corollary is that dimension-polymorphic typing is strong enough to</w:t>
      </w:r>
      <w:r>
        <w:t xml:space="preserve"> </w:t>
      </w:r>
      <w:r>
        <w:rPr>
          <w:iCs/>
          <w:i/>
        </w:rPr>
        <w:t xml:space="preserve">rule out entire functions</w:t>
      </w:r>
      <w:r>
        <w:t xml:space="preserve"> </w:t>
      </w:r>
      <w:r>
        <w:t xml:space="preserve">— a fully polymorphic square root over dimensioned quantities cannot return a non-zero result for any argument [Kennedy, POPL ’97]. Currency indices are the same machinery pointed at money.</w:t>
      </w:r>
    </w:p>
    <w:bookmarkEnd w:id="75"/>
    <w:bookmarkStart w:id="76" w:name="X307881750e532cd2193c6af37992e9bb85d35bd"/>
    <w:p>
      <w:pPr>
        <w:pStyle w:val="Heading2"/>
      </w:pPr>
      <w:r>
        <w:t xml:space="preserve">3.19 Holds, Available Balance, and Escrow as Ledger Facts</w:t>
      </w:r>
    </w:p>
    <w:p>
      <w:pPr>
        <w:pStyle w:val="FirstParagraph"/>
      </w:pPr>
      <w:r>
        <w:t xml:space="preserve">The available-balance requirement is where the theory meets the regulator, and it is modeled without a single mutable cell.</w:t>
      </w:r>
    </w:p>
    <w:p>
      <w:pPr>
        <w:pStyle w:val="BodyText"/>
      </w:pPr>
      <w:r>
        <w:rPr>
          <w:bCs/>
          <w:b/>
        </w:rPr>
        <w:t xml:space="preserve">Definition 3.8 (Reservation).</w:t>
      </w:r>
      <w:r>
        <w:t xml:space="preserve"> </w:t>
      </w:r>
      <w:r>
        <w:t xml:space="preserve">A</w:t>
      </w:r>
      <w:r>
        <w:t xml:space="preserve"> </w:t>
      </w:r>
      <w:r>
        <w:rPr>
          <w:iCs/>
          <w:i/>
        </w:rPr>
        <w:t xml:space="preserve">hold</w:t>
      </w:r>
      <w:r>
        <w:t xml:space="preserve"> </w:t>
      </w:r>
      <w:r>
        <w:t xml:space="preserve">is an ordinary appended base row h = (txn, acct, cur, amount, expiry, …) marked pending. It is resolved by</w:t>
      </w:r>
      <w:r>
        <w:t xml:space="preserve"> </w:t>
      </w:r>
      <w:r>
        <w:rPr>
          <w:iCs/>
          <w:i/>
        </w:rPr>
        <w:t xml:space="preserve">appending</w:t>
      </w:r>
      <w:r>
        <w:t xml:space="preserve"> </w:t>
      </w:r>
      <w:r>
        <w:t xml:space="preserve">a resolution row: post (fully or partially, with the remainder released), void, or expire. Nothing is ever updated.</w:t>
      </w:r>
    </w:p>
    <w:p>
      <w:pPr>
        <w:pStyle w:val="BodyText"/>
      </w:pPr>
      <w:r>
        <w:t xml:space="preserve">Two views follow immediately, and they are the two the regulator distinguishes: the</w:t>
      </w:r>
      <w:r>
        <w:t xml:space="preserve"> </w:t>
      </w:r>
      <w:r>
        <w:rPr>
          <w:bCs/>
          <w:b/>
        </w:rPr>
        <w:t xml:space="preserve">ledger balance</w:t>
      </w:r>
      <w:r>
        <w:t xml:space="preserve"> </w:t>
      </w:r>
      <w:r>
        <w:t xml:space="preserve">is the sum of settled postings; the</w:t>
      </w:r>
      <w:r>
        <w:t xml:space="preserve"> </w:t>
      </w:r>
      <w:r>
        <w:rPr>
          <w:bCs/>
          <w:b/>
        </w:rPr>
        <w:t xml:space="preserve">available balance</w:t>
      </w:r>
      <w:r>
        <w:t xml:space="preserve"> </w:t>
      </w:r>
      <w:r>
        <w:t xml:space="preserve">is the ledger balance minus unresolved holds. Both are REVs over the same base, differing only in which rows their circuits admit — which is exactly the FDIC’s distinction between a balance computed</w:t>
      </w:r>
      <w:r>
        <w:t xml:space="preserve"> </w:t>
      </w:r>
      <w:r>
        <w:t xml:space="preserve">“</w:t>
      </w:r>
      <w:r>
        <w:t xml:space="preserve">based only on transactions settled during the relevant period</w:t>
      </w:r>
      <w:r>
        <w:t xml:space="preserve">”</w:t>
      </w:r>
      <w:r>
        <w:t xml:space="preserve"> </w:t>
      </w:r>
      <w:r>
        <w:t xml:space="preserve">and one that accounts for</w:t>
      </w:r>
      <w:r>
        <w:t xml:space="preserve"> </w:t>
      </w:r>
      <w:r>
        <w:t xml:space="preserve">“</w:t>
      </w:r>
      <w:r>
        <w:t xml:space="preserve">authorized (but not settled) transactions the financial institution is obligated to pay.</w:t>
      </w:r>
      <w:r>
        <w:t xml:space="preserve">”</w:t>
      </w:r>
      <w:r>
        <w:t xml:space="preserve"> </w:t>
      </w:r>
      <w:r>
        <w:t xml:space="preserve">The APSN hazard is then diagnosable in the model rather than emergent: it is what happens when the authorization decision reads one view and the settlement decision effectively reads another at a different anchor. In Niles, the authorization path declares ℓ₅</w:t>
      </w:r>
      <w:r>
        <w:t xml:space="preserve"> </w:t>
      </w:r>
      <w:r>
        <w:rPr>
          <w:iCs/>
          <w:i/>
        </w:rPr>
        <w:t xml:space="preserve">on the available-balance view</w:t>
      </w:r>
      <w:r>
        <w:t xml:space="preserve">, so the discrepancy has a name, a contract, and a test.</w:t>
      </w:r>
    </w:p>
    <w:p>
      <w:pPr>
        <w:pStyle w:val="BodyText"/>
      </w:pPr>
      <w:r>
        <w:rPr>
          <w:bCs/>
          <w:b/>
        </w:rPr>
        <w:t xml:space="preserve">Proposition 3.6 (Holds are escrow).</w:t>
      </w:r>
      <w:r>
        <w:t xml:space="preserve"> </w:t>
      </w:r>
      <w:r>
        <w:t xml:space="preserve">The pending/resolved structure of Definition 3.8 implements the escrow method: the pair (posted, pending) per account maintains exactly the bounds O’Neil’s INF/VAL/SUP triple maintains — the worst-case value of the balance given that some in-flight reservations post and others void — so an authorization may be admitted without a global lock precisely when it cannot violate the non-negativity condition regardless of how outstanding reservations resolve [O’Neil, TODS 1986].</w:t>
      </w:r>
      <w:r>
        <w:t xml:space="preserve"> </w:t>
      </w:r>
      <w:r>
        <w:rPr>
          <w:iCs/>
          <w:i/>
        </w:rPr>
        <w:t xml:space="preserve">Consequence:</w:t>
      </w:r>
      <w:r>
        <w:t xml:space="preserve"> </w:t>
      </w:r>
      <w:r>
        <w:t xml:space="preserve">the coordination that Proposition 3.2 proves unavoidable for non-negativity is confined to the reservation step, and is paid per authorization rather than per read. TigerBeetle’s</w:t>
      </w:r>
      <w:r>
        <w:t xml:space="preserve"> </w:t>
      </w:r>
      <w:r>
        <w:rPr>
          <w:rStyle w:val="VerbatimChar"/>
        </w:rPr>
        <w:t xml:space="preserve">debits_pending</w:t>
      </w:r>
      <w:r>
        <w:t xml:space="preserve">/</w:t>
      </w:r>
      <w:r>
        <w:rPr>
          <w:rStyle w:val="VerbatimChar"/>
        </w:rPr>
        <w:t xml:space="preserve">credits_pending</w:t>
      </w:r>
      <w:r>
        <w:t xml:space="preserve"> </w:t>
      </w:r>
      <w:r>
        <w:t xml:space="preserve">fields are this construction in production.</w:t>
      </w:r>
    </w:p>
    <w:p>
      <w:pPr>
        <w:pStyle w:val="BodyText"/>
      </w:pPr>
      <w:r>
        <w:rPr>
          <w:bCs/>
          <w:b/>
        </w:rPr>
        <w:t xml:space="preserve">Hot accounts.</w:t>
      </w:r>
      <w:r>
        <w:t xml:space="preserve"> </w:t>
      </w:r>
      <w:r>
        <w:t xml:space="preserve">Because account popularity is Pareto-distributed, a few accounts absorb a disproportionate share of authorizations. Three mitigations are available and all are bounded by Proposition 3.2. (i)</w:t>
      </w:r>
      <w:r>
        <w:t xml:space="preserve"> </w:t>
      </w:r>
      <w:r>
        <w:rPr>
          <w:iCs/>
          <w:i/>
        </w:rPr>
        <w:t xml:space="preserve">Conservation-only fast path:</w:t>
      </w:r>
      <w:r>
        <w:t xml:space="preserve"> </w:t>
      </w:r>
      <w:r>
        <w:t xml:space="preserve">postings that merely move value and carry no threshold are I-confluent and may be admitted with maximum concurrency. (ii)</w:t>
      </w:r>
      <w:r>
        <w:t xml:space="preserve"> </w:t>
      </w:r>
      <w:r>
        <w:rPr>
          <w:iCs/>
          <w:i/>
        </w:rPr>
        <w:t xml:space="preserve">Splitting:</w:t>
      </w:r>
      <w:r>
        <w:t xml:space="preserve"> </w:t>
      </w:r>
      <w:r>
        <w:t xml:space="preserve">per-shard slices of a hot account’s reservation capacity, in the demarcation-protocol style — each shard may authorize within its granted range without messages, and boundary changes require bilateral exchange [Barbará &amp; Garcia-Molina, VLDB J. 1994]. (iii)</w:t>
      </w:r>
      <w:r>
        <w:t xml:space="preserve"> </w:t>
      </w:r>
      <w:r>
        <w:rPr>
          <w:iCs/>
          <w:i/>
        </w:rPr>
        <w:t xml:space="preserve">Rejoin on read:</w:t>
      </w:r>
      <w:r>
        <w:t xml:space="preserve"> </w:t>
      </w:r>
      <w:r>
        <w:t xml:space="preserve">a read of a split quantity forces reconciliation, exactly as Doppel requires, so the split is invisible to correctness and visible only in latency. Section 9.13 measures which of the three the workload actually needs; the theory’s contribution is to say in advance which are sound.</w:t>
      </w:r>
    </w:p>
    <w:bookmarkEnd w:id="76"/>
    <w:bookmarkStart w:id="77" w:name="Xbb5a68f410a17cf81e3a56863af1012f94d9c1c"/>
    <w:p>
      <w:pPr>
        <w:pStyle w:val="Heading2"/>
      </w:pPr>
      <w:r>
        <w:t xml:space="preserve">3.20 Checkpoints and the Bounded Reconstruction Theorem</w:t>
      </w:r>
    </w:p>
    <w:p>
      <w:pPr>
        <w:pStyle w:val="FirstParagraph"/>
      </w:pPr>
      <w:r>
        <w:t xml:space="preserve">Sections 3.10 and 3.14 price reconstruction as proportional to a key’s own update count, which is a workload property. Experiment §9.4.1 shows that this is not by itself enough to make reconstruction cost independent of history, and the reason is a property of skew rather than of the design: under a Zipf access distribution, a hot key retains a roughly constant</w:t>
      </w:r>
      <w:r>
        <w:t xml:space="preserve"> </w:t>
      </w:r>
      <w:r>
        <w:rPr>
          <w:iCs/>
          <w:i/>
        </w:rPr>
        <w:t xml:space="preserve">share</w:t>
      </w:r>
      <w:r>
        <w:t xml:space="preserve"> </w:t>
      </w:r>
      <w:r>
        <w:t xml:space="preserve">of traffic, so its absolute update count grows with total traffic even when new keys are added at a proportional rate. Folding a hot key from genesis therefore costs more as the log ages, whatever happens to the key space.</w:t>
      </w:r>
    </w:p>
    <w:p>
      <w:pPr>
        <w:pStyle w:val="BodyText"/>
      </w:pPr>
      <w:r>
        <w:t xml:space="preserve">The mechanism that closes the gap is a per-key checkpoint.</w:t>
      </w:r>
    </w:p>
    <w:p>
      <w:pPr>
        <w:pStyle w:val="BodyText"/>
      </w:pPr>
      <w:r>
        <w:rPr>
          <w:bCs/>
          <w:b/>
        </w:rPr>
        <w:t xml:space="preserve">Definition 3.9 (Checkpoint).</w:t>
      </w:r>
      <w:r>
        <w:t xml:space="preserve"> </w:t>
      </w:r>
      <w:r>
        <w:t xml:space="preserve">For a view V and key k, a</w:t>
      </w:r>
      <w:r>
        <w:t xml:space="preserve"> </w:t>
      </w:r>
      <w:r>
        <w:rPr>
          <w:iCs/>
          <w:i/>
        </w:rPr>
        <w:t xml:space="preserve">checkpoint</w:t>
      </w:r>
      <w:r>
        <w:t xml:space="preserve"> </w:t>
      </w:r>
      <w:r>
        <w:t xml:space="preserve">is a pair (e, v) with v = V*(e)[k], derived and stored every C postings on k. Checkpoints are</w:t>
      </w:r>
      <w:r>
        <w:t xml:space="preserve"> </w:t>
      </w:r>
      <w:r>
        <w:rPr>
          <w:bCs/>
          <w:b/>
        </w:rPr>
        <w:t xml:space="preserve">derived state</w:t>
      </w:r>
      <w:r>
        <w:t xml:space="preserve">: each is recomputable from the base by definition, so their existence does not weaken immutability, retention or auditability, and their loss costs performance rather than correctness.</w:t>
      </w:r>
    </w:p>
    <w:p>
      <w:pPr>
        <w:pStyle w:val="BodyText"/>
      </w:pPr>
      <w:r>
        <w:rPr>
          <w:bCs/>
          <w:b/>
        </w:rPr>
        <w:t xml:space="preserve">Definition 3.10 (Checkpointed reconstruction).</w:t>
      </w:r>
      <w:r>
        <w:t xml:space="preserve"> </w:t>
      </w:r>
      <w:r>
        <w:t xml:space="preserve">ρ*_{k,a} evaluates k at anchor a by taking the newest checkpoint (e_c, v_c) with e_c ≤ a and folding only the postings on k in (e_c, a].</w:t>
      </w:r>
    </w:p>
    <w:p>
      <w:pPr>
        <w:pStyle w:val="BodyText"/>
      </w:pPr>
      <w:r>
        <w:rPr>
          <w:bCs/>
          <w:b/>
        </w:rPr>
        <w:t xml:space="preserve">Theorem 3.7 (Bounded Reconstruction).</w:t>
      </w:r>
      <w:r>
        <w:t xml:space="preserve"> </w:t>
      </w:r>
      <w:r>
        <w:t xml:space="preserve">Under Definitions 3.9–3.10, for every key k and anchor a: (i) ρ*</w:t>
      </w:r>
      <w:r>
        <w:rPr>
          <w:iCs/>
          <w:i/>
        </w:rPr>
        <w:t xml:space="preserve">{k,a} = ρ</w:t>
      </w:r>
      <w:r>
        <w:t xml:space="preserve">{k,a}, so checkpointing changes cost and not value; and (ii) the expected number of base rows read is at most C/2 + 1 in the steady state, independent of the length of the base.</w:t>
      </w:r>
    </w:p>
    <w:p>
      <w:pPr>
        <w:pStyle w:val="BodyText"/>
      </w:pPr>
      <w:r>
        <w:rPr>
          <w:iCs/>
          <w:i/>
        </w:rPr>
        <w:t xml:space="preserve">Proof.</w:t>
      </w:r>
      <w:r>
        <w:t xml:space="preserve"> </w:t>
      </w:r>
      <w:r>
        <w:t xml:space="preserve">(i) The checkpoint is by definition the value of the ideal view at e_c, and the postings in (e_c, a] are exactly the deltas separating e_c from a; summing them reproduces V*(a)[k], which by Theorem 4.1 is what unbounded reconstruction returns. (ii) Between consecutive checkpoints a key accumulates exactly C postings, so an anchor falling uniformly in that interval has expectation C/2 postings behind the newest checkpoint, plus one row to read the checkpoint itself. Neither quantity mentions the base length. ∎</w:t>
      </w:r>
    </w:p>
    <w:p>
      <w:pPr>
        <w:pStyle w:val="BodyText"/>
      </w:pPr>
      <w:r>
        <w:rPr>
          <w:bCs/>
          <w:b/>
        </w:rPr>
        <w:t xml:space="preserve">Corollary 3.7.1.</w:t>
      </w:r>
      <w:r>
        <w:t xml:space="preserve"> </w:t>
      </w:r>
      <w:r>
        <w:t xml:space="preserve">Every result that assumed reconstruction cost was a workload property — the cost law of Section 3.14, and the rung pricing of Section 4.4 — holds as stated</w:t>
      </w:r>
      <w:r>
        <w:t xml:space="preserve"> </w:t>
      </w:r>
      <w:r>
        <w:rPr>
          <w:iCs/>
          <w:i/>
        </w:rPr>
        <w:t xml:space="preserve">when checkpointing is in force</w:t>
      </w:r>
      <w:r>
        <w:t xml:space="preserve">, and does not hold without it for skewed workloads. The interval C is therefore not a tuning knob but a term in the theory: it is the constant in the bound, and Section 6.16 makes it a declarable property of a view rather than an engine default.</w:t>
      </w:r>
    </w:p>
    <w:p>
      <w:pPr>
        <w:pStyle w:val="BodyText"/>
      </w:pPr>
      <w:r>
        <w:t xml:space="preserve">The empirical confirmation is §9.4.1: at C = 16 the measured cost was flat at ≈ 8.5 base rows across a 64× increase in history, against a predicted 9.</w:t>
      </w:r>
    </w:p>
    <w:bookmarkEnd w:id="77"/>
    <w:bookmarkStart w:id="78" w:name="X1083fa173a30319195f7b34ee6597bd132bc4d8"/>
    <w:p>
      <w:pPr>
        <w:pStyle w:val="Heading2"/>
      </w:pPr>
      <w:r>
        <w:t xml:space="preserve">3.21 Idempotency as an Admission-Time Invariant</w:t>
      </w:r>
    </w:p>
    <w:p>
      <w:pPr>
        <w:pStyle w:val="FirstParagraph"/>
      </w:pPr>
      <w:r>
        <w:t xml:space="preserve">An idempotency key is a first-class column with a defined semantics rather than an application convention. Admission is a function of (key, canonical request fingerprint): a first submission is admitted and its outcome recorded; a repeat with the same fingerprint returns the recorded outcome without a new append; a repeat with a</w:t>
      </w:r>
      <w:r>
        <w:t xml:space="preserve"> </w:t>
      </w:r>
      <w:r>
        <w:rPr>
          <w:iCs/>
          <w:i/>
        </w:rPr>
        <w:t xml:space="preserve">different</w:t>
      </w:r>
      <w:r>
        <w:t xml:space="preserve"> </w:t>
      </w:r>
      <w:r>
        <w:t xml:space="preserve">fingerprint is rejected as a conflict. Stripe’s published behaviour is the reference for this design — results are saved for the first request</w:t>
      </w:r>
      <w:r>
        <w:t xml:space="preserve"> </w:t>
      </w:r>
      <w:r>
        <w:t xml:space="preserve">“</w:t>
      </w:r>
      <w:r>
        <w:t xml:space="preserve">regardless of whether it succeeds or fails,</w:t>
      </w:r>
      <w:r>
        <w:t xml:space="preserve">”</w:t>
      </w:r>
      <w:r>
        <w:t xml:space="preserve"> </w:t>
      </w:r>
      <w:r>
        <w:t xml:space="preserve">parameters are compared and mismatches error, and results are saved</w:t>
      </w:r>
      <w:r>
        <w:t xml:space="preserve"> </w:t>
      </w:r>
      <w:r>
        <w:t xml:space="preserve">“</w:t>
      </w:r>
      <w:r>
        <w:t xml:space="preserve">only after the execution of an endpoint begins.</w:t>
      </w:r>
      <w:r>
        <w:t xml:space="preserve">”</w:t>
      </w:r>
    </w:p>
    <w:p>
      <w:pPr>
        <w:pStyle w:val="BodyText"/>
      </w:pPr>
      <w:r>
        <w:t xml:space="preserve">One difference is deliberate and is worth stating because it is a real tension. Stripe prunes keys after at least 24 hours, and reuse after pruning generates a new request. A ledger’s retention is unbounded, so this thesis makes the</w:t>
      </w:r>
      <w:r>
        <w:t xml:space="preserve"> </w:t>
      </w:r>
      <w:r>
        <w:rPr>
          <w:iCs/>
          <w:i/>
        </w:rPr>
        <w:t xml:space="preserve">deduplication window</w:t>
      </w:r>
      <w:r>
        <w:t xml:space="preserve"> </w:t>
      </w:r>
      <w:r>
        <w:t xml:space="preserve">an explicit, typed retention parameter of the base rather than an operational default: the guarantee is</w:t>
      </w:r>
      <w:r>
        <w:t xml:space="preserve"> </w:t>
      </w:r>
      <w:r>
        <w:t xml:space="preserve">“</w:t>
      </w:r>
      <w:r>
        <w:t xml:space="preserve">no double-apply within the declared window,</w:t>
      </w:r>
      <w:r>
        <w:t xml:space="preserve">”</w:t>
      </w:r>
      <w:r>
        <w:t xml:space="preserve"> </w:t>
      </w:r>
      <w:r>
        <w:t xml:space="preserve">and the window is part of the contract a caller can read. Claiming unbounded idempotency for free would be false; leaving it undeclared is what makes it dangerous.</w:t>
      </w:r>
    </w:p>
    <w:bookmarkEnd w:id="78"/>
    <w:bookmarkEnd w:id="79"/>
    <w:bookmarkStart w:id="91" w:name="novel-scientific-contributions"/>
    <w:p>
      <w:pPr>
        <w:pStyle w:val="Heading1"/>
      </w:pPr>
      <w:r>
        <w:t xml:space="preserve">4. Novel Scientific Contributions</w:t>
      </w:r>
    </w:p>
    <w:p>
      <w:pPr>
        <w:pStyle w:val="FirstParagraph"/>
      </w:pPr>
      <w:r>
        <w:t xml:space="preserve">This chapter states and proves the seven named results. Six were derived; the seventh (SC7) was produced by an experiment that refuted a claim the others depended on. Each is presented as: the object, the theorem, the proof (with stated model restrictions), what it buys the system, and — because several sit close to existing work — an explicit statement of what is new relative to the nearest prior art.</w:t>
      </w:r>
    </w:p>
    <w:bookmarkStart w:id="80" w:name="X592431b4b7fcdf5bd79757d53e8aeffe89f44ab"/>
    <w:p>
      <w:pPr>
        <w:pStyle w:val="Heading2"/>
      </w:pPr>
      <w:r>
        <w:t xml:space="preserve">4.1 The Reconstructible Epoch-Anchored View (REV)</w:t>
      </w:r>
    </w:p>
    <w:p>
      <w:pPr>
        <w:pStyle w:val="FirstParagraph"/>
      </w:pPr>
      <w:r>
        <w:rPr>
          <w:bCs/>
          <w:b/>
        </w:rPr>
        <w:t xml:space="preserve">Definition 4.1 (REV).</w:t>
      </w:r>
      <w:r>
        <w:t xml:space="preserve"> </w:t>
      </w:r>
      <w:r>
        <w:t xml:space="preserve">A</w:t>
      </w:r>
      <w:r>
        <w:t xml:space="preserve"> </w:t>
      </w:r>
      <w:r>
        <w:rPr>
          <w:iCs/>
          <w:i/>
        </w:rPr>
        <w:t xml:space="preserve">reconstructible epoch-anchored view</w:t>
      </w:r>
      <w:r>
        <w:t xml:space="preserve"> </w:t>
      </w:r>
      <w:r>
        <w:t xml:space="preserve">is a tuple R = (Q, M, κ) where:</w:t>
      </w:r>
    </w:p>
    <w:p>
      <w:pPr>
        <w:numPr>
          <w:ilvl w:val="0"/>
          <w:numId w:val="1006"/>
        </w:numPr>
        <w:pStyle w:val="Compact"/>
      </w:pPr>
      <w:r>
        <w:t xml:space="preserve">Q is a DBSP circuit over an authoritative base (Definition 3.1) with keyed output in Z[K × V], annotated at plan time with</w:t>
      </w:r>
      <w:r>
        <w:t xml:space="preserve"> </w:t>
      </w:r>
      <w:r>
        <w:rPr>
          <w:iCs/>
          <w:i/>
        </w:rPr>
        <w:t xml:space="preserve">upquery paths</w:t>
      </w:r>
      <w:r>
        <w:t xml:space="preserve"> </w:t>
      </w:r>
      <w:r>
        <w:t xml:space="preserve">— for each output key, the provenance support sufficient to recompute it (Section 3.10);</w:t>
      </w:r>
    </w:p>
    <w:p>
      <w:pPr>
        <w:numPr>
          <w:ilvl w:val="0"/>
          <w:numId w:val="1006"/>
        </w:numPr>
        <w:pStyle w:val="Compact"/>
      </w:pPr>
      <w:r>
        <w:t xml:space="preserve">M : K → 𝔸 assigns each key a point of the absence lattice, subject to the</w:t>
      </w:r>
      <w:r>
        <w:t xml:space="preserve"> </w:t>
      </w:r>
      <w:r>
        <w:rPr>
          <w:bCs/>
          <w:b/>
        </w:rPr>
        <w:t xml:space="preserve">certification invariant</w:t>
      </w:r>
      <w:r>
        <w:t xml:space="preserve"> </w:t>
      </w:r>
      <w:r>
        <w:t xml:space="preserve">M(k) = Present(v, e) ⟹ v = V*(e)[k], and to monotone anchoring and honest absence;</w:t>
      </w:r>
    </w:p>
    <w:p>
      <w:pPr>
        <w:numPr>
          <w:ilvl w:val="0"/>
          <w:numId w:val="1006"/>
        </w:numPr>
        <w:pStyle w:val="Compact"/>
      </w:pPr>
      <w:r>
        <w:t xml:space="preserve">κ is the</w:t>
      </w:r>
      <w:r>
        <w:t xml:space="preserve"> </w:t>
      </w:r>
      <w:r>
        <w:rPr>
          <w:iCs/>
          <w:i/>
        </w:rPr>
        <w:t xml:space="preserve">serve contract</w:t>
      </w:r>
      <w:r>
        <w:t xml:space="preserve">: consistency rung, freshness bound (K, T), materialization mode (Section 4.6), memory budget share, retention, lineage mode, and confidentiality.</w:t>
      </w:r>
    </w:p>
    <w:p>
      <w:pPr>
        <w:pStyle w:val="FirstParagraph"/>
      </w:pPr>
      <w:r>
        <w:t xml:space="preserve">The REV supports six operations:</w:t>
      </w:r>
      <w:r>
        <w:t xml:space="preserve"> </w:t>
      </w:r>
      <w:r>
        <w:rPr>
          <w:bCs/>
          <w:b/>
        </w:rPr>
        <w:t xml:space="preserve">read</w:t>
      </w:r>
      <w:r>
        <w:t xml:space="preserve">(k, session) per κ;</w:t>
      </w:r>
      <w:r>
        <w:t xml:space="preserve"> </w:t>
      </w:r>
      <w:r>
        <w:rPr>
          <w:bCs/>
          <w:b/>
        </w:rPr>
        <w:t xml:space="preserve">apply</w:t>
      </w:r>
      <w:r>
        <w:t xml:space="preserve">(Δₑ) folding a sealed epoch into resident entries;</w:t>
      </w:r>
      <w:r>
        <w:t xml:space="preserve"> </w:t>
      </w:r>
      <w:r>
        <w:rPr>
          <w:bCs/>
          <w:b/>
        </w:rPr>
        <w:t xml:space="preserve">evict</w:t>
      </w:r>
      <w:r>
        <w:t xml:space="preserve">(k) mapping Present(v, e) ↦ Hole(e);</w:t>
      </w:r>
      <w:r>
        <w:t xml:space="preserve"> </w:t>
      </w:r>
      <w:r>
        <w:rPr>
          <w:bCs/>
          <w:b/>
        </w:rPr>
        <w:t xml:space="preserve">upquery</w:t>
      </w:r>
      <w:r>
        <w:t xml:space="preserve">(k, a) mapping Hole/⊥ ↦ Present(Q(S(a))[k], a);</w:t>
      </w:r>
      <w:r>
        <w:t xml:space="preserve"> </w:t>
      </w:r>
      <w:r>
        <w:rPr>
          <w:bCs/>
          <w:b/>
        </w:rPr>
        <w:t xml:space="preserve">version</w:t>
      </w:r>
      <w:r>
        <w:t xml:space="preserve">(k) returning the anchor without the value; and</w:t>
      </w:r>
      <w:r>
        <w:t xml:space="preserve"> </w:t>
      </w:r>
      <w:r>
        <w:rPr>
          <w:bCs/>
          <w:b/>
        </w:rPr>
        <w:t xml:space="preserve">explain</w:t>
      </w:r>
      <w:r>
        <w:t xml:space="preserve">(k) returning the lineage of the current entry at its lineage mode.</w:t>
      </w:r>
    </w:p>
    <w:p>
      <w:pPr>
        <w:pStyle w:val="BodyText"/>
      </w:pPr>
      <w:r>
        <w:t xml:space="preserve">The REV is the thesis’s central object because it is the smallest structure carrying simultaneously (i) incremental maintenance, via Q’s DBSP incrementalization; (ii) cache economics, via M’s partiality; (iii) provable anchoring, via epochs and the certification invariant; and (iv) declared behaviour, via κ, so that the runtime’s freedom to choose mechanisms is bounded by a statement the compiler has checked. Everything a bank calls a balance, an available balance, a statement, a position, a risk rollup or a fraud feature is a REV; so is every index, and so is every OLAP aggregate.</w:t>
      </w:r>
    </w:p>
    <w:bookmarkEnd w:id="80"/>
    <w:bookmarkStart w:id="81" w:name="X7f220767e939c1f851ec2e7ce5e9384084bfe96"/>
    <w:p>
      <w:pPr>
        <w:pStyle w:val="Heading2"/>
      </w:pPr>
      <w:r>
        <w:t xml:space="preserve">4.2 Contribution 1 — The Versioned Partial-State Algebra and the Reconstruction Theorem</w:t>
      </w:r>
    </w:p>
    <w:p>
      <w:pPr>
        <w:pStyle w:val="FirstParagraph"/>
      </w:pPr>
      <w:r>
        <w:rPr>
          <w:bCs/>
          <w:b/>
        </w:rPr>
        <w:t xml:space="preserve">The algebra.</w:t>
      </w:r>
      <w:r>
        <w:t xml:space="preserve"> </w:t>
      </w:r>
      <w:r>
        <w:t xml:space="preserve">Let 𝒱 = K ⇀ (V × E) be versioned partial maps. Define: restriction M|</w:t>
      </w:r>
      <w:r>
        <w:rPr>
          <w:iCs/>
          <w:i/>
        </w:rPr>
        <w:t xml:space="preserve">κ; join M₁ ⊔ M₂ (defined when overlapping keys agree at equal anchors, otherwise taking the later certified entry); anchor-advance α_e applying deltas in (e_old, e] per resident key; eviction ε_κ; and reconstruction ρ</w:t>
      </w:r>
      <w:r>
        <w:t xml:space="preserve">{κ,a} filling κ from Q(S(a)).</w:t>
      </w:r>
    </w:p>
    <w:p>
      <w:pPr>
        <w:pStyle w:val="BodyText"/>
      </w:pPr>
      <w:r>
        <w:t xml:space="preserve">The algebra is DBSP-compatible: α_e is implemented by the incrementalized circuit Q^Δ restricted to resident keys, which is well-defined because incrementalization is compositional (the chain rule) and linear operators commute with restriction; for non-linear operators the circuit’s upquery paths supply the finite input slices sufficient to recompute an output key, and these exist for every Niles-expressible query by structural induction on the circuit — the same construction the provenance literature gives as the support of the how-provenance polynomial.</w:t>
      </w:r>
    </w:p>
    <w:p>
      <w:pPr>
        <w:pStyle w:val="BodyText"/>
      </w:pPr>
      <w:r>
        <w:rPr>
          <w:bCs/>
          <w:b/>
        </w:rPr>
        <w:t xml:space="preserve">Theorem 4.1 (Epoch-Anchored Reconstruction).</w:t>
      </w:r>
      <w:r>
        <w:t xml:space="preserve"> </w:t>
      </w:r>
      <w:r>
        <w:t xml:space="preserve">For every REV with circuit Q over base B, every key k, and every epoch a:</w:t>
      </w:r>
    </w:p>
    <w:p>
      <w:pPr>
        <w:pStyle w:val="BodyText"/>
      </w:pPr>
      <w:r>
        <w:t xml:space="preserve">ρ_{k,a}(ε_k(M))(k) = (Q(S(a))[k], a) = the entry a never-evicting execution anchored at a holds for k.</w:t>
      </w:r>
    </w:p>
    <w:p>
      <w:pPr>
        <w:pStyle w:val="BodyText"/>
      </w:pPr>
      <w:r>
        <w:t xml:space="preserve">Hence evict-then-reconstruct is observationally identical to never-evict, at every anchor, for every key, under every interleaving of apply, evict and upquery that respects monotone anchoring and honest absence.</w:t>
      </w:r>
    </w:p>
    <w:p>
      <w:pPr>
        <w:pStyle w:val="BodyText"/>
      </w:pPr>
      <w:r>
        <w:rPr>
          <w:iCs/>
          <w:i/>
        </w:rPr>
        <w:t xml:space="preserve">Proof.</w:t>
      </w:r>
      <w:r>
        <w:t xml:space="preserve"> </w:t>
      </w:r>
      <w:r>
        <w:t xml:space="preserve">By P1–P3 of the proof ladder. (1) S(a) is a pure value: the base is append-only and sealed epochs are immutable, so S(a) = Σ_{i≤a} Δᵢ is determined by a alone, and no interleaving affects it. (2) ρ_{k,a} evaluates the upquery paths against S(a); Q is a function and S(a) is fixed, so the result is determined by (Q, a, k) — reconstruction is pure. (3) A never-evicting execution’s entry at anchor a is Q(S(a))[k] by the certification invariant, maintained inductively by apply: the base case is trivial, and the step follows because α advances a certified entry by exactly D(Q(S))(e′) for each e′ in the interval, with I ∘ D the identity (F2). (4) The two sides are therefore the same value with the same anchor. Interleaving-independence: evict and upquery touch only M, never B; apply is per-key monotone; honest absence preserves the anchor across eviction so ρ’s target is well-defined. ∎</w:t>
      </w:r>
    </w:p>
    <w:p>
      <w:pPr>
        <w:pStyle w:val="BodyText"/>
      </w:pPr>
      <w:r>
        <w:rPr>
          <w:bCs/>
          <w:b/>
        </w:rPr>
        <w:t xml:space="preserve">The anomalies, discharged by construction.</w:t>
      </w:r>
      <w:r>
        <w:t xml:space="preserve"> </w:t>
      </w:r>
      <w:r>
        <w:t xml:space="preserve">Partial-state dataflow over a</w:t>
      </w:r>
      <w:r>
        <w:t xml:space="preserve"> </w:t>
      </w:r>
      <w:r>
        <w:rPr>
          <w:iCs/>
          <w:i/>
        </w:rPr>
        <w:t xml:space="preserve">mutable</w:t>
      </w:r>
      <w:r>
        <w:t xml:space="preserve"> </w:t>
      </w:r>
      <w:r>
        <w:t xml:space="preserve">base must exclude five anomalies by protocol — double application, skipped deltas, upquery races, lost deltas, and upquery deadlock. Each is a consequence of reconstructing against a moving target, and each is dissolved here rather than defended against: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Anomaly</w:t>
            </w:r>
          </w:p>
        </w:tc>
        <w:tc>
          <w:tcPr/>
          <w:p>
            <w:pPr>
              <w:pStyle w:val="Compact"/>
              <w:jc w:val="left"/>
            </w:pPr>
            <w:r>
              <w:t xml:space="preserve">Why it cannot arise</w:t>
            </w:r>
          </w:p>
        </w:tc>
      </w:tr>
      <w:tr>
        <w:tc>
          <w:tcPr/>
          <w:p>
            <w:pPr>
              <w:pStyle w:val="Compact"/>
              <w:jc w:val="left"/>
            </w:pPr>
            <w:r>
              <w:t xml:space="preserve">Double application</w:t>
            </w:r>
          </w:p>
        </w:tc>
        <w:tc>
          <w:tcPr/>
          <w:p>
            <w:pPr>
              <w:pStyle w:val="Compact"/>
              <w:jc w:val="left"/>
            </w:pPr>
            <w:r>
              <w:t xml:space="preserve">An entry’s value is certified</w:t>
            </w:r>
            <w:r>
              <w:t xml:space="preserve"> </w:t>
            </w:r>
            <w:r>
              <w:rPr>
                <w:iCs/>
                <w:i/>
              </w:rPr>
              <w:t xml:space="preserve">at an anchor</w:t>
            </w:r>
            <w:r>
              <w:t xml:space="preserve">; applying a delta already included in S(a) would move the anchor backwards, which monotone anchoring forbids. Idempotence is a consequence of anchoring, not of message deduplication.</w:t>
            </w:r>
          </w:p>
        </w:tc>
      </w:tr>
      <w:tr>
        <w:tc>
          <w:tcPr/>
          <w:p>
            <w:pPr>
              <w:pStyle w:val="Compact"/>
              <w:jc w:val="left"/>
            </w:pPr>
            <w:r>
              <w:t xml:space="preserve">Skipped deltas</w:t>
            </w:r>
          </w:p>
        </w:tc>
        <w:tc>
          <w:tcPr/>
          <w:p>
            <w:pPr>
              <w:pStyle w:val="Compact"/>
              <w:jc w:val="left"/>
            </w:pPr>
            <w:r>
              <w:t xml:space="preserve">Reconstruction is anchored: ρ_{k,a} recomputes from the prefix at a, so any delta ≤ a is included by definition, whether or not it was ever seen by the resident state.</w:t>
            </w:r>
          </w:p>
        </w:tc>
      </w:tr>
      <w:tr>
        <w:tc>
          <w:tcPr/>
          <w:p>
            <w:pPr>
              <w:pStyle w:val="Compact"/>
              <w:jc w:val="left"/>
            </w:pPr>
            <w:r>
              <w:t xml:space="preserve">Upquery races</w:t>
            </w:r>
          </w:p>
        </w:tc>
        <w:tc>
          <w:tcPr/>
          <w:p>
            <w:pPr>
              <w:pStyle w:val="Compact"/>
              <w:jc w:val="left"/>
            </w:pPr>
            <w:r>
              <w:t xml:space="preserve">Upqueries read a</w:t>
            </w:r>
            <w:r>
              <w:t xml:space="preserve"> </w:t>
            </w:r>
            <w:r>
              <w:rPr>
                <w:iCs/>
                <w:i/>
              </w:rPr>
              <w:t xml:space="preserve">frozen</w:t>
            </w:r>
            <w:r>
              <w:t xml:space="preserve"> </w:t>
            </w:r>
            <w:r>
              <w:t xml:space="preserve">prefix. Two concurrent reconstructions at anchors a₁ ≤ a₂ produce mutually consistent certified entries, and the higher anchor wins by monotone anchoring.</w:t>
            </w:r>
          </w:p>
        </w:tc>
      </w:tr>
      <w:tr>
        <w:tc>
          <w:tcPr/>
          <w:p>
            <w:pPr>
              <w:pStyle w:val="Compact"/>
              <w:jc w:val="left"/>
            </w:pPr>
            <w:r>
              <w:t xml:space="preserve">Lost deltas</w:t>
            </w:r>
          </w:p>
        </w:tc>
        <w:tc>
          <w:tcPr/>
          <w:p>
            <w:pPr>
              <w:pStyle w:val="Compact"/>
              <w:jc w:val="left"/>
            </w:pPr>
            <w:r>
              <w:t xml:space="preserve">A delta addressed to an evicted key may be discarded with no downstream notification, because the key’s future value will be reconstructed from the base rather than from the delta stream. This is what removes the need for eviction notices to propagate.</w:t>
            </w:r>
          </w:p>
        </w:tc>
      </w:tr>
      <w:tr>
        <w:tc>
          <w:tcPr/>
          <w:p>
            <w:pPr>
              <w:pStyle w:val="Compact"/>
              <w:jc w:val="left"/>
            </w:pPr>
            <w:r>
              <w:t xml:space="preserve">Upquery deadlock</w:t>
            </w:r>
          </w:p>
        </w:tc>
        <w:tc>
          <w:tcPr/>
          <w:p>
            <w:pPr>
              <w:pStyle w:val="Compact"/>
              <w:jc w:val="left"/>
            </w:pPr>
            <w:r>
              <w:t xml:space="preserve">Reconstruction is a pull-mode evaluation over an immutable prefix; it never waits on the update path, so there is no cycle to deadlock on.</w:t>
            </w:r>
          </w:p>
        </w:tc>
      </w:tr>
    </w:tbl>
    <w:p>
      <w:pPr>
        <w:pStyle w:val="BodyText"/>
      </w:pPr>
      <w:r>
        <w:t xml:space="preserve">This table is, in practice, the strongest engineering argument in the thesis: an immutable, totally ordered base does not merely make the correctness proof possible, it removes an entire protocol.</w:t>
      </w:r>
    </w:p>
    <w:p>
      <w:pPr>
        <w:pStyle w:val="BodyText"/>
      </w:pPr>
      <w:r>
        <w:rPr>
          <w:bCs/>
          <w:b/>
        </w:rPr>
        <w:t xml:space="preserve">Corollary 4.1.1 (Conservation across eviction).</w:t>
      </w:r>
      <w:r>
        <w:t xml:space="preserve"> </w:t>
      </w:r>
      <w:r>
        <w:t xml:space="preserve">Let Q_bal be the per-(account, currency) balance view. For all epochs a and all evict/reconstruct schedules σ, the sum over accounts of reconstructed balances at anchor a equals the sum over accounts of never-evicted balances at anchor a, and both are zero per currency when issuance accounts are included.</w:t>
      </w:r>
      <w:r>
        <w:t xml:space="preserve"> </w:t>
      </w:r>
      <w:r>
        <w:rPr>
          <w:iCs/>
          <w:i/>
        </w:rPr>
        <w:t xml:space="preserve">Eviction followed by reconstruction can never create or destroy money.</w:t>
      </w:r>
      <w:r>
        <w:t xml:space="preserve"> </w:t>
      </w:r>
      <w:r>
        <w:rPr>
          <w:iCs/>
          <w:i/>
        </w:rPr>
        <w:t xml:space="preserve">Proof:</w:t>
      </w:r>
      <w:r>
        <w:t xml:space="preserve"> </w:t>
      </w:r>
      <w:r>
        <w:t xml:space="preserve">Theorem 4.1 gives pointwise equality with V*(a); conservation holds of V*(a) by Lemma 3.1; pointwise-equal families have equal sums. ∎</w:t>
      </w:r>
    </w:p>
    <w:p>
      <w:pPr>
        <w:pStyle w:val="BodyText"/>
      </w:pPr>
      <w:r>
        <w:rPr>
          <w:bCs/>
          <w:b/>
        </w:rPr>
        <w:t xml:space="preserve">Corollary 4.1.2 (Lineage preservation).</w:t>
      </w:r>
      <w:r>
        <w:t xml:space="preserve"> </w:t>
      </w:r>
      <w:r>
        <w:t xml:space="preserve">Under lineage mode</w:t>
      </w:r>
      <w:r>
        <w:t xml:space="preserve"> </w:t>
      </w:r>
      <w:r>
        <w:rPr>
          <w:rStyle w:val="VerbatimChar"/>
        </w:rPr>
        <w:t xml:space="preserve">full</w:t>
      </w:r>
      <w:r>
        <w:t xml:space="preserve">, the reconstructed entry carries the same provenance polynomial as the never-evicted entry.</w:t>
      </w:r>
      <w:r>
        <w:t xml:space="preserve"> </w:t>
      </w:r>
      <w:r>
        <w:rPr>
          <w:iCs/>
          <w:i/>
        </w:rPr>
        <w:t xml:space="preserve">Proof:</w:t>
      </w:r>
      <w:r>
        <w:t xml:space="preserve"> </w:t>
      </w:r>
      <w:r>
        <w:t xml:space="preserve">both are the image under the same semiring homomorphism of the same polynomial over the same prefix, by the factorization theorem [Green et al., PODS ’07]. ∎</w:t>
      </w:r>
    </w:p>
    <w:p>
      <w:pPr>
        <w:pStyle w:val="BodyText"/>
      </w:pPr>
      <w:r>
        <w:rPr>
          <w:bCs/>
          <w:b/>
        </w:rPr>
        <w:t xml:space="preserve">What is new.</w:t>
      </w:r>
      <w:r>
        <w:t xml:space="preserve"> </w:t>
      </w:r>
      <w:r>
        <w:t xml:space="preserve">The mechanism (materialize on read, evict, upquery) is Noria’s, and is credited as such. The novelty is the</w:t>
      </w:r>
      <w:r>
        <w:t xml:space="preserve"> </w:t>
      </w:r>
      <w:r>
        <w:rPr>
          <w:iCs/>
          <w:i/>
        </w:rPr>
        <w:t xml:space="preserve">anchoring</w:t>
      </w:r>
      <w:r>
        <w:t xml:space="preserve">: entries carry versions, upqueries name an epoch, and the base is immutable — which converts an eventual-consistency system with five protocol hazards into a system whose exactness conjunct is a theorem at every consistency level. Corollary 4.1.1 is the machine-relevant safety property that partial-state dataflow could not previously state, let alone prove. Corollary 4.1.2’s route through semiring factorization is deliberately cheap: it inherits a 2007 result rather than re-proving one.</w:t>
      </w:r>
    </w:p>
    <w:bookmarkEnd w:id="81"/>
    <w:bookmarkStart w:id="82" w:name="Xceab75258ffe57caad6eb91d0ee21a1a67c6bf1"/>
    <w:p>
      <w:pPr>
        <w:pStyle w:val="Heading2"/>
      </w:pPr>
      <w:r>
        <w:t xml:space="preserve">4.3 Contribution 2 — The Eviction–Consistency Frontier Theorem</w:t>
      </w:r>
    </w:p>
    <w:p>
      <w:pPr>
        <w:pStyle w:val="FirstParagraph"/>
      </w:pPr>
      <w:r>
        <w:rPr>
          <w:bCs/>
          <w:b/>
        </w:rPr>
        <w:t xml:space="preserve">Setting.</w:t>
      </w:r>
      <w:r>
        <w:t xml:space="preserve"> </w:t>
      </w:r>
      <w:r>
        <w:t xml:space="preserve">Cost model of Section 3.14. A workload W has popularity π (Zipf α), read fraction, write rate λ, and delayed-hit ratio Z. Full materialization of a view with key domain K costs memory |K| plus application on every written key; a partial policy with budget m &lt; |K| has stationary miss rate miss(π, m).</w:t>
      </w:r>
    </w:p>
    <w:p>
      <w:pPr>
        <w:pStyle w:val="BodyText"/>
      </w:pPr>
      <w:r>
        <w:rPr>
          <w:bCs/>
          <w:b/>
        </w:rPr>
        <w:t xml:space="preserve">Theorem 4.2 (Eviction–Consistency Frontier).</w:t>
      </w:r>
    </w:p>
    <w:p>
      <w:pPr>
        <w:pStyle w:val="BodyText"/>
      </w:pPr>
      <w:r>
        <w:rPr>
          <w:iCs/>
          <w:i/>
        </w:rPr>
        <w:t xml:space="preserve">(i) Strictness forces synchrony.</w:t>
      </w:r>
      <w:r>
        <w:t xml:space="preserve"> </w:t>
      </w:r>
      <w:r>
        <w:t xml:space="preserve">Any implementation serving reads at ℓ₅ must, on a read of key k whose slot is Hole or ⊥, block until an upquery anchored at vis(t_r) completes, where vis(t_r) includes every write that precedes the read in real time. No anchor below vis(t_r) may be served.</w:t>
      </w:r>
    </w:p>
    <w:p>
      <w:pPr>
        <w:pStyle w:val="BodyText"/>
      </w:pPr>
      <w:r>
        <w:rPr>
          <w:iCs/>
          <w:i/>
        </w:rPr>
        <w:t xml:space="preserve">(ii) The frontier.</w:t>
      </w:r>
      <w:r>
        <w:t xml:space="preserve"> </w:t>
      </w:r>
      <w:r>
        <w:t xml:space="preserve">The expected per-operation cost of ℓ₅ partial serving is</w:t>
      </w:r>
    </w:p>
    <w:p>
      <w:pPr>
        <w:pStyle w:val="BodyText"/>
      </w:pPr>
      <w:r>
        <w:t xml:space="preserve">C_part = C_hot + miss(π, m) · c_u · w · (1 + Θ(Z))</w:t>
      </w:r>
    </w:p>
    <w:p>
      <w:pPr>
        <w:pStyle w:val="BodyText"/>
      </w:pPr>
      <w:r>
        <w:t xml:space="preserve">against full materialization’s C_full = C_apply(λ, |K|) + C_mem(|K|). For every (c_u, w, λ, Z) there is a threshold miss* such that miss(π, m) ≥ miss* implies C_part ≥ C_full.</w:t>
      </w:r>
    </w:p>
    <w:p>
      <w:pPr>
        <w:pStyle w:val="BodyText"/>
      </w:pPr>
      <w:r>
        <w:rPr>
          <w:iCs/>
          <w:i/>
        </w:rPr>
        <w:t xml:space="preserve">(iii) Impossibility form.</w:t>
      </w:r>
      <w:r>
        <w:t xml:space="preserve"> </w:t>
      </w:r>
      <w:r>
        <w:t xml:space="preserve">For flat popularity (α → 0) and budget m = o(|K|), the miss rate tends to 1 − m/|K| and C_part exceeds C_full for all budgets below the threshold: under strict serializability with flat skew, partial materialization is provably no cheaper than full materialization, and no policy escapes, because the requirement is information-theoretic — the reader must observe writes for which it holds no resident trace, and the only sources are the base (pay c_u·w·(1+Θ(Z))) or residency (pay C_full).</w:t>
      </w:r>
    </w:p>
    <w:p>
      <w:pPr>
        <w:pStyle w:val="BodyText"/>
      </w:pPr>
      <w:r>
        <w:rPr>
          <w:iCs/>
          <w:i/>
        </w:rPr>
        <w:t xml:space="preserve">Proof.</w:t>
      </w:r>
      <w:r>
        <w:t xml:space="preserve"> </w:t>
      </w:r>
      <w:r>
        <w:t xml:space="preserve">(i) From the ℓ₅ predicate of Section 3.8: RT forces e_r = vis(t_r), and EXACT forces agreement with V*(e_r). A Hole holds no value at any anchor — honest absence retains only a version — so any served value must be computed against S(vis(t_r)), which requires that prefix sealed and durable. Serving an anchor below vis(t_r) admits a real-time-ordering witness (a write committing before the read in real time and not observed), violating RT. (ii) Linearity of expectation over the read stream under a stationary policy, with the delayed-hit term accounting for requests that arrive while a reconstruction is in flight. (iii) Substituting the uniform miss rate and taking budgets below threshold gives strict inequality. The no-policy-exit clause is a competitive-analysis argument: any online policy is a function of observed history, and under uniform popularity every non-resident key is equally likely next, so no predictor beats residency mass — the standard paging lower bound against an offline adversary [Sleator &amp; Tarjan 1985; Fiat et al. 1991], transported to this cost model. ∎</w:t>
      </w:r>
    </w:p>
    <w:p>
      <w:pPr>
        <w:pStyle w:val="BodyText"/>
      </w:pPr>
      <w:r>
        <w:rPr>
          <w:bCs/>
          <w:b/>
        </w:rPr>
        <w:t xml:space="preserve">Corroboration from the delayed-hits literature, correctly attributed.</w:t>
      </w:r>
      <w:r>
        <w:t xml:space="preserve"> </w:t>
      </w:r>
      <w:r>
        <w:t xml:space="preserve">Atre et al. establish that when a fetch takes Z inter-arrival times, hit rate is the wrong objective and even Belady’s offline-optimal policy is not latency-optimal; they also report a competitive lower bound of Ω(kZ) for deterministic online algorithms, attributing it to parallel work. That bound has exactly the shape of clause (iii) — as reconstruction latency grows relative to arrival rate, the advantage of holding less state collapses — and it is cited here as independent corroboration of the frontier’s existence, not as a result of this thesis.</w:t>
      </w:r>
    </w:p>
    <w:p>
      <w:pPr>
        <w:pStyle w:val="BodyText"/>
      </w:pPr>
      <w:r>
        <w:rPr>
          <w:bCs/>
          <w:b/>
        </w:rPr>
        <w:t xml:space="preserve">Positioning against the nearest prior break-even claim.</w:t>
      </w:r>
      <w:r>
        <w:t xml:space="preserve"> </w:t>
      </w:r>
      <w:r>
        <w:t xml:space="preserve">ORCHESTRA reported that provenance-guided incremental deletion beats full recomputation</w:t>
      </w:r>
      <w:r>
        <w:t xml:space="preserve"> </w:t>
      </w:r>
      <w:r>
        <w:t xml:space="preserve">“</w:t>
      </w:r>
      <w:r>
        <w:t xml:space="preserve">even when deleting up to approximately 80% of the instance</w:t>
      </w:r>
      <w:r>
        <w:t xml:space="preserve">”</w:t>
      </w:r>
      <w:r>
        <w:t xml:space="preserve"> </w:t>
      </w:r>
      <w:r>
        <w:t xml:space="preserve">[Green et al., VLDB ’07]. That is a break-even of the same</w:t>
      </w:r>
      <w:r>
        <w:t xml:space="preserve"> </w:t>
      </w:r>
      <w:r>
        <w:rPr>
          <w:iCs/>
          <w:i/>
        </w:rPr>
        <w:t xml:space="preserve">kind</w:t>
      </w:r>
      <w:r>
        <w:t xml:space="preserve"> </w:t>
      </w:r>
      <w:r>
        <w:t xml:space="preserve">and must be engaged. Three differences make Theorem 4.2 a distinct result rather than a restatement: (a) ORCHESTRA’s crossover concerns</w:t>
      </w:r>
      <w:r>
        <w:t xml:space="preserve"> </w:t>
      </w:r>
      <w:r>
        <w:rPr>
          <w:iCs/>
          <w:i/>
        </w:rPr>
        <w:t xml:space="preserve">update volume</w:t>
      </w:r>
      <w:r>
        <w:t xml:space="preserve"> </w:t>
      </w:r>
      <w:r>
        <w:t xml:space="preserve">under total materialization, whereas the frontier here concerns</w:t>
      </w:r>
      <w:r>
        <w:t xml:space="preserve"> </w:t>
      </w:r>
      <w:r>
        <w:rPr>
          <w:iCs/>
          <w:i/>
        </w:rPr>
        <w:t xml:space="preserve">residency budget and consistency level</w:t>
      </w:r>
      <w:r>
        <w:t xml:space="preserve"> </w:t>
      </w:r>
      <w:r>
        <w:t xml:space="preserve">under partial materialization; (b) ORCHESTRA has no consistency dimension — nothing in it changes when the demanded rung rises, whereas Φ(ℓ) is the frontier’s most important axis; and (c) the frontier includes reconstruction</w:t>
      </w:r>
      <w:r>
        <w:t xml:space="preserve"> </w:t>
      </w:r>
      <w:r>
        <w:rPr>
          <w:iCs/>
          <w:i/>
        </w:rPr>
        <w:t xml:space="preserve">latency</w:t>
      </w:r>
      <w:r>
        <w:t xml:space="preserve"> </w:t>
      </w:r>
      <w:r>
        <w:t xml:space="preserve">through Z, which a batch update-exchange setting does not face. The honest summary: ORCHESTRA established that provenance-guided incremental maintenance has a measurable break-even against recomputation; this thesis establishes where</w:t>
      </w:r>
      <w:r>
        <w:t xml:space="preserve"> </w:t>
      </w:r>
      <w:r>
        <w:rPr>
          <w:iCs/>
          <w:i/>
        </w:rPr>
        <w:t xml:space="preserve">partial</w:t>
      </w:r>
      <w:r>
        <w:t xml:space="preserve"> </w:t>
      </w:r>
      <w:r>
        <w:t xml:space="preserve">materialization has a break-even against</w:t>
      </w:r>
      <w:r>
        <w:t xml:space="preserve"> </w:t>
      </w:r>
      <w:r>
        <w:rPr>
          <w:iCs/>
          <w:i/>
        </w:rPr>
        <w:t xml:space="preserve">full</w:t>
      </w:r>
      <w:r>
        <w:t xml:space="preserve"> </w:t>
      </w:r>
      <w:r>
        <w:t xml:space="preserve">materialization as a function of consistency, and proves an impossibility region.</w:t>
      </w:r>
    </w:p>
    <w:p>
      <w:pPr>
        <w:pStyle w:val="BodyText"/>
      </w:pPr>
      <w:r>
        <w:rPr>
          <w:bCs/>
          <w:b/>
        </w:rPr>
        <w:t xml:space="preserve">How the theorem is used.</w:t>
      </w:r>
      <w:r>
        <w:t xml:space="preserve"> </w:t>
      </w:r>
      <w:r>
        <w:t xml:space="preserve">Below the frontier (skew, tolerant contracts, modest write fan-in) partiality wins; at it, the regimes price equally; beyond it (flat skew, ℓ₅ everywhere, high Z) the honest design is full materialization — and Nilestream’s optimizer implements exactly this decision per view and key range (Contribution 5), which makes the theorem an operating policy rather than only a boundary marker. The PACELC analogy is deliberate: as PACELC says</w:t>
      </w:r>
      <w:r>
        <w:t xml:space="preserve"> </w:t>
      </w:r>
      <w:r>
        <w:t xml:space="preserve">“</w:t>
      </w:r>
      <w:r>
        <w:t xml:space="preserve">else, latency versus consistency,</w:t>
      </w:r>
      <w:r>
        <w:t xml:space="preserve">”</w:t>
      </w:r>
      <w:r>
        <w:t xml:space="preserve"> </w:t>
      </w:r>
      <w:r>
        <w:t xml:space="preserve">this theorem says</w:t>
      </w:r>
      <w:r>
        <w:t xml:space="preserve"> </w:t>
      </w:r>
      <w:r>
        <w:t xml:space="preserve">“</w:t>
      </w:r>
      <w:r>
        <w:t xml:space="preserve">under eviction, consistency versus memory — choose which you pay.</w:t>
      </w:r>
      <w:r>
        <w:t xml:space="preserve">”</w:t>
      </w:r>
    </w:p>
    <w:bookmarkEnd w:id="82"/>
    <w:bookmarkStart w:id="83" w:name="X2bf0273f7330ea572f01c4b331aa4a19f1ad319"/>
    <w:p>
      <w:pPr>
        <w:pStyle w:val="Heading2"/>
      </w:pPr>
      <w:r>
        <w:t xml:space="preserve">4.4 Contribution 3 — A Complexity Theory of Consistency under Partial Materialization</w:t>
      </w:r>
    </w:p>
    <w:p>
      <w:pPr>
        <w:pStyle w:val="FirstParagraph"/>
      </w:pPr>
      <w:r>
        <w:rPr>
          <w:bCs/>
          <w:b/>
        </w:rPr>
        <w:t xml:space="preserve">Theorem 4.3 (Rung pricing; upper bounds constructive).</w:t>
      </w:r>
      <w:r>
        <w:t xml:space="preserve"> </w:t>
      </w:r>
      <w:r>
        <w:t xml:space="preserve">In the cost model of Section 3.14:</w:t>
      </w:r>
    </w:p>
    <w:p>
      <w:pPr>
        <w:numPr>
          <w:ilvl w:val="0"/>
          <w:numId w:val="1007"/>
        </w:numPr>
        <w:pStyle w:val="Compact"/>
      </w:pPr>
      <w:r>
        <w:rPr>
          <w:bCs/>
          <w:b/>
        </w:rPr>
        <w:t xml:space="preserve">ℓ₀ BS(K,T):</w:t>
      </w:r>
      <w:r>
        <w:t xml:space="preserve"> </w:t>
      </w:r>
      <w:r>
        <w:t xml:space="preserve">O(1) anchor check per read plus miss(π,m)·c_u·w; maintenance may batch up to K epochs, amortizing application by a factor of K. No term in n.</w:t>
      </w:r>
    </w:p>
    <w:p>
      <w:pPr>
        <w:numPr>
          <w:ilvl w:val="0"/>
          <w:numId w:val="1007"/>
        </w:numPr>
        <w:pStyle w:val="Compact"/>
      </w:pPr>
      <w:r>
        <w:rPr>
          <w:bCs/>
          <w:b/>
        </w:rPr>
        <w:t xml:space="preserve">ℓ₁/ℓ₂ (session rungs):</w:t>
      </w:r>
      <w:r>
        <w:t xml:space="preserve"> </w:t>
      </w:r>
      <w:r>
        <w:t xml:space="preserve">add O(1) per-session watermark state and a comparison per read; upquery cost unchanged. No term in n.</w:t>
      </w:r>
    </w:p>
    <w:p>
      <w:pPr>
        <w:numPr>
          <w:ilvl w:val="0"/>
          <w:numId w:val="1007"/>
        </w:numPr>
        <w:pStyle w:val="Compact"/>
      </w:pPr>
      <w:r>
        <w:rPr>
          <w:bCs/>
          <w:b/>
        </w:rPr>
        <w:t xml:space="preserve">ℓ₃ SNAP:</w:t>
      </w:r>
      <w:r>
        <w:t xml:space="preserve"> </w:t>
      </w:r>
      <w:r>
        <w:t xml:space="preserve">add snapshot pinning — upqueries anchored at the read’s single epoch, and resident versions retained across the pin window p, giving memory O(m · p̂) for mean pinned span p̂. No term in n.</w:t>
      </w:r>
    </w:p>
    <w:p>
      <w:pPr>
        <w:numPr>
          <w:ilvl w:val="0"/>
          <w:numId w:val="1007"/>
        </w:numPr>
        <w:pStyle w:val="Compact"/>
      </w:pPr>
      <w:r>
        <w:rPr>
          <w:bCs/>
          <w:b/>
        </w:rPr>
        <w:t xml:space="preserve">ℓ₄ SER:</w:t>
      </w:r>
      <w:r>
        <w:t xml:space="preserve"> </w:t>
      </w:r>
      <w:r>
        <w:t xml:space="preserve">add validation of read-set order, O(contended keys) per transaction under optimistic validation over anchors. No term in n.</w:t>
      </w:r>
    </w:p>
    <w:p>
      <w:pPr>
        <w:numPr>
          <w:ilvl w:val="0"/>
          <w:numId w:val="1007"/>
        </w:numPr>
        <w:pStyle w:val="Compact"/>
      </w:pPr>
      <w:r>
        <w:rPr>
          <w:bCs/>
          <w:b/>
        </w:rPr>
        <w:t xml:space="preserve">ℓ₅ Ledger-consistent:</w:t>
      </w:r>
      <w:r>
        <w:t xml:space="preserve"> </w:t>
      </w:r>
      <w:r>
        <w:t xml:space="preserve">add the freshness term of Theorem 4.2 — every miss waits for seal and application to its slice, adding expected τ/2 plus application backlog, with the delayed-hit multiplier. No term in n.</w:t>
      </w:r>
    </w:p>
    <w:p>
      <w:pPr>
        <w:pStyle w:val="FirstParagraph"/>
      </w:pPr>
      <w:r>
        <w:rPr>
          <w:bCs/>
          <w:b/>
        </w:rPr>
        <w:t xml:space="preserve">Theorem 4.3′ (History-independence, with matching lower bounds in the restricted model).</w:t>
      </w:r>
      <w:r>
        <w:t xml:space="preserve"> </w:t>
      </w:r>
      <w:r>
        <w:t xml:space="preserve">Assume upquery paths of bounded width w and anchor-indexed access to per-key delta positions. Then (a) every rung’s marginal per-operation cost is bounded by a function of (π, read/write mix, λ, m, τ, w, Z) alone —</w:t>
      </w:r>
      <w:r>
        <w:t xml:space="preserve"> </w:t>
      </w:r>
      <w:r>
        <w:rPr>
          <w:iCs/>
          <w:i/>
        </w:rPr>
        <w:t xml:space="preserve">the price of consistency is workload-shaped, not history-shaped</w:t>
      </w:r>
      <w:r>
        <w:t xml:space="preserve">; and (b) any implementation must pay Ω(1) anchor bookkeeping at ℓ₁ and above, Ω(miss · w) base touches at every rung, and Ω(freshness) at ℓ₅.</w:t>
      </w:r>
    </w:p>
    <w:p>
      <w:pPr>
        <w:pStyle w:val="BodyText"/>
      </w:pPr>
      <w:r>
        <w:rPr>
          <w:iCs/>
          <w:i/>
        </w:rPr>
        <w:t xml:space="preserve">Proof.</w:t>
      </w:r>
      <w:r>
        <w:t xml:space="preserve"> </w:t>
      </w:r>
      <w:r>
        <w:t xml:space="preserve">Upper bounds are exhibited by the algorithms of Appendix D: per-key anchor indices (epoch-skip structures over the key’s delta positions) give amortized O(1) locate cost, and each rung’s mechanism adds exactly the structure listed; inspection shows no dependence on n, since history enters only through per-key update counts, a workload property. Lower bounds: anchor bookkeeping by a fooling-set argument over traces that violate MONO if fewer than one bit of session watermark is kept; base touches by the adversary argument of Theorem 4.2(iii); freshness from clause (i) of the same theorem.</w:t>
      </w:r>
      <w:r>
        <w:t xml:space="preserve"> </w:t>
      </w:r>
      <w:r>
        <w:rPr>
          <w:iCs/>
          <w:i/>
        </w:rPr>
        <w:t xml:space="preserve">Restriction, stated honestly:</w:t>
      </w:r>
      <w:r>
        <w:t xml:space="preserve"> </w:t>
      </w:r>
      <w:r>
        <w:t xml:space="preserve">without anchor-indexed access, locating a key’s deltas could require scanning history and would reintroduce n. The assumption is implemented, not idealized — but the theorem is about implementations that make it. ∎</w:t>
      </w:r>
    </w:p>
    <w:p>
      <w:pPr>
        <w:pStyle w:val="BodyText"/>
      </w:pPr>
      <w:r>
        <w:rPr>
          <w:bCs/>
          <w:b/>
        </w:rPr>
        <w:t xml:space="preserve">Consequence.</w:t>
      </w:r>
      <w:r>
        <w:t xml:space="preserve"> </w:t>
      </w:r>
      <w:r>
        <w:t xml:space="preserve">The institutional question</w:t>
      </w:r>
      <w:r>
        <w:t xml:space="preserve"> </w:t>
      </w:r>
      <w:r>
        <w:t xml:space="preserve">“</w:t>
      </w:r>
      <w:r>
        <w:t xml:space="preserve">which rung can we afford for this view</w:t>
      </w:r>
      <w:r>
        <w:t xml:space="preserve">”</w:t>
      </w:r>
      <w:r>
        <w:t xml:space="preserve"> </w:t>
      </w:r>
      <w:r>
        <w:t xml:space="preserve">is answered by measuring the workload, not by sizing the history: ten years of ledger cost the same per read as ten days, at every rung. This is the theory behind S3, and it is the claim most directly falsifiable by a single regression.</w:t>
      </w:r>
    </w:p>
    <w:bookmarkEnd w:id="83"/>
    <w:bookmarkStart w:id="85" w:name="X9d0859ad4fcaa4d8601832817556196bff5cc9a"/>
    <w:p>
      <w:pPr>
        <w:pStyle w:val="Heading2"/>
      </w:pPr>
      <w:r>
        <w:t xml:space="preserve">4.5 Contribution 4 — The Consistency-Effect Calculus and Niles Soundness</w:t>
      </w:r>
    </w:p>
    <w:p>
      <w:pPr>
        <w:pStyle w:val="FirstParagraph"/>
      </w:pPr>
      <w:r>
        <w:rPr>
          <w:bCs/>
          <w:b/>
        </w:rPr>
        <w:t xml:space="preserve">The calculus λ_niles.</w:t>
      </w:r>
      <w:r>
        <w:t xml:space="preserve"> </w:t>
      </w:r>
      <w:r>
        <w:t xml:space="preserve">A core calculus with: base types including</w:t>
      </w:r>
      <w:r>
        <w:t xml:space="preserve"> </w:t>
      </w:r>
      <w:r>
        <w:rPr>
          <w:rStyle w:val="VerbatimChar"/>
        </w:rPr>
        <w:t xml:space="preserve">Money⟨c, s⟩</w:t>
      </w:r>
      <w:r>
        <w:t xml:space="preserve"> </w:t>
      </w:r>
      <w:r>
        <w:t xml:space="preserve">(currency index c at scale s),</w:t>
      </w:r>
      <w:r>
        <w:t xml:space="preserve"> </w:t>
      </w:r>
      <w:r>
        <w:rPr>
          <w:rStyle w:val="VerbatimChar"/>
        </w:rPr>
        <w:t xml:space="preserve">Account</w:t>
      </w:r>
      <w:r>
        <w:t xml:space="preserve">,</w:t>
      </w:r>
      <w:r>
        <w:t xml:space="preserve"> </w:t>
      </w:r>
      <w:r>
        <w:rPr>
          <w:rStyle w:val="VerbatimChar"/>
        </w:rPr>
        <w:t xml:space="preserve">Posting</w:t>
      </w:r>
      <w:r>
        <w:t xml:space="preserve">, bitemporal types;</w:t>
      </w:r>
      <w:r>
        <w:t xml:space="preserve"> </w:t>
      </w:r>
      <w:r>
        <w:rPr>
          <w:iCs/>
          <w:i/>
        </w:rPr>
        <w:t xml:space="preserve">linear</w:t>
      </w:r>
      <w:r>
        <w:t xml:space="preserve"> </w:t>
      </w:r>
      <w:r>
        <w:t xml:space="preserve">resource types for posting halves; an effect lattice over {read@ℓ, append, debit⟨c⟩, credit⟨c⟩, overdraw, fx⟨a,b⟩, declassify}; and judgment Γ ⊢ e : T ! ε. Key rules, abbreviated:</w:t>
      </w:r>
    </w:p>
    <w:p>
      <w:pPr>
        <w:numPr>
          <w:ilvl w:val="0"/>
          <w:numId w:val="1008"/>
        </w:numPr>
        <w:pStyle w:val="Compact"/>
      </w:pPr>
      <w:r>
        <w:rPr>
          <w:bCs/>
          <w:b/>
        </w:rPr>
        <w:t xml:space="preserve">(T-Money-Add)</w:t>
      </w:r>
      <w:r>
        <w:t xml:space="preserve"> </w:t>
      </w:r>
      <w:r>
        <w:t xml:space="preserve">both operands</w:t>
      </w:r>
      <w:r>
        <w:t xml:space="preserve"> </w:t>
      </w:r>
      <w:r>
        <w:rPr>
          <w:rStyle w:val="VerbatimChar"/>
        </w:rPr>
        <w:t xml:space="preserve">Money⟨c,s⟩</w:t>
      </w:r>
      <w:r>
        <w:t xml:space="preserve"> </w:t>
      </w:r>
      <w:r>
        <w:t xml:space="preserve">with the</w:t>
      </w:r>
      <w:r>
        <w:t xml:space="preserve"> </w:t>
      </w:r>
      <w:r>
        <w:rPr>
          <w:iCs/>
          <w:i/>
        </w:rPr>
        <w:t xml:space="preserve">same</w:t>
      </w:r>
      <w:r>
        <w:t xml:space="preserve"> </w:t>
      </w:r>
      <w:r>
        <w:t xml:space="preserve">c and s. No rule joins distinct currency indices; currency mismatch is untypeable, in the manner Kennedy’s units-of-measure system makes dimensional mismatch untypeable.</w:t>
      </w:r>
    </w:p>
    <w:p>
      <w:pPr>
        <w:numPr>
          <w:ilvl w:val="0"/>
          <w:numId w:val="1008"/>
        </w:numPr>
        <w:pStyle w:val="Compact"/>
      </w:pPr>
      <w:r>
        <w:rPr>
          <w:bCs/>
          <w:b/>
        </w:rPr>
        <w:t xml:space="preserve">(T-Posting)</w:t>
      </w:r>
      <w:r>
        <w:t xml:space="preserve"> </w:t>
      </w:r>
      <w:r>
        <w:t xml:space="preserve">posting construction consumes linear debit/credit halves; a transaction term</w:t>
      </w:r>
      <w:r>
        <w:t xml:space="preserve"> </w:t>
      </w:r>
      <w:r>
        <w:rPr>
          <w:rStyle w:val="VerbatimChar"/>
        </w:rPr>
        <w:t xml:space="preserve">txn{p₁…pₙ}</w:t>
      </w:r>
      <w:r>
        <w:t xml:space="preserve"> </w:t>
      </w:r>
      <w:r>
        <w:t xml:space="preserve">types only if, per currency, the multiset of halves cancels — the balance obligation is a type-level sum over an indexed monoid, discharged by the currency-row solver.</w:t>
      </w:r>
    </w:p>
    <w:p>
      <w:pPr>
        <w:numPr>
          <w:ilvl w:val="0"/>
          <w:numId w:val="1008"/>
        </w:numPr>
        <w:pStyle w:val="Compact"/>
      </w:pPr>
      <w:r>
        <w:rPr>
          <w:bCs/>
          <w:b/>
        </w:rPr>
        <w:t xml:space="preserve">(T-Overdraw)</w:t>
      </w:r>
      <w:r>
        <w:t xml:space="preserve"> </w:t>
      </w:r>
      <w:r>
        <w:t xml:space="preserve">a posting whose static balance bound may cross zero requires the ambient capability</w:t>
      </w:r>
      <w:r>
        <w:t xml:space="preserve"> </w:t>
      </w:r>
      <w:r>
        <w:rPr>
          <w:rStyle w:val="VerbatimChar"/>
        </w:rPr>
        <w:t xml:space="preserve">Auth⟨overdraw⟩</w:t>
      </w:r>
      <w:r>
        <w:t xml:space="preserve">, which has no introduction rule except an authorization term.</w:t>
      </w:r>
    </w:p>
    <w:p>
      <w:pPr>
        <w:numPr>
          <w:ilvl w:val="0"/>
          <w:numId w:val="1008"/>
        </w:numPr>
        <w:pStyle w:val="Compact"/>
      </w:pPr>
      <w:r>
        <w:rPr>
          <w:bCs/>
          <w:b/>
        </w:rPr>
        <w:t xml:space="preserve">(T-FX)</w:t>
      </w:r>
      <w:r>
        <w:t xml:space="preserve"> </w:t>
      </w:r>
      <w:r>
        <w:rPr>
          <w:rStyle w:val="VerbatimChar"/>
        </w:rPr>
        <w:t xml:space="preserve">fx⟨a,b⟩{legA, legB, rate}</w:t>
      </w:r>
      <w:r>
        <w:t xml:space="preserve"> </w:t>
      </w:r>
      <w:r>
        <w:t xml:space="preserve">types only if legA balances in a and legB balances in b (Definition 3.7 internalized).</w:t>
      </w:r>
    </w:p>
    <w:p>
      <w:pPr>
        <w:numPr>
          <w:ilvl w:val="0"/>
          <w:numId w:val="1008"/>
        </w:numPr>
        <w:pStyle w:val="Compact"/>
      </w:pPr>
      <w:r>
        <w:rPr>
          <w:bCs/>
          <w:b/>
        </w:rPr>
        <w:t xml:space="preserve">(T-Serve)</w:t>
      </w:r>
      <w:r>
        <w:t xml:space="preserve"> </w:t>
      </w:r>
      <w:r>
        <w:t xml:space="preserve">a read term is typed at its view’s declared rung; a function demanding ℓ₃ composes only with contexts serving ℓ₃ or above — consistency is an effect, so under-consistent composition is a type error.</w:t>
      </w:r>
    </w:p>
    <w:p>
      <w:pPr>
        <w:numPr>
          <w:ilvl w:val="0"/>
          <w:numId w:val="1008"/>
        </w:numPr>
        <w:pStyle w:val="Compact"/>
      </w:pPr>
      <w:r>
        <w:rPr>
          <w:bCs/>
          <w:b/>
        </w:rPr>
        <w:t xml:space="preserve">(T-Idem)</w:t>
      </w:r>
      <w:r>
        <w:t xml:space="preserve"> </w:t>
      </w:r>
      <w:r>
        <w:t xml:space="preserve">submission is typed as an idempotent effect keyed by an idempotency term, with the declared deduplication window as part of the type (Section 3.20).</w:t>
      </w:r>
    </w:p>
    <w:p>
      <w:pPr>
        <w:pStyle w:val="FirstParagraph"/>
      </w:pPr>
      <w:r>
        <w:rPr>
          <w:bCs/>
          <w:b/>
        </w:rPr>
        <w:t xml:space="preserve">Theorem 4.4 (Niles Soundness).</w:t>
      </w:r>
      <w:r>
        <w:t xml:space="preserve"> </w:t>
      </w:r>
      <w:r>
        <w:t xml:space="preserve">If ⊢ P : T ! ε, then for every trace of P’s execution under the LTS of Section 3.11 — including crash/recover, evict, upquery and concurrency — (1) every committed transaction is balanced per currency, hence by Lemma 3.1 and Corollary 4.1.1 value is conserved at every epoch and across all eviction schedules; (2) no value of type</w:t>
      </w:r>
      <w:r>
        <w:t xml:space="preserve"> </w:t>
      </w:r>
      <w:r>
        <w:rPr>
          <w:rStyle w:val="VerbatimChar"/>
        </w:rPr>
        <w:t xml:space="preserve">Money⟨a,·⟩</w:t>
      </w:r>
      <w:r>
        <w:t xml:space="preserve"> </w:t>
      </w:r>
      <w:r>
        <w:t xml:space="preserve">flows into a</w:t>
      </w:r>
      <w:r>
        <w:t xml:space="preserve"> </w:t>
      </w:r>
      <w:r>
        <w:rPr>
          <w:rStyle w:val="VerbatimChar"/>
        </w:rPr>
        <w:t xml:space="preserve">Money⟨b,·⟩</w:t>
      </w:r>
      <w:r>
        <w:t xml:space="preserve"> </w:t>
      </w:r>
      <w:r>
        <w:t xml:space="preserve">context for a ≠ b; (3) no committed posting overdraws an account unless an</w:t>
      </w:r>
      <w:r>
        <w:t xml:space="preserve"> </w:t>
      </w:r>
      <w:r>
        <w:rPr>
          <w:rStyle w:val="VerbatimChar"/>
        </w:rPr>
        <w:t xml:space="preserve">Auth⟨overdraw⟩</w:t>
      </w:r>
      <w:r>
        <w:t xml:space="preserve"> </w:t>
      </w:r>
      <w:r>
        <w:t xml:space="preserve">capability was in scope at its typing; (4) every read observed by P satisfies its declared rung’s predicate.</w:t>
      </w:r>
    </w:p>
    <w:p>
      <w:pPr>
        <w:pStyle w:val="BodyText"/>
      </w:pPr>
      <w:r>
        <w:rPr>
          <w:iCs/>
          <w:i/>
        </w:rPr>
        <w:t xml:space="preserve">Proof.</w:t>
      </w:r>
      <w:r>
        <w:t xml:space="preserve"> </w:t>
      </w:r>
      <w:r>
        <w:t xml:space="preserve">Progress and preservation for λ_niles by structural induction. The novel cases are the currency-row solver — preservation of the per-currency sum under reduction — and linear consumption of posting halves, which is exactly what makes balance structural rather than checked. Clause (1): a typeable committed transaction has cancelling currency rows, giving Definition 3.4 and hence ledger-level conservation. Clause (2): no typing rule joins distinct indices, and preservation carries indices through reduction. Clause (3): capabilities are unforgeable (no introduction rule but authorization), so by preservation every overdraw redex carries one. Clause (4): the runtime serves per contract by P6, and T-Serve makes the demanded rung no stronger than the served rung. ∎</w:t>
      </w:r>
    </w:p>
    <w:p>
      <w:pPr>
        <w:pStyle w:val="BodyText"/>
      </w:pPr>
      <w:r>
        <w:rPr>
          <w:bCs/>
          <w:b/>
        </w:rPr>
        <w:t xml:space="preserve">What is inherited and what is new.</w:t>
      </w:r>
      <w:r>
        <w:t xml:space="preserve"> </w:t>
      </w:r>
      <w:r>
        <w:t xml:space="preserve">Inherited: dimensional safety from units-of-measure typing [Kennedy]; exactly-once resource consumption from linear types [Wadler]; effect rows from the algebraic-effects tradition [Leijen; Plotkin &amp; Pretnar]; the pattern of making a security or audit property a typing property [Miller et al., POPL ’14]. New: the</w:t>
      </w:r>
      <w:r>
        <w:t xml:space="preserve"> </w:t>
      </w:r>
      <w:r>
        <w:rPr>
          <w:iCs/>
          <w:i/>
        </w:rPr>
        <w:t xml:space="preserve">composition</w:t>
      </w:r>
      <w:r>
        <w:t xml:space="preserve"> </w:t>
      </w:r>
      <w:r>
        <w:t xml:space="preserve">of currency indices with linear posting halves so that double-entry balance is a typing judgement rather than a runtime constraint; and the treatment of</w:t>
      </w:r>
      <w:r>
        <w:t xml:space="preserve"> </w:t>
      </w:r>
      <w:r>
        <w:rPr>
          <w:iCs/>
          <w:i/>
        </w:rPr>
        <w:t xml:space="preserve">consistency as an effect</w:t>
      </w:r>
      <w:r>
        <w:t xml:space="preserve">, so that a function’s type records the freshness it requires and mis-composition is a compile error.</w:t>
      </w:r>
    </w:p>
    <w:p>
      <w:pPr>
        <w:pStyle w:val="BodyText"/>
      </w:pPr>
      <w:r>
        <w:rPr>
          <w:bCs/>
          <w:b/>
        </w:rPr>
        <w:t xml:space="preserve">What it does not give.</w:t>
      </w:r>
      <w:r>
        <w:t xml:space="preserve"> </w:t>
      </w:r>
      <w:r>
        <w:t xml:space="preserve">Clause (3) is enforcement of authorization, not of solvency: Proposition 3.2 proves non-negativity is not coordination-free, so the type system can require that the capability be present and the runtime must still coordinate at the reservation. Two further limits are declared rather than glossed. Refinement-style predicates (e.g. richer overdraft conditions) are decidable only relative to a chosen qualifier set, which is the standard price of liquid typing [Rondon et al., PLDI ’08]. And confidentiality typing (Section 6.18) is a non-interference-style discipline whose</w:t>
      </w:r>
      <w:r>
        <w:t xml:space="preserve"> </w:t>
      </w:r>
      <w:r>
        <w:rPr>
          <w:iCs/>
          <w:i/>
        </w:rPr>
        <w:t xml:space="preserve">static-label</w:t>
      </w:r>
      <w:r>
        <w:t xml:space="preserve"> </w:t>
      </w:r>
      <w:r>
        <w:t xml:space="preserve">fragment is well understood, while dynamic labels remain an open problem in the information-flow literature — Sabelfeld and Myers note that no non-interference results exist for the dynamic-label fragment they describe. Niles therefore restricts confidentiality annotations to static labels, and says so.</w:t>
      </w:r>
    </w:p>
    <w:bookmarkStart w:id="84" w:name="Xec13b8508acfce7ccbd8daa78dc405aa6d3fbe1"/>
    <w:p>
      <w:pPr>
        <w:pStyle w:val="Heading3"/>
      </w:pPr>
      <w:r>
        <w:t xml:space="preserve">4.5.1 The Currency-Row Solver: What the Analysis Actually Is</w:t>
      </w:r>
    </w:p>
    <w:p>
      <w:pPr>
        <w:pStyle w:val="FirstParagraph"/>
      </w:pPr>
      <w:r>
        <w:t xml:space="preserve">Contribution 4’s conservation clause rests on a static analysis, and the thesis previously</w:t>
      </w:r>
      <w:r>
        <w:t xml:space="preserve"> </w:t>
      </w:r>
      <w:r>
        <w:t xml:space="preserve">asserted its properties in a sentence. This section places it in the program-analysis</w:t>
      </w:r>
      <w:r>
        <w:t xml:space="preserve"> </w:t>
      </w:r>
      <w:r>
        <w:t xml:space="preserve">literature, states its soundness precisely, and records where the original framing was</w:t>
      </w:r>
      <w:r>
        <w:t xml:space="preserve"> </w:t>
      </w:r>
      <w:r>
        <w:t xml:space="preserve">wrong — in two cases badly enough that the implementation was wrong with it.</w:t>
      </w:r>
    </w:p>
    <w:p>
      <w:pPr>
        <w:pStyle w:val="BodyText"/>
      </w:pPr>
      <w:r>
        <w:rPr>
          <w:bCs/>
          <w:b/>
        </w:rPr>
        <w:t xml:space="preserve">The carrier.</w:t>
      </w:r>
      <w:r>
        <w:t xml:space="preserve"> </w:t>
      </w:r>
      <w:r>
        <w:t xml:space="preserve">A transaction’s net effect is not a number but a</w:t>
      </w:r>
      <w:r>
        <w:t xml:space="preserve"> </w:t>
      </w:r>
      <w:r>
        <w:rPr>
          <w:iCs/>
          <w:i/>
        </w:rPr>
        <w:t xml:space="preserve">row</w:t>
      </w:r>
      <w:r>
        <w:t xml:space="preserve">: a finite map from</w:t>
      </w:r>
      <w:r>
        <w:t xml:space="preserve"> </w:t>
      </w:r>
      <w:r>
        <w:t xml:space="preserve">currency to a signed amount. Amounts are affine forms over opaque atoms,</w:t>
      </w:r>
      <w:r>
        <w:t xml:space="preserve"> </w:t>
      </w:r>
      <w:r>
        <w:rPr>
          <w:rStyle w:val="VerbatimChar"/>
        </w:rPr>
        <w:t xml:space="preserve">c₀ + Σ kᵢ·xᵢ</w:t>
      </w:r>
      <w:r>
        <w:t xml:space="preserve"> </w:t>
      </w:r>
      <w:r>
        <w:t xml:space="preserve">with integer coefficients, closed under addition, negation and integer scaling but not</w:t>
      </w:r>
      <w:r>
        <w:t xml:space="preserve"> </w:t>
      </w:r>
      <w:r>
        <w:t xml:space="preserve">under multiplication of two symbolic values or division. The whole state is the direct sum</w:t>
      </w:r>
      <w:r>
        <w:t xml:space="preserve"> </w:t>
      </w:r>
      <w:r>
        <w:rPr>
          <w:rStyle w:val="VerbatimChar"/>
        </w:rPr>
        <w:t xml:space="preserve">⨁_c (ℤ^X ⊕ ℤ)</w:t>
      </w:r>
      <w:r>
        <w:t xml:space="preserve"> </w:t>
      </w:r>
      <w:r>
        <w:t xml:space="preserve">over currencies.</w:t>
      </w:r>
    </w:p>
    <w:p>
      <w:pPr>
        <w:pStyle w:val="BodyText"/>
      </w:pPr>
      <w:r>
        <w:t xml:space="preserve">That carrier is not new, and its pedigree is worth claiming rather than reinventing:</w:t>
      </w:r>
      <w:r>
        <w:t xml:space="preserve"> </w:t>
      </w:r>
      <w:r>
        <w:t xml:space="preserve">Ellerman’s algebraic reconstruction of double-entry bookkeeping gives exactly this structure</w:t>
      </w:r>
      <w:r>
        <w:t xml:space="preserve"> </w:t>
      </w:r>
      <w:r>
        <w:t xml:space="preserve">as the</w:t>
      </w:r>
      <w:r>
        <w:t xml:space="preserve"> </w:t>
      </w:r>
      <w:r>
        <w:rPr>
          <w:iCs/>
          <w:i/>
        </w:rPr>
        <w:t xml:space="preserve">Pacioli group</w:t>
      </w:r>
      <w:r>
        <w:t xml:space="preserve">, a group of differences on T-account pairs, generalized to vectors</w:t>
      </w:r>
      <w:r>
        <w:t xml:space="preserve"> </w:t>
      </w:r>
      <w:r>
        <w:t xml:space="preserve">indexed by property type. The row is his multi-dimensional generalization with currency as</w:t>
      </w:r>
      <w:r>
        <w:t xml:space="preserve"> </w:t>
      </w:r>
      <w:r>
        <w:t xml:space="preserve">the index.</w:t>
      </w:r>
    </w:p>
    <w:p>
      <w:pPr>
        <w:pStyle w:val="BodyText"/>
      </w:pPr>
      <w:r>
        <w:rPr>
          <w:bCs/>
          <w:b/>
        </w:rPr>
        <w:t xml:space="preserve">What it is, in the standard taxonomy.</w:t>
      </w:r>
      <w:r>
        <w:t xml:space="preserve"> </w:t>
      </w:r>
      <w:r>
        <w:t xml:space="preserve">The honest name is</w:t>
      </w:r>
      <w:r>
        <w:t xml:space="preserve"> </w:t>
      </w:r>
      <w:r>
        <w:rPr>
          <w:iCs/>
          <w:i/>
        </w:rPr>
        <w:t xml:space="preserve">a combination domain of affine</w:t>
      </w:r>
      <w:r>
        <w:rPr>
          <w:iCs/>
          <w:i/>
        </w:rPr>
        <w:t xml:space="preserve"> </w:t>
      </w:r>
      <w:r>
        <w:rPr>
          <w:iCs/>
          <w:i/>
        </w:rPr>
        <w:t xml:space="preserve">expressions over Herbrand atoms, restricted to a single accumulator per currency</w:t>
      </w:r>
      <w:r>
        <w:t xml:space="preserve">. Two</w:t>
      </w:r>
      <w:r>
        <w:t xml:space="preserve"> </w:t>
      </w:r>
      <w:r>
        <w:t xml:space="preserve">components, and separating them matters because they fail differently.</w:t>
      </w:r>
    </w:p>
    <w:p>
      <w:pPr>
        <w:pStyle w:val="BodyText"/>
      </w:pPr>
      <w:r>
        <w:t xml:space="preserve">The relationship to Karr’s algorithm is best stated as an</w:t>
      </w:r>
      <w:r>
        <w:t xml:space="preserve"> </w:t>
      </w:r>
      <w:r>
        <w:rPr>
          <w:bCs/>
          <w:b/>
        </w:rPr>
        <w:t xml:space="preserve">encoding rather than a</w:t>
      </w:r>
      <w:r>
        <w:rPr>
          <w:bCs/>
          <w:b/>
        </w:rPr>
        <w:t xml:space="preserve"> </w:t>
      </w:r>
      <w:r>
        <w:rPr>
          <w:bCs/>
          <w:b/>
        </w:rPr>
        <w:t xml:space="preserve">specialization</w:t>
      </w:r>
      <w:r>
        <w:t xml:space="preserve">. Introduce a ghost variable</w:t>
      </w:r>
      <w:r>
        <w:t xml:space="preserve"> </w:t>
      </w:r>
      <w:r>
        <w:rPr>
          <w:rStyle w:val="VerbatimChar"/>
        </w:rPr>
        <w:t xml:space="preserve">net_c</w:t>
      </w:r>
      <w:r>
        <w:t xml:space="preserve"> </w:t>
      </w:r>
      <w:r>
        <w:t xml:space="preserve">per currency, model</w:t>
      </w:r>
      <w:r>
        <w:t xml:space="preserve"> </w:t>
      </w:r>
      <w:r>
        <w:rPr>
          <w:rStyle w:val="VerbatimChar"/>
        </w:rPr>
        <w:t xml:space="preserve">debit</w:t>
      </w:r>
      <w:r>
        <w:t xml:space="preserve"> </w:t>
      </w:r>
      <w:r>
        <w:t xml:space="preserve">as</w:t>
      </w:r>
      <w:r>
        <w:t xml:space="preserve"> </w:t>
      </w:r>
      <w:r>
        <w:rPr>
          <w:rStyle w:val="VerbatimChar"/>
        </w:rPr>
        <w:t xml:space="preserve">net_c := net_c − m</w:t>
      </w:r>
      <w:r>
        <w:t xml:space="preserve"> </w:t>
      </w:r>
      <w:r>
        <w:t xml:space="preserve">and</w:t>
      </w:r>
      <w:r>
        <w:t xml:space="preserve"> </w:t>
      </w:r>
      <w:r>
        <w:rPr>
          <w:rStyle w:val="VerbatimChar"/>
        </w:rPr>
        <w:t xml:space="preserve">credit</w:t>
      </w:r>
      <w:r>
        <w:t xml:space="preserve"> </w:t>
      </w:r>
      <w:r>
        <w:t xml:space="preserve">as</w:t>
      </w:r>
      <w:r>
        <w:t xml:space="preserve"> </w:t>
      </w:r>
      <w:r>
        <w:rPr>
          <w:rStyle w:val="VerbatimChar"/>
        </w:rPr>
        <w:t xml:space="preserve">net_c := net_c + m</w:t>
      </w:r>
      <w:r>
        <w:t xml:space="preserve">, and model each opaque money</w:t>
      </w:r>
      <w:r>
        <w:t xml:space="preserve"> </w:t>
      </w:r>
      <w:r>
        <w:t xml:space="preserve">source as a nondeterministic assignment. Then</w:t>
      </w:r>
      <w:r>
        <w:t xml:space="preserve"> </w:t>
      </w:r>
      <w:r>
        <w:t xml:space="preserve">“</w:t>
      </w:r>
      <w:r>
        <w:t xml:space="preserve">this transaction conserves</w:t>
      </w:r>
      <w:r>
        <w:t xml:space="preserve"> </w:t>
      </w:r>
      <w:r>
        <w:rPr>
          <w:iCs/>
          <w:i/>
        </w:rPr>
        <w:t xml:space="preserve">c</w:t>
      </w:r>
      <w:r>
        <w:t xml:space="preserve">”</w:t>
      </w:r>
      <w:r>
        <w:t xml:space="preserve"> </w:t>
      </w:r>
      <w:r>
        <w:t xml:space="preserve">is exactly</w:t>
      </w:r>
      <w:r>
        <w:t xml:space="preserve"> </w:t>
      </w:r>
      <w:r>
        <w:t xml:space="preserve">the Karr query</w:t>
      </w:r>
      <w:r>
        <w:t xml:space="preserve"> </w:t>
      </w:r>
      <w:r>
        <w:rPr>
          <w:iCs/>
          <w:i/>
        </w:rPr>
        <w:t xml:space="preserve">does the affine relation</w:t>
      </w:r>
      <w:r>
        <w:rPr>
          <w:iCs/>
          <w:i/>
        </w:rPr>
        <w:t xml:space="preserve"> </w:t>
      </w:r>
      <w:r>
        <w:rPr>
          <w:rStyle w:val="VerbatimChar"/>
          <w:iCs/>
          <w:i/>
        </w:rPr>
        <w:t xml:space="preserve">net_c = 0</w:t>
      </w:r>
      <w:r>
        <w:rPr>
          <w:iCs/>
          <w:i/>
        </w:rPr>
        <w:t xml:space="preserve"> </w:t>
      </w:r>
      <w:r>
        <w:rPr>
          <w:iCs/>
          <w:i/>
        </w:rPr>
        <w:t xml:space="preserve">hold at the transaction’s exit?</w:t>
      </w:r>
      <w:r>
        <w:t xml:space="preserve"> </w:t>
      </w:r>
      <w:r>
        <w:t xml:space="preserve">The</w:t>
      </w:r>
      <w:r>
        <w:t xml:space="preserve"> </w:t>
      </w:r>
      <w:r>
        <w:t xml:space="preserve">solver is therefore a</w:t>
      </w:r>
      <w:r>
        <w:t xml:space="preserve"> </w:t>
      </w:r>
      <w:r>
        <w:rPr>
          <w:bCs/>
          <w:b/>
        </w:rPr>
        <w:t xml:space="preserve">cheap, non-relational implementation of one Karr query</w:t>
      </w:r>
      <w:r>
        <w:t xml:space="preserve">, not a</w:t>
      </w:r>
      <w:r>
        <w:t xml:space="preserve"> </w:t>
      </w:r>
      <w:r>
        <w:t xml:space="preserve">degenerate case of Karr’s domain — and it is strictly weaker at joins, where Karr’s affine</w:t>
      </w:r>
      <w:r>
        <w:t xml:space="preserve"> </w:t>
      </w:r>
      <w:r>
        <w:t xml:space="preserve">hull can retain</w:t>
      </w:r>
      <w:r>
        <w:t xml:space="preserve"> </w:t>
      </w:r>
      <w:r>
        <w:rPr>
          <w:rStyle w:val="VerbatimChar"/>
        </w:rPr>
        <w:t xml:space="preserve">net = x − y</w:t>
      </w:r>
      <w:r>
        <w:t xml:space="preserve"> </w:t>
      </w:r>
      <w:r>
        <w:t xml:space="preserve">across branches that disagree on</w:t>
      </w:r>
      <w:r>
        <w:t xml:space="preserve"> </w:t>
      </w:r>
      <w:r>
        <w:rPr>
          <w:rStyle w:val="VerbatimChar"/>
        </w:rPr>
        <w:t xml:space="preserve">x</w:t>
      </w:r>
      <w:r>
        <w:t xml:space="preserve"> </w:t>
      </w:r>
      <w:r>
        <w:t xml:space="preserve">and</w:t>
      </w:r>
      <w:r>
        <w:t xml:space="preserve"> </w:t>
      </w:r>
      <w:r>
        <w:rPr>
          <w:rStyle w:val="VerbatimChar"/>
        </w:rPr>
        <w:t xml:space="preserve">y</w:t>
      </w:r>
      <w:r>
        <w:t xml:space="preserve"> </w:t>
      </w:r>
      <w:r>
        <w:t xml:space="preserve">separately.</w:t>
      </w:r>
    </w:p>
    <w:p>
      <w:pPr>
        <w:pStyle w:val="BodyText"/>
      </w:pPr>
      <w:r>
        <w:t xml:space="preserve">It is also</w:t>
      </w:r>
      <w:r>
        <w:t xml:space="preserve"> </w:t>
      </w:r>
      <w:r>
        <w:rPr>
          <w:iCs/>
          <w:i/>
        </w:rPr>
        <w:t xml:space="preserve">incomparable</w:t>
      </w:r>
      <w:r>
        <w:t xml:space="preserve"> </w:t>
      </w:r>
      <w:r>
        <w:t xml:space="preserve">to Karr on a second axis: Karr’s variables are program locations,</w:t>
      </w:r>
      <w:r>
        <w:t xml:space="preserve"> </w:t>
      </w:r>
      <w:r>
        <w:t xml:space="preserve">whereas the atoms here are named values, so two reads of the same pure call should be the</w:t>
      </w:r>
      <w:r>
        <w:t xml:space="preserve"> </w:t>
      </w:r>
      <w:r>
        <w:t xml:space="preserve">same atom. That is a Herbrand-equality component, and the literature for the combination</w:t>
      </w:r>
      <w:r>
        <w:t xml:space="preserve"> </w:t>
      </w:r>
      <w:r>
        <w:t xml:space="preserve">exists — Gulwani and Necula’s polynomial-time global value numbering, Müller-Olm, Rüthing</w:t>
      </w:r>
      <w:r>
        <w:t xml:space="preserve"> </w:t>
      </w:r>
      <w:r>
        <w:t xml:space="preserve">and Seidl on checking Herbrand equalities, and the interprocedural version.</w:t>
      </w:r>
    </w:p>
    <w:p>
      <w:pPr>
        <w:pStyle w:val="BodyText"/>
      </w:pPr>
      <w:r>
        <w:rPr>
          <w:bCs/>
          <w:b/>
        </w:rPr>
        <w:t xml:space="preserve">It is not a decision procedure.</w:t>
      </w:r>
      <w:r>
        <w:t xml:space="preserve"> </w:t>
      </w:r>
      <w:r>
        <w:t xml:space="preserve">The thesis previously used that phrase and it is an</w:t>
      </w:r>
      <w:r>
        <w:t xml:space="preserve"> </w:t>
      </w:r>
      <w:r>
        <w:t xml:space="preserve">overclaim. What the solver has is a canonical form and an equality test against zero, which</w:t>
      </w:r>
      <w:r>
        <w:t xml:space="preserve"> </w:t>
      </w:r>
      <w:r>
        <w:t xml:space="preserve">is</w:t>
      </w:r>
      <w:r>
        <w:t xml:space="preserve"> </w:t>
      </w:r>
      <w:r>
        <w:rPr>
          <w:iCs/>
          <w:i/>
        </w:rPr>
        <w:t xml:space="preserve">complete for the word problem in a finitely generated free abelian group</w:t>
      </w:r>
      <w:r>
        <w:t xml:space="preserve"> </w:t>
      </w:r>
      <w:r>
        <w:t xml:space="preserve">and decidable</w:t>
      </w:r>
      <w:r>
        <w:t xml:space="preserve"> </w:t>
      </w:r>
      <w:r>
        <w:t xml:space="preserve">in time linear in term size. It is not a decision procedure for Presburger arithmetic and</w:t>
      </w:r>
      <w:r>
        <w:t xml:space="preserve"> </w:t>
      </w:r>
      <w:r>
        <w:t xml:space="preserve">not the Omega test; the fragment sits far below both, deliberately.</w:t>
      </w:r>
    </w:p>
    <w:p>
      <w:pPr>
        <w:pStyle w:val="BodyText"/>
      </w:pPr>
      <w:r>
        <w:rPr>
          <w:bCs/>
          <w:b/>
        </w:rPr>
        <w:t xml:space="preserve">Where the incompleteness actually lives.</w:t>
      </w:r>
      <w:r>
        <w:t xml:space="preserve"> </w:t>
      </w:r>
      <w:r>
        <w:t xml:space="preserve">The thesis previously attributed the analysis’s</w:t>
      </w:r>
      <w:r>
        <w:t xml:space="preserve"> </w:t>
      </w:r>
      <w:r>
        <w:t xml:space="preserve">limits to its inability to see that</w:t>
      </w:r>
      <w:r>
        <w:t xml:space="preserve"> </w:t>
      </w:r>
      <w:r>
        <w:rPr>
          <w:rStyle w:val="VerbatimChar"/>
        </w:rPr>
        <w:t xml:space="preserve">x − x</w:t>
      </w:r>
      <w:r>
        <w:t xml:space="preserve"> </w:t>
      </w:r>
      <w:r>
        <w:t xml:space="preserve">is zero when the two</w:t>
      </w:r>
      <w:r>
        <w:t xml:space="preserve"> </w:t>
      </w:r>
      <w:r>
        <w:rPr>
          <w:rStyle w:val="VerbatimChar"/>
        </w:rPr>
        <w:t xml:space="preserve">x</w:t>
      </w:r>
      <w:r>
        <w:t xml:space="preserve"> </w:t>
      </w:r>
      <w:r>
        <w:t xml:space="preserve">come from separate</w:t>
      </w:r>
      <w:r>
        <w:t xml:space="preserve"> </w:t>
      </w:r>
      <w:r>
        <w:t xml:space="preserve">calls. That is a</w:t>
      </w:r>
      <w:r>
        <w:t xml:space="preserve"> </w:t>
      </w:r>
      <w:r>
        <w:rPr>
          <w:iCs/>
          <w:i/>
        </w:rPr>
        <w:t xml:space="preserve">value-numbering</w:t>
      </w:r>
      <w:r>
        <w:t xml:space="preserve"> </w:t>
      </w:r>
      <w:r>
        <w:t xml:space="preserve">failure, not an arithmetic one, and it is fixable by</w:t>
      </w:r>
      <w:r>
        <w:t xml:space="preserve"> </w:t>
      </w:r>
      <w:r>
        <w:t xml:space="preserve">congruence closure. The arithmetic limits are different and worse, and they are where real</w:t>
      </w:r>
      <w:r>
        <w:t xml:space="preserve"> </w:t>
      </w:r>
      <w:r>
        <w:t xml:space="preserve">banking bugs live:</w:t>
      </w:r>
      <w:r>
        <w:t xml:space="preserve"> </w:t>
      </w:r>
      <w:r>
        <w:rPr>
          <w:bCs/>
          <w:b/>
        </w:rPr>
        <w:t xml:space="preserve">division and rounding</w:t>
      </w:r>
      <w:r>
        <w:t xml:space="preserve"> </w:t>
      </w:r>
      <w:r>
        <w:t xml:space="preserve">(</w:t>
      </w:r>
      <w:r>
        <w:rPr>
          <w:rStyle w:val="VerbatimChar"/>
        </w:rPr>
        <w:t xml:space="preserve">fee = amount * 3 / 10000</w:t>
      </w:r>
      <w:r>
        <w:t xml:space="preserve">, then split with a</w:t>
      </w:r>
      <w:r>
        <w:t xml:space="preserve"> </w:t>
      </w:r>
      <w:r>
        <w:t xml:space="preserve">remainder leg), products of two symbolic values, guards,</w:t>
      </w:r>
      <w:r>
        <w:t xml:space="preserve"> </w:t>
      </w:r>
      <w:r>
        <w:rPr>
          <w:rStyle w:val="VerbatimChar"/>
        </w:rPr>
        <w:t xml:space="preserve">min</w:t>
      </w:r>
      <w:r>
        <w:t xml:space="preserve">/</w:t>
      </w:r>
      <w:r>
        <w:rPr>
          <w:rStyle w:val="VerbatimChar"/>
        </w:rPr>
        <w:t xml:space="preserve">max</w:t>
      </w:r>
      <w:r>
        <w:t xml:space="preserve">, and — since amounts</w:t>
      </w:r>
      <w:r>
        <w:t xml:space="preserve"> </w:t>
      </w:r>
      <w:r>
        <w:t xml:space="preserve">are machine integers rather than mathematical ones — modular wraparound. An affine domain</w:t>
      </w:r>
      <w:r>
        <w:t xml:space="preserve"> </w:t>
      </w:r>
      <w:r>
        <w:t xml:space="preserve">over ℚ or ℤ is unsound with respect to overflow, so overflow-freedom is a side condition</w:t>
      </w:r>
      <w:r>
        <w:t xml:space="preserve"> </w:t>
      </w:r>
      <w:r>
        <w:t xml:space="preserve">this thesis discharges by construction (i128 minor units against realistic magnitudes) and</w:t>
      </w:r>
      <w:r>
        <w:t xml:space="preserve"> </w:t>
      </w:r>
      <w:r>
        <w:t xml:space="preserve">does not prove.</w:t>
      </w:r>
    </w:p>
    <w:p>
      <w:pPr>
        <w:pStyle w:val="BodyText"/>
      </w:pPr>
      <w:r>
        <w:rPr>
          <w:bCs/>
          <w:b/>
        </w:rPr>
        <w:t xml:space="preserve">The third verdict is forced, not conceded.</w:t>
      </w:r>
      <w:r>
        <w:t xml:space="preserve"> </w:t>
      </w:r>
      <w:r>
        <w:t xml:space="preserve">Müller-Olm and Seidl show by reduction from</w:t>
      </w:r>
      <w:r>
        <w:t xml:space="preserve"> </w:t>
      </w:r>
      <w:r>
        <w:t xml:space="preserve">Post’s Correspondence Problem that in affine programs</w:t>
      </w:r>
      <w:r>
        <w:t xml:space="preserve"> </w:t>
      </w:r>
      <w:r>
        <w:rPr>
          <w:iCs/>
          <w:i/>
        </w:rPr>
        <w:t xml:space="preserve">with affine equality guards</w:t>
      </w:r>
      <w:r>
        <w:t xml:space="preserve">, whether</w:t>
      </w:r>
      <w:r>
        <w:t xml:space="preserve"> </w:t>
      </w:r>
      <w:r>
        <w:t xml:space="preserve">a given affine relation holds at a program point is</w:t>
      </w:r>
      <w:r>
        <w:t xml:space="preserve"> </w:t>
      </w:r>
      <w:r>
        <w:rPr>
          <w:bCs/>
          <w:b/>
        </w:rPr>
        <w:t xml:space="preserve">undecidable</w:t>
      </w:r>
      <w:r>
        <w:t xml:space="preserve">.</w:t>
      </w:r>
      <w:r>
        <w:t xml:space="preserve"> </w:t>
      </w:r>
      <w:r>
        <w:rPr>
          <w:rStyle w:val="VerbatimChar"/>
        </w:rPr>
        <w:t xml:space="preserve">Undecided</w:t>
      </w:r>
      <w:r>
        <w:t xml:space="preserve"> </w:t>
      </w:r>
      <w:r>
        <w:t xml:space="preserve">is therefore</w:t>
      </w:r>
      <w:r>
        <w:t xml:space="preserve"> </w:t>
      </w:r>
      <w:r>
        <w:t xml:space="preserve">not an engineering weakness that more effort would remove; it is the shape of the problem,</w:t>
      </w:r>
      <w:r>
        <w:t xml:space="preserve"> </w:t>
      </w:r>
      <w:r>
        <w:t xml:space="preserve">and a decidable island inside it is the most any analysis of this kind can offer.</w:t>
      </w:r>
    </w:p>
    <w:p>
      <w:pPr>
        <w:pStyle w:val="BodyText"/>
      </w:pPr>
      <w:r>
        <w:rPr>
          <w:bCs/>
          <w:b/>
        </w:rPr>
        <w:t xml:space="preserve">Soundness, restated after two corrections.</w:t>
      </w:r>
      <w:r>
        <w:t xml:space="preserve"> </w:t>
      </w:r>
      <w:r>
        <w:t xml:space="preserve">The verdicts are</w:t>
      </w:r>
      <w:r>
        <w:t xml:space="preserve"> </w:t>
      </w:r>
      <w:r>
        <w:rPr>
          <w:rStyle w:val="VerbatimChar"/>
        </w:rPr>
        <w:t xml:space="preserve">Conserves</w:t>
      </w:r>
      <w:r>
        <w:t xml:space="preserve"> </w:t>
      </w:r>
      <w:r>
        <w:t xml:space="preserve">(a proof),</w:t>
      </w:r>
      <w:r>
        <w:t xml:space="preserve"> </w:t>
      </w:r>
      <w:r>
        <w:rPr>
          <w:rStyle w:val="VerbatimChar"/>
        </w:rPr>
        <w:t xml:space="preserve">Violates</w:t>
      </w:r>
      <w:r>
        <w:t xml:space="preserve"> </w:t>
      </w:r>
      <w:r>
        <w:t xml:space="preserve">(an accusation) and</w:t>
      </w:r>
      <w:r>
        <w:t xml:space="preserve"> </w:t>
      </w:r>
      <w:r>
        <w:rPr>
          <w:rStyle w:val="VerbatimChar"/>
        </w:rPr>
        <w:t xml:space="preserve">Undecided</w:t>
      </w:r>
      <w:r>
        <w:t xml:space="preserve"> </w:t>
      </w:r>
      <w:r>
        <w:t xml:space="preserve">(an obligation discharged to the runtime). The</w:t>
      </w:r>
      <w:r>
        <w:t xml:space="preserve"> </w:t>
      </w:r>
      <w:r>
        <w:t xml:space="preserve">standard vocabulary is</w:t>
      </w:r>
      <w:r>
        <w:t xml:space="preserve"> </w:t>
      </w:r>
      <w:r>
        <w:rPr>
          <w:iCs/>
          <w:i/>
        </w:rPr>
        <w:t xml:space="preserve">sound but incomplete</w:t>
      </w:r>
      <w:r>
        <w:t xml:space="preserve">, and</w:t>
      </w:r>
      <w:r>
        <w:t xml:space="preserve"> </w:t>
      </w:r>
      <w:r>
        <w:rPr>
          <w:iCs/>
          <w:i/>
        </w:rPr>
        <w:t xml:space="preserve">must</w:t>
      </w:r>
      <w:r>
        <w:t xml:space="preserve"> </w:t>
      </w:r>
      <w:r>
        <w:t xml:space="preserve">versus</w:t>
      </w:r>
      <w:r>
        <w:t xml:space="preserve"> </w:t>
      </w:r>
      <w:r>
        <w:rPr>
          <w:iCs/>
          <w:i/>
        </w:rPr>
        <w:t xml:space="preserve">may</w:t>
      </w:r>
      <w:r>
        <w:t xml:space="preserve">;</w:t>
      </w:r>
      <w:r>
        <w:t xml:space="preserve"> </w:t>
      </w:r>
      <w:r>
        <w:t xml:space="preserve">“</w:t>
      </w:r>
      <w:r>
        <w:t xml:space="preserve">three-valued</w:t>
      </w:r>
      <w:r>
        <w:t xml:space="preserve"> </w:t>
      </w:r>
      <w:r>
        <w:t xml:space="preserve">analysis</w:t>
      </w:r>
      <w:r>
        <w:t xml:space="preserve">”</w:t>
      </w:r>
      <w:r>
        <w:t xml:space="preserve"> </w:t>
      </w:r>
      <w:r>
        <w:t xml:space="preserve">is avoided because it names Sagiv–Reps–Wilhelm’s shape analysis, which is a</w:t>
      </w:r>
      <w:r>
        <w:t xml:space="preserve"> </w:t>
      </w:r>
      <w:r>
        <w:t xml:space="preserve">different thing.</w:t>
      </w:r>
    </w:p>
    <w:p>
      <w:pPr>
        <w:pStyle w:val="BodyText"/>
      </w:pPr>
      <w:r>
        <w:t xml:space="preserve">Getting</w:t>
      </w:r>
      <w:r>
        <w:t xml:space="preserve"> </w:t>
      </w:r>
      <w:r>
        <w:rPr>
          <w:rStyle w:val="VerbatimChar"/>
        </w:rPr>
        <w:t xml:space="preserve">Violates</w:t>
      </w:r>
      <w:r>
        <w:t xml:space="preserve"> </w:t>
      </w:r>
      <w:r>
        <w:t xml:space="preserve">sound took two attempts, and both failures are instructive.</w:t>
      </w:r>
    </w:p>
    <w:p>
      <w:pPr>
        <w:pStyle w:val="BodyText"/>
      </w:pPr>
      <w:r>
        <w:rPr>
          <w:iCs/>
          <w:i/>
        </w:rPr>
        <w:t xml:space="preserve">The first</w:t>
      </w:r>
      <w:r>
        <w:t xml:space="preserve"> </w:t>
      </w:r>
      <w:r>
        <w:t xml:space="preserve">was that the analysis had</w:t>
      </w:r>
      <w:r>
        <w:t xml:space="preserve"> </w:t>
      </w:r>
      <w:r>
        <w:rPr>
          <w:bCs/>
          <w:b/>
        </w:rPr>
        <w:t xml:space="preserve">no control-flow join at all</w:t>
      </w:r>
      <w:r>
        <w:t xml:space="preserve">. It walked both arms</w:t>
      </w:r>
      <w:r>
        <w:t xml:space="preserve"> </w:t>
      </w:r>
      <w:r>
        <w:t xml:space="preserve">of a branch into one accumulator, which is not an abstract interpretation of the program but</w:t>
      </w:r>
      <w:r>
        <w:t xml:space="preserve"> </w:t>
      </w:r>
      <w:r>
        <w:t xml:space="preserve">an analysis of a different program — one in which both branches run. On an eleven-line</w:t>
      </w:r>
      <w:r>
        <w:t xml:space="preserve"> </w:t>
      </w:r>
      <w:r>
        <w:t xml:space="preserve">transaction whose two arms each conserve, it produced four false errors: a phantom</w:t>
      </w:r>
      <w:r>
        <w:t xml:space="preserve"> </w:t>
      </w:r>
      <w:r>
        <w:t xml:space="preserve">imbalance, a spurious</w:t>
      </w:r>
      <w:r>
        <w:t xml:space="preserve"> </w:t>
      </w:r>
      <w:r>
        <w:t xml:space="preserve">“</w:t>
      </w:r>
      <w:r>
        <w:t xml:space="preserve">never consumed</w:t>
      </w:r>
      <w:r>
        <w:t xml:space="preserve">”</w:t>
      </w:r>
      <w:r>
        <w:t xml:space="preserve">, and two spurious</w:t>
      </w:r>
      <w:r>
        <w:t xml:space="preserve"> </w:t>
      </w:r>
      <w:r>
        <w:t xml:space="preserve">“</w:t>
      </w:r>
      <w:r>
        <w:t xml:space="preserve">consumed twice</w:t>
      </w:r>
      <w:r>
        <w:t xml:space="preserve">”</w:t>
      </w:r>
      <w:r>
        <w:t xml:space="preserve">. A checker that</w:t>
      </w:r>
      <w:r>
        <w:t xml:space="preserve"> </w:t>
      </w:r>
      <w:r>
        <w:t xml:space="preserve">accuses correct programs is worse than no checker, because it teaches its users to disable</w:t>
      </w:r>
      <w:r>
        <w:t xml:space="preserve"> </w:t>
      </w:r>
      <w:r>
        <w:t xml:space="preserve">it. The fix is a</w:t>
      </w:r>
      <w:r>
        <w:t xml:space="preserve"> </w:t>
      </w:r>
      <w:r>
        <w:rPr>
          <w:bCs/>
          <w:b/>
        </w:rPr>
        <w:t xml:space="preserve">top-preserving join</w:t>
      </w:r>
      <w:r>
        <w:t xml:space="preserve">: where the arms agree the entry survives, where they</w:t>
      </w:r>
      <w:r>
        <w:t xml:space="preserve"> </w:t>
      </w:r>
      <w:r>
        <w:t xml:space="preserve">disagree it is poisoned to</w:t>
      </w:r>
      <w:r>
        <w:t xml:space="preserve"> </w:t>
      </w:r>
      <w:r>
        <w:rPr>
          <w:rStyle w:val="VerbatimChar"/>
        </w:rPr>
        <w:t xml:space="preserve">Undecided</w:t>
      </w:r>
      <w:r>
        <w:t xml:space="preserve">. On a single-expression-per-currency representation</w:t>
      </w:r>
      <w:r>
        <w:t xml:space="preserve"> </w:t>
      </w:r>
      <w:r>
        <w:t xml:space="preserve">that is the only sound join available, and the weakening is always toward silence.</w:t>
      </w:r>
    </w:p>
    <w:p>
      <w:pPr>
        <w:pStyle w:val="BodyText"/>
      </w:pPr>
      <w:r>
        <w:rPr>
          <w:iCs/>
          <w:i/>
        </w:rPr>
        <w:t xml:space="preserve">The second</w:t>
      </w:r>
      <w:r>
        <w:t xml:space="preserve"> </w:t>
      </w:r>
      <w:r>
        <w:t xml:space="preserve">was an over-correction. Faced with the observation that an aborting path leaves</w:t>
      </w:r>
      <w:r>
        <w:t xml:space="preserve"> </w:t>
      </w:r>
      <w:r>
        <w:t xml:space="preserve">a partial row, the analysis was made to weaken its verdict whenever a</w:t>
      </w:r>
      <w:r>
        <w:t xml:space="preserve"> </w:t>
      </w:r>
      <w:r>
        <w:rPr>
          <w:rStyle w:val="VerbatimChar"/>
        </w:rPr>
        <w:t xml:space="preserve">?</w:t>
      </w:r>
      <w:r>
        <w:t xml:space="preserve"> </w:t>
      </w:r>
      <w:r>
        <w:t xml:space="preserve">appeared — and</w:t>
      </w:r>
      <w:r>
        <w:t xml:space="preserve"> </w:t>
      </w:r>
      <w:r>
        <w:t xml:space="preserve">promptly downgraded an unambiguous forty-dollar hole to a warning. The right treatment is</w:t>
      </w:r>
      <w:r>
        <w:t xml:space="preserve"> </w:t>
      </w:r>
      <w:r>
        <w:t xml:space="preserve">not to weaken but to</w:t>
      </w:r>
      <w:r>
        <w:t xml:space="preserve"> </w:t>
      </w:r>
      <w:r>
        <w:rPr>
          <w:bCs/>
          <w:b/>
        </w:rPr>
        <w:t xml:space="preserve">drop</w:t>
      </w:r>
      <w:r>
        <w:t xml:space="preserve">: a</w:t>
      </w:r>
      <w:r>
        <w:t xml:space="preserve"> </w:t>
      </w:r>
      <w:r>
        <w:rPr>
          <w:rStyle w:val="VerbatimChar"/>
        </w:rPr>
        <w:t xml:space="preserve">txn</w:t>
      </w:r>
      <w:r>
        <w:t xml:space="preserve"> </w:t>
      </w:r>
      <w:r>
        <w:t xml:space="preserve">is sealed atomically, so a path that leaves early</w:t>
      </w:r>
      <w:r>
        <w:t xml:space="preserve"> </w:t>
      </w:r>
      <w:r>
        <w:t xml:space="preserve">commits nothing and is not a path whose conservation is a question. This is a case of a</w:t>
      </w:r>
      <w:r>
        <w:t xml:space="preserve"> </w:t>
      </w:r>
      <w:r>
        <w:rPr>
          <w:iCs/>
          <w:i/>
        </w:rPr>
        <w:t xml:space="preserve">runtime</w:t>
      </w:r>
      <w:r>
        <w:t xml:space="preserve"> </w:t>
      </w:r>
      <w:r>
        <w:t xml:space="preserve">guarantee buying</w:t>
      </w:r>
      <w:r>
        <w:t xml:space="preserve"> </w:t>
      </w:r>
      <w:r>
        <w:rPr>
          <w:iCs/>
          <w:i/>
        </w:rPr>
        <w:t xml:space="preserve">static</w:t>
      </w:r>
      <w:r>
        <w:t xml:space="preserve"> </w:t>
      </w:r>
      <w:r>
        <w:t xml:space="preserve">precision, and it is worth stating as such, because the</w:t>
      </w:r>
      <w:r>
        <w:t xml:space="preserve"> </w:t>
      </w:r>
      <w:r>
        <w:t xml:space="preserve">usual direction of that trade is the reverse.</w:t>
      </w:r>
    </w:p>
    <w:p>
      <w:pPr>
        <w:pStyle w:val="BodyText"/>
      </w:pPr>
      <w:r>
        <w:t xml:space="preserve">With a top-preserving join and atomic transactions, a decided non-zero entry surviving a</w:t>
      </w:r>
      <w:r>
        <w:t xml:space="preserve"> </w:t>
      </w:r>
      <w:r>
        <w:t xml:space="preserve">merge was agreed by every arm — so it is a must-violation, and no provenance-based weakening</w:t>
      </w:r>
      <w:r>
        <w:t xml:space="preserve"> </w:t>
      </w:r>
      <w:r>
        <w:t xml:space="preserve">is needed. The machinery introduced to defend against merges turned out to be made</w:t>
      </w:r>
      <w:r>
        <w:t xml:space="preserve"> </w:t>
      </w:r>
      <w:r>
        <w:t xml:space="preserve">unnecessary by doing the merges correctly.</w:t>
      </w:r>
    </w:p>
    <w:p>
      <w:pPr>
        <w:pStyle w:val="BodyText"/>
      </w:pPr>
      <w:r>
        <w:rPr>
          <w:bCs/>
          <w:b/>
        </w:rPr>
        <w:t xml:space="preserve">The loop rule, which is a small result.</w:t>
      </w:r>
      <w:r>
        <w:t xml:space="preserve"> </w:t>
      </w:r>
      <w:r>
        <w:t xml:space="preserve">Because a row is a monoid homomorphism from</w:t>
      </w:r>
      <w:r>
        <w:t xml:space="preserve"> </w:t>
      </w:r>
      <w:r>
        <w:t xml:space="preserve">statement sequences into a free abelian group,</w:t>
      </w:r>
      <w:r>
        <w:t xml:space="preserve"> </w:t>
      </w:r>
      <w:r>
        <w:rPr>
          <w:iCs/>
          <w:i/>
        </w:rPr>
        <w:t xml:space="preserve">if each iteration’s net is zero, the loop’s</w:t>
      </w:r>
      <w:r>
        <w:rPr>
          <w:iCs/>
          <w:i/>
        </w:rPr>
        <w:t xml:space="preserve"> </w:t>
      </w:r>
      <w:r>
        <w:rPr>
          <w:iCs/>
          <w:i/>
        </w:rPr>
        <w:t xml:space="preserve">net is zero for any trip count</w:t>
      </w:r>
      <w:r>
        <w:t xml:space="preserve"> </w:t>
      </w:r>
      <w:r>
        <w:t xml:space="preserve">— with no widening, no trip-count reasoning and no fixpoint.</w:t>
      </w:r>
      <w:r>
        <w:t xml:space="preserve"> </w:t>
      </w:r>
      <w:r>
        <w:t xml:space="preserve">Conversely a body netting</w:t>
      </w:r>
      <w:r>
        <w:t xml:space="preserve"> </w:t>
      </w:r>
      <w:r>
        <w:rPr>
          <w:rStyle w:val="VerbatimChar"/>
        </w:rPr>
        <w:t xml:space="preserve">m</w:t>
      </w:r>
      <w:r>
        <w:t xml:space="preserve"> </w:t>
      </w:r>
      <w:r>
        <w:t xml:space="preserve">contributes</w:t>
      </w:r>
      <w:r>
        <w:t xml:space="preserve"> </w:t>
      </w:r>
      <w:r>
        <w:rPr>
          <w:rStyle w:val="VerbatimChar"/>
        </w:rPr>
        <w:t xml:space="preserve">n·m</w:t>
      </w:r>
      <w:r>
        <w:t xml:space="preserve"> </w:t>
      </w:r>
      <w:r>
        <w:t xml:space="preserve">for symbolic</w:t>
      </w:r>
      <w:r>
        <w:t xml:space="preserve"> </w:t>
      </w:r>
      <w:r>
        <w:rPr>
          <w:rStyle w:val="VerbatimChar"/>
        </w:rPr>
        <w:t xml:space="preserve">n</w:t>
      </w:r>
      <w:r>
        <w:t xml:space="preserve">, a product of two symbolic</w:t>
      </w:r>
      <w:r>
        <w:t xml:space="preserve"> </w:t>
      </w:r>
      <w:r>
        <w:t xml:space="preserve">values, hence</w:t>
      </w:r>
      <w:r>
        <w:t xml:space="preserve"> </w:t>
      </w:r>
      <w:r>
        <w:rPr>
          <w:rStyle w:val="VerbatimChar"/>
        </w:rPr>
        <w:t xml:space="preserve">Undecided</w:t>
      </w:r>
      <w:r>
        <w:t xml:space="preserve">. The asymmetry is not a limitation to apologise for: it is exactly</w:t>
      </w:r>
      <w:r>
        <w:t xml:space="preserve"> </w:t>
      </w:r>
      <w:r>
        <w:t xml:space="preserve">the discipline a batch-posting loop should follow, and it makes</w:t>
      </w:r>
      <w:r>
        <w:t xml:space="preserve"> </w:t>
      </w:r>
      <w:r>
        <w:t xml:space="preserve">“</w:t>
      </w:r>
      <w:r>
        <w:t xml:space="preserve">balance every iteration</w:t>
      </w:r>
      <w:r>
        <w:t xml:space="preserve">”</w:t>
      </w:r>
      <w:r>
        <w:t xml:space="preserve"> </w:t>
      </w:r>
      <w:r>
        <w:t xml:space="preserve">a</w:t>
      </w:r>
      <w:r>
        <w:t xml:space="preserve"> </w:t>
      </w:r>
      <w:r>
        <w:t xml:space="preserve">checkable style rule rather than advice.</w:t>
      </w:r>
    </w:p>
    <w:p>
      <w:pPr>
        <w:pStyle w:val="BodyText"/>
      </w:pPr>
      <w:r>
        <w:rPr>
          <w:bCs/>
          <w:b/>
        </w:rPr>
        <w:t xml:space="preserve">What conservation is not.</w:t>
      </w:r>
      <w:r>
        <w:t xml:space="preserve"> </w:t>
      </w:r>
      <w:r>
        <w:t xml:space="preserve">Linearity conserves</w:t>
      </w:r>
      <w:r>
        <w:t xml:space="preserve"> </w:t>
      </w:r>
      <w:r>
        <w:rPr>
          <w:iCs/>
          <w:i/>
        </w:rPr>
        <w:t xml:space="preserve">identity</w:t>
      </w:r>
      <w:r>
        <w:t xml:space="preserve">; the row solver conserves</w:t>
      </w:r>
      <w:r>
        <w:t xml:space="preserve"> </w:t>
      </w:r>
      <w:r>
        <w:rPr>
          <w:iCs/>
          <w:i/>
        </w:rPr>
        <w:t xml:space="preserve">magnitude</w:t>
      </w:r>
      <w:r>
        <w:t xml:space="preserve">;</w:t>
      </w:r>
      <w:r>
        <w:t xml:space="preserve"> </w:t>
      </w:r>
      <w:r>
        <w:rPr>
          <w:bCs/>
          <w:b/>
        </w:rPr>
        <w:t xml:space="preserve">neither implies the other</w:t>
      </w:r>
      <w:r>
        <w:t xml:space="preserve">. A linear type on</w:t>
      </w:r>
      <w:r>
        <w:t xml:space="preserve"> </w:t>
      </w:r>
      <w:r>
        <w:rPr>
          <w:rStyle w:val="VerbatimChar"/>
        </w:rPr>
        <w:t xml:space="preserve">Money</w:t>
      </w:r>
      <w:r>
        <w:t xml:space="preserve"> </w:t>
      </w:r>
      <w:r>
        <w:t xml:space="preserve">guarantees the token is</w:t>
      </w:r>
      <w:r>
        <w:t xml:space="preserve"> </w:t>
      </w:r>
      <w:r>
        <w:t xml:space="preserve">not duplicated or dropped and says nothing about whether</w:t>
      </w:r>
      <w:r>
        <w:t xml:space="preserve"> </w:t>
      </w:r>
      <w:r>
        <w:rPr>
          <w:rStyle w:val="VerbatimChar"/>
        </w:rPr>
        <w:t xml:space="preserve">split(m, k)</w:t>
      </w:r>
      <w:r>
        <w:t xml:space="preserve"> </w:t>
      </w:r>
      <w:r>
        <w:t xml:space="preserve">returns parts summing</w:t>
      </w:r>
      <w:r>
        <w:t xml:space="preserve"> </w:t>
      </w:r>
      <w:r>
        <w:t xml:space="preserve">to</w:t>
      </w:r>
      <w:r>
        <w:t xml:space="preserve"> </w:t>
      </w:r>
      <w:r>
        <w:rPr>
          <w:rStyle w:val="VerbatimChar"/>
        </w:rPr>
        <w:t xml:space="preserve">m</w:t>
      </w:r>
      <w:r>
        <w:t xml:space="preserve">. Conversely the row solver would accept</w:t>
      </w:r>
      <w:r>
        <w:t xml:space="preserve"> </w:t>
      </w:r>
      <w:r>
        <w:rPr>
          <w:rStyle w:val="VerbatimChar"/>
        </w:rPr>
        <w:t xml:space="preserve">credit(b, m); credit(c, m)</w:t>
      </w:r>
      <w:r>
        <w:t xml:space="preserve"> </w:t>
      </w:r>
      <w:r>
        <w:t xml:space="preserve">from a single</w:t>
      </w:r>
      <w:r>
        <w:t xml:space="preserve"> </w:t>
      </w:r>
      <w:r>
        <w:t xml:space="preserve">external</w:t>
      </w:r>
      <w:r>
        <w:t xml:space="preserve"> </w:t>
      </w:r>
      <w:r>
        <w:rPr>
          <w:rStyle w:val="VerbatimChar"/>
        </w:rPr>
        <w:t xml:space="preserve">m</w:t>
      </w:r>
      <w:r>
        <w:t xml:space="preserve"> </w:t>
      </w:r>
      <w:r>
        <w:t xml:space="preserve">— coefficient</w:t>
      </w:r>
      <w:r>
        <w:t xml:space="preserve"> </w:t>
      </w:r>
      <w:r>
        <w:rPr>
          <w:rStyle w:val="VerbatimChar"/>
        </w:rPr>
        <w:t xml:space="preserve">2m</w:t>
      </w:r>
      <w:r>
        <w:t xml:space="preserve">, verdict</w:t>
      </w:r>
      <w:r>
        <w:t xml:space="preserve"> </w:t>
      </w:r>
      <w:r>
        <w:rPr>
          <w:rStyle w:val="VerbatimChar"/>
        </w:rPr>
        <w:t xml:space="preserve">Undecided</w:t>
      </w:r>
      <w:r>
        <w:t xml:space="preserve">. Niles carries both disciplines, and</w:t>
      </w:r>
      <w:r>
        <w:t xml:space="preserve"> </w:t>
      </w:r>
      <w:r>
        <w:t xml:space="preserve">the thesis previously blurred them.</w:t>
      </w:r>
    </w:p>
    <w:p>
      <w:pPr>
        <w:pStyle w:val="BodyText"/>
      </w:pPr>
      <w:r>
        <w:rPr>
          <w:bCs/>
          <w:b/>
        </w:rPr>
        <w:t xml:space="preserve">The comparison to Move, corrected.</w:t>
      </w:r>
      <w:r>
        <w:t xml:space="preserve"> </w:t>
      </w:r>
      <w:r>
        <w:t xml:space="preserve">Earlier drafts stated that Move guarantees resources</w:t>
      </w:r>
      <w:r>
        <w:t xml:space="preserve"> </w:t>
      </w:r>
      <w:r>
        <w:t xml:space="preserve">cannot be created or destroyed. Move’s own paper says the opposite: it guarantees no copying,</w:t>
      </w:r>
      <w:r>
        <w:t xml:space="preserve"> </w:t>
      </w:r>
      <w:r>
        <w:t xml:space="preserve">no implicit discarding and no reuse after move —</w:t>
      </w:r>
      <w:r>
        <w:t xml:space="preserve"> </w:t>
      </w:r>
      <w:r>
        <w:rPr>
          <w:iCs/>
          <w:i/>
        </w:rPr>
        <w:t xml:space="preserve">resource safety</w:t>
      </w:r>
      <w:r>
        <w:t xml:space="preserve"> </w:t>
      </w:r>
      <w:r>
        <w:t xml:space="preserve">— and then states</w:t>
      </w:r>
      <w:r>
        <w:t xml:space="preserve"> </w:t>
      </w:r>
      <w:r>
        <w:t xml:space="preserve">explicitly that</w:t>
      </w:r>
      <w:r>
        <w:t xml:space="preserve"> </w:t>
      </w:r>
      <w:r>
        <w:t xml:space="preserve">“</w:t>
      </w:r>
      <w:r>
        <w:t xml:space="preserve">the Move type system cannot catch all implementation mistakes inside the</w:t>
      </w:r>
      <w:r>
        <w:t xml:space="preserve"> </w:t>
      </w:r>
      <w:r>
        <w:t xml:space="preserve">module. For example, the type system will not ensure that the total value of all Coins in</w:t>
      </w:r>
      <w:r>
        <w:t xml:space="preserve"> </w:t>
      </w:r>
      <w:r>
        <w:t xml:space="preserve">existence is preserved.</w:t>
      </w:r>
      <w:r>
        <w:t xml:space="preserve">”</w:t>
      </w:r>
      <w:r>
        <w:t xml:space="preserve"> </w:t>
      </w:r>
      <w:r>
        <w:t xml:space="preserve">Conservation in Move is a specification obligation discharged by</w:t>
      </w:r>
      <w:r>
        <w:t xml:space="preserve"> </w:t>
      </w:r>
      <w:r>
        <w:t xml:space="preserve">the Move Prover with hand-written invariants and an SMT backend. The same correction applies</w:t>
      </w:r>
      <w:r>
        <w:t xml:space="preserve"> </w:t>
      </w:r>
      <w:r>
        <w:t xml:space="preserve">to Nomos, whose linearity holds</w:t>
      </w:r>
      <w:r>
        <w:t xml:space="preserve"> </w:t>
      </w:r>
      <w:r>
        <w:rPr>
          <w:iCs/>
          <w:i/>
        </w:rPr>
        <w:t xml:space="preserve">modulo minting and burning</w:t>
      </w:r>
      <w:r>
        <w:t xml:space="preserve"> </w:t>
      </w:r>
      <w:r>
        <w:t xml:space="preserve">by design.</w:t>
      </w:r>
    </w:p>
    <w:p>
      <w:pPr>
        <w:pStyle w:val="BodyText"/>
      </w:pPr>
      <w:r>
        <w:t xml:space="preserve">This correction</w:t>
      </w:r>
      <w:r>
        <w:t xml:space="preserve"> </w:t>
      </w:r>
      <w:r>
        <w:rPr>
          <w:bCs/>
          <w:b/>
        </w:rPr>
        <w:t xml:space="preserve">strengthens</w:t>
      </w:r>
      <w:r>
        <w:t xml:space="preserve"> </w:t>
      </w:r>
      <w:r>
        <w:t xml:space="preserve">the contribution rather than weakening it: the property</w:t>
      </w:r>
      <w:r>
        <w:t xml:space="preserve"> </w:t>
      </w:r>
      <w:r>
        <w:t xml:space="preserve">Move’s type system explicitly declines to check is the one this solver checks</w:t>
      </w:r>
      <w:r>
        <w:t xml:space="preserve"> </w:t>
      </w:r>
      <w:r>
        <w:t xml:space="preserve">automatically, without user-written specs and without an SMT call.</w:t>
      </w:r>
    </w:p>
    <w:p>
      <w:pPr>
        <w:pStyle w:val="BodyText"/>
      </w:pPr>
      <w:r>
        <w:rPr>
          <w:bCs/>
          <w:b/>
        </w:rPr>
        <w:t xml:space="preserve">The closest prior art</w:t>
      </w:r>
      <w:r>
        <w:t xml:space="preserve"> </w:t>
      </w:r>
      <w:r>
        <w:t xml:space="preserve">is SolType, which gives Solidity refinement types with a</w:t>
      </w:r>
      <w:r>
        <w:t xml:space="preserve"> </w:t>
      </w:r>
      <w:r>
        <w:rPr>
          <w:rStyle w:val="VerbatimChar"/>
        </w:rPr>
        <w:t xml:space="preserve">sum</w:t>
      </w:r>
      <w:r>
        <w:t xml:space="preserve"> </w:t>
      </w:r>
      <w:r>
        <w:t xml:space="preserve">abstraction over mappings and can express</w:t>
      </w:r>
      <w:r>
        <w:t xml:space="preserve"> </w:t>
      </w:r>
      <w:r>
        <w:rPr>
          <w:rStyle w:val="VerbatimChar"/>
        </w:rPr>
        <w:t xml:space="preserve">sum(balances) == totalSupply</w:t>
      </w:r>
      <w:r>
        <w:t xml:space="preserve">. It is heavier</w:t>
      </w:r>
      <w:r>
        <w:t xml:space="preserve"> </w:t>
      </w:r>
      <w:r>
        <w:t xml:space="preserve">(refinement types plus SMT, so less predictable than normalization), it targets overflow</w:t>
      </w:r>
      <w:r>
        <w:t xml:space="preserve"> </w:t>
      </w:r>
      <w:r>
        <w:t xml:space="preserve">safety with the sum invariant as a means rather than an end, and it is single-asset — there</w:t>
      </w:r>
      <w:r>
        <w:t xml:space="preserve"> </w:t>
      </w:r>
      <w:r>
        <w:t xml:space="preserve">is no currency dimension. An extensive search did not surface prior work checking</w:t>
      </w:r>
      <w:r>
        <w:t xml:space="preserve"> </w:t>
      </w:r>
      <w:r>
        <w:t xml:space="preserve">double-entry balance as a static type or abstract-interpretation property; that is stated as</w:t>
      </w:r>
      <w:r>
        <w:t xml:space="preserve"> </w:t>
      </w:r>
      <w:r>
        <w:t xml:space="preserve">the outcome of a search rather than as an absolute, because the accounting-information-</w:t>
      </w:r>
      <w:r>
        <w:t xml:space="preserve"> </w:t>
      </w:r>
      <w:r>
        <w:t xml:space="preserve">systems literature is poorly indexed by computer-science search.</w:t>
      </w:r>
    </w:p>
    <w:p>
      <w:pPr>
        <w:pStyle w:val="BodyText"/>
      </w:pPr>
      <w:r>
        <w:rPr>
          <w:bCs/>
          <w:b/>
        </w:rPr>
        <w:t xml:space="preserve">The currency dimension is grading, not units and not rows.</w:t>
      </w:r>
      <w:r>
        <w:t xml:space="preserve"> </w:t>
      </w:r>
      <w:r>
        <w:t xml:space="preserve">Two terminological corrections.</w:t>
      </w:r>
      <w:r>
        <w:t xml:space="preserve"> </w:t>
      </w:r>
      <w:r>
        <w:t xml:space="preserve">It is</w:t>
      </w:r>
      <w:r>
        <w:t xml:space="preserve"> </w:t>
      </w:r>
      <w:r>
        <w:rPr>
          <w:iCs/>
          <w:i/>
        </w:rPr>
        <w:t xml:space="preserve">not</w:t>
      </w:r>
      <w:r>
        <w:t xml:space="preserve"> </w:t>
      </w:r>
      <w:r>
        <w:t xml:space="preserve">Kennedy’s units-of-measure setting: currencies do not form a free abelian group</w:t>
      </w:r>
      <w:r>
        <w:t xml:space="preserve"> </w:t>
      </w:r>
      <w:r>
        <w:t xml:space="preserve">under multiplication, because</w:t>
      </w:r>
      <w:r>
        <w:t xml:space="preserve"> </w:t>
      </w:r>
      <w:r>
        <w:rPr>
          <w:rStyle w:val="VerbatimChar"/>
        </w:rPr>
        <w:t xml:space="preserve">USD · EUR</w:t>
      </w:r>
      <w:r>
        <w:t xml:space="preserve"> </w:t>
      </w:r>
      <w:r>
        <w:t xml:space="preserve">names nothing.</w:t>
      </w:r>
      <w:r>
        <w:t xml:space="preserve"> </w:t>
      </w:r>
      <w:r>
        <w:rPr>
          <w:rStyle w:val="VerbatimChar"/>
        </w:rPr>
        <w:t xml:space="preserve">Money</w:t>
      </w:r>
      <w:r>
        <w:t xml:space="preserve"> </w:t>
      </w:r>
      <w:r>
        <w:t xml:space="preserve">is a</w:t>
      </w:r>
      <w:r>
        <w:t xml:space="preserve"> </w:t>
      </w:r>
      <w:r>
        <w:rPr>
          <w:bCs/>
          <w:b/>
        </w:rPr>
        <w:t xml:space="preserve">Currency-graded</w:t>
      </w:r>
      <w:r>
        <w:rPr>
          <w:bCs/>
          <w:b/>
        </w:rPr>
        <w:t xml:space="preserve"> </w:t>
      </w:r>
      <w:r>
        <w:rPr>
          <w:bCs/>
          <w:b/>
        </w:rPr>
        <w:t xml:space="preserve">abelian group</w:t>
      </w:r>
      <w:r>
        <w:t xml:space="preserve">, and conservation says a well-typed transaction is homogeneously zero in</w:t>
      </w:r>
      <w:r>
        <w:t xml:space="preserve"> </w:t>
      </w:r>
      <w:r>
        <w:t xml:space="preserve">every grade. Nor is the currency-variable machinery</w:t>
      </w:r>
      <w:r>
        <w:t xml:space="preserve"> </w:t>
      </w:r>
      <w:r>
        <w:rPr>
          <w:iCs/>
          <w:i/>
        </w:rPr>
        <w:t xml:space="preserve">row polymorphism</w:t>
      </w:r>
      <w:r>
        <w:t xml:space="preserve"> </w:t>
      </w:r>
      <w:r>
        <w:t xml:space="preserve">in Wand’s or Leijen’s</w:t>
      </w:r>
      <w:r>
        <w:t xml:space="preserve"> </w:t>
      </w:r>
      <w:r>
        <w:t xml:space="preserve">sense; it is ordinary first-order unification on a phantom type parameter, and calling it</w:t>
      </w:r>
      <w:r>
        <w:t xml:space="preserve"> </w:t>
      </w:r>
      <w:r>
        <w:t xml:space="preserve">row polymorphism was a misuse. There is a nearby design in which the term would be earned —</w:t>
      </w:r>
      <w:r>
        <w:t xml:space="preserve"> </w:t>
      </w:r>
      <w:r>
        <w:t xml:space="preserve">effect rows of the form</w:t>
      </w:r>
      <w:r>
        <w:t xml:space="preserve"> </w:t>
      </w:r>
      <w:r>
        <w:rPr>
          <w:rStyle w:val="VerbatimChar"/>
        </w:rPr>
        <w:t xml:space="preserve">net ⟨usd: 0, eur: 0 | ρ⟩</w:t>
      </w:r>
      <w:r>
        <w:t xml:space="preserve">, where a row variable and scoped-label</w:t>
      </w:r>
      <w:r>
        <w:t xml:space="preserve"> </w:t>
      </w:r>
      <w:r>
        <w:t xml:space="preserve">constraints would supply the</w:t>
      </w:r>
      <w:r>
        <w:t xml:space="preserve"> </w:t>
      </w:r>
      <w:r>
        <w:rPr>
          <w:iCs/>
          <w:i/>
        </w:rPr>
        <w:t xml:space="preserve">absence</w:t>
      </w:r>
      <w:r>
        <w:t xml:space="preserve"> </w:t>
      </w:r>
      <w:r>
        <w:t xml:space="preserve">facts (</w:t>
      </w:r>
      <w:r>
        <w:t xml:space="preserve">“</w:t>
      </w:r>
      <w:r>
        <w:t xml:space="preserve">this transaction has no JPY leg</w:t>
      </w:r>
      <w:r>
        <w:t xml:space="preserve">”</w:t>
      </w:r>
      <w:r>
        <w:t xml:space="preserve">) that</w:t>
      </w:r>
      <w:r>
        <w:t xml:space="preserve"> </w:t>
      </w:r>
      <w:r>
        <w:t xml:space="preserve">unification alone cannot — and §12 records it as future work.</w:t>
      </w:r>
    </w:p>
    <w:p>
      <w:pPr>
        <w:pStyle w:val="BodyText"/>
      </w:pPr>
      <w:r>
        <w:rPr>
          <w:bCs/>
          <w:b/>
        </w:rPr>
        <w:t xml:space="preserve">FX pulls Kennedy straight back in, and it is where the solver stops.</w:t>
      </w:r>
      <w:r>
        <w:t xml:space="preserve"> </w:t>
      </w:r>
      <w:r>
        <w:t xml:space="preserve">A typed rate</w:t>
      </w:r>
      <w:r>
        <w:t xml:space="preserve"> </w:t>
      </w:r>
      <w:r>
        <w:rPr>
          <w:rStyle w:val="VerbatimChar"/>
        </w:rPr>
        <w:t xml:space="preserve">Rate&lt;C₁,C₂&gt;</w:t>
      </w:r>
      <w:r>
        <w:t xml:space="preserve"> </w:t>
      </w:r>
      <w:r>
        <w:t xml:space="preserve">has dimension</w:t>
      </w:r>
      <w:r>
        <w:t xml:space="preserve"> </w:t>
      </w:r>
      <w:r>
        <w:rPr>
          <w:rStyle w:val="VerbatimChar"/>
        </w:rPr>
        <w:t xml:space="preserve">C₂·C₁⁻¹</w:t>
      </w:r>
      <w:r>
        <w:t xml:space="preserve">, and</w:t>
      </w:r>
      <w:r>
        <w:t xml:space="preserve"> </w:t>
      </w:r>
      <w:r>
        <w:rPr>
          <w:rStyle w:val="VerbatimChar"/>
        </w:rPr>
        <w:t xml:space="preserve">convert</w:t>
      </w:r>
      <w:r>
        <w:t xml:space="preserve"> </w:t>
      </w:r>
      <w:r>
        <w:t xml:space="preserve">multiplies a symbolic amount by a</w:t>
      </w:r>
      <w:r>
        <w:t xml:space="preserve"> </w:t>
      </w:r>
      <w:r>
        <w:t xml:space="preserve">symbolic rate: a product of two symbolic values, outside the fragment. The thesis therefore</w:t>
      </w:r>
      <w:r>
        <w:t xml:space="preserve"> </w:t>
      </w:r>
      <w:r>
        <w:t xml:space="preserve">does</w:t>
      </w:r>
      <w:r>
        <w:t xml:space="preserve"> </w:t>
      </w:r>
      <w:r>
        <w:rPr>
          <w:iCs/>
          <w:i/>
        </w:rPr>
        <w:t xml:space="preserve">not</w:t>
      </w:r>
      <w:r>
        <w:t xml:space="preserve"> </w:t>
      </w:r>
      <w:r>
        <w:t xml:space="preserve">claim static conservation across an FX conversion. What it claims, and what the</w:t>
      </w:r>
      <w:r>
        <w:t xml:space="preserve"> </w:t>
      </w:r>
      <w:r>
        <w:rPr>
          <w:rStyle w:val="VerbatimChar"/>
        </w:rPr>
        <w:t xml:space="preserve">fx</w:t>
      </w:r>
      <w:r>
        <w:t xml:space="preserve"> </w:t>
      </w:r>
      <w:r>
        <w:t xml:space="preserve">form implements, is the construction real systems use: the trade becomes</w:t>
      </w:r>
      <w:r>
        <w:t xml:space="preserve"> </w:t>
      </w:r>
      <w:r>
        <w:rPr>
          <w:bCs/>
          <w:b/>
        </w:rPr>
        <w:t xml:space="preserve">two balanced</w:t>
      </w:r>
      <w:r>
        <w:rPr>
          <w:bCs/>
          <w:b/>
        </w:rPr>
        <w:t xml:space="preserve"> </w:t>
      </w:r>
      <w:r>
        <w:rPr>
          <w:bCs/>
          <w:b/>
        </w:rPr>
        <w:t xml:space="preserve">single-currency legs against a position account</w:t>
      </w:r>
      <w:r>
        <w:t xml:space="preserve">, each of which the solver handles</w:t>
      </w:r>
      <w:r>
        <w:t xml:space="preserve"> </w:t>
      </w:r>
      <w:r>
        <w:t xml:space="preserve">unchanged. Stating that converts a hole into a design decision, which is what it should have</w:t>
      </w:r>
      <w:r>
        <w:t xml:space="preserve"> </w:t>
      </w:r>
      <w:r>
        <w:t xml:space="preserve">been from the start.</w:t>
      </w:r>
    </w:p>
    <w:p>
      <w:pPr>
        <w:pStyle w:val="BodyText"/>
      </w:pPr>
      <w:r>
        <w:rPr>
          <w:bCs/>
          <w:b/>
        </w:rPr>
        <w:t xml:space="preserve">Interprocedurally, the analysis is currently weak, and the strong version has a citation.</w:t>
      </w:r>
      <w:r>
        <w:t xml:space="preserve"> </w:t>
      </w:r>
      <w:r>
        <w:t xml:space="preserve">Today it inlines where a callee body is available and havocs to a fresh atom otherwise —</w:t>
      </w:r>
      <w:r>
        <w:t xml:space="preserve"> </w:t>
      </w:r>
      <w:r>
        <w:t xml:space="preserve">cloning-based context sensitivity plus havoc abstraction, sound but defeating cancellation</w:t>
      </w:r>
      <w:r>
        <w:t xml:space="preserve"> </w:t>
      </w:r>
      <w:r>
        <w:t xml:space="preserve">across the boundary. The compositional version is not speculative: Müller-Olm and Seidl’s</w:t>
      </w:r>
      <w:r>
        <w:t xml:space="preserve"> </w:t>
      </w:r>
      <w:r>
        <w:t xml:space="preserve">POPL 2004 result computes all valid affine relations context-sensitively, representing each</w:t>
      </w:r>
      <w:r>
        <w:t xml:space="preserve"> </w:t>
      </w:r>
      <w:r>
        <w:t xml:space="preserve">procedure as a finite-dimensional vector space of weakest-precondition transformers, in time</w:t>
      </w:r>
      <w:r>
        <w:t xml:space="preserve"> </w:t>
      </w:r>
      <w:r>
        <w:t xml:space="preserve">linear in program size. For this domain it would be easier still, because the net effect of a</w:t>
      </w:r>
      <w:r>
        <w:t xml:space="preserve"> </w:t>
      </w:r>
      <w:r>
        <w:t xml:space="preserve">function is a homomorphism into a commutative group, so a summary is one row:</w:t>
      </w:r>
    </w:p>
    <w:p>
      <w:pPr>
        <w:pStyle w:val="SourceCode"/>
      </w:pPr>
      <w:r>
        <w:rPr>
          <w:rStyle w:val="VerbatimChar"/>
        </w:rPr>
        <w:t xml:space="preserve">fn transfer&lt;C&gt;(from, to, m: Money&lt;C&gt;) -&gt; ()      net { C: 0 }</w:t>
      </w:r>
      <w:r>
        <w:br/>
      </w:r>
      <w:r>
        <w:rPr>
          <w:rStyle w:val="VerbatimChar"/>
        </w:rPr>
        <w:t xml:space="preserve">fn fee&lt;C&gt;(m: Money&lt;C&gt;) -&gt; Money&lt;C&gt;               net { C: -1*m + 1*result }</w:t>
      </w:r>
    </w:p>
    <w:p>
      <w:pPr>
        <w:pStyle w:val="FirstParagraph"/>
      </w:pPr>
      <w:r>
        <w:t xml:space="preserve">That is a type-and-effect system whose effect algebra is a currency-indexed free ℤ-module,</w:t>
      </w:r>
      <w:r>
        <w:t xml:space="preserve"> </w:t>
      </w:r>
      <w:r>
        <w:t xml:space="preserve">and it would make conservation</w:t>
      </w:r>
      <w:r>
        <w:t xml:space="preserve"> </w:t>
      </w:r>
      <w:r>
        <w:rPr>
          <w:bCs/>
          <w:b/>
        </w:rPr>
        <w:t xml:space="preserve">separately checkable per function</w:t>
      </w:r>
      <w:r>
        <w:t xml:space="preserve"> </w:t>
      </w:r>
      <w:r>
        <w:t xml:space="preserve">rather than only within</w:t>
      </w:r>
      <w:r>
        <w:t xml:space="preserve"> </w:t>
      </w:r>
      <w:r>
        <w:t xml:space="preserve">a transaction — the same move AARA makes with potential annotations. It is the single</w:t>
      </w:r>
      <w:r>
        <w:t xml:space="preserve"> </w:t>
      </w:r>
      <w:r>
        <w:t xml:space="preserve">highest-value extension to this contribution and it is not built.</w:t>
      </w:r>
    </w:p>
    <w:bookmarkEnd w:id="84"/>
    <w:bookmarkEnd w:id="85"/>
    <w:bookmarkStart w:id="86" w:name="Xfd5dd504ece712f2dc75ad462ce7f266ee1fb3d"/>
    <w:p>
      <w:pPr>
        <w:pStyle w:val="Heading2"/>
      </w:pPr>
      <w:r>
        <w:t xml:space="preserve">4.6 Contribution 5 (SC5) — The Adaptive Materialization Calculus and Optimizer</w:t>
      </w:r>
    </w:p>
    <w:p>
      <w:pPr>
        <w:pStyle w:val="FirstParagraph"/>
      </w:pPr>
      <w:r>
        <w:t xml:space="preserve">The engineering requirement is an algorithm that decides what to materialize fully, what to keep on demand, and what to evict. The scientific contribution is to give that decision a formal object, a cost order, and provable guarantees — and to be explicit about which classical guarantees survive the setting and which do not.</w:t>
      </w:r>
    </w:p>
    <w:p>
      <w:pPr>
        <w:pStyle w:val="BodyText"/>
      </w:pPr>
      <w:r>
        <w:rPr>
          <w:bCs/>
          <w:b/>
        </w:rPr>
        <w:t xml:space="preserve">Definition 4.2 (Materialization mode lattice).</w:t>
      </w:r>
      <w:r>
        <w:t xml:space="preserve"> </w:t>
      </w:r>
      <w:r>
        <w:t xml:space="preserve">For each (view, key range), the mode μ ∈ 𝕄 = {absent, demand, full, spilled, tiered}, where:</w:t>
      </w:r>
      <w:r>
        <w:t xml:space="preserve"> </w:t>
      </w:r>
      <w:r>
        <w:rPr>
          <w:iCs/>
          <w:i/>
        </w:rPr>
        <w:t xml:space="preserve">absent</w:t>
      </w:r>
      <w:r>
        <w:t xml:space="preserve"> </w:t>
      </w:r>
      <w:r>
        <w:t xml:space="preserve">keeps nothing and reconstructs on every read;</w:t>
      </w:r>
      <w:r>
        <w:t xml:space="preserve"> </w:t>
      </w:r>
      <w:r>
        <w:rPr>
          <w:iCs/>
          <w:i/>
        </w:rPr>
        <w:t xml:space="preserve">demand</w:t>
      </w:r>
      <w:r>
        <w:t xml:space="preserve"> </w:t>
      </w:r>
      <w:r>
        <w:t xml:space="preserve">materializes on read and evicts under pressure (partial state);</w:t>
      </w:r>
      <w:r>
        <w:t xml:space="preserve"> </w:t>
      </w:r>
      <w:r>
        <w:rPr>
          <w:iCs/>
          <w:i/>
        </w:rPr>
        <w:t xml:space="preserve">full</w:t>
      </w:r>
      <w:r>
        <w:t xml:space="preserve"> </w:t>
      </w:r>
      <w:r>
        <w:t xml:space="preserve">materializes the whole range and maintains it eagerly;</w:t>
      </w:r>
      <w:r>
        <w:t xml:space="preserve"> </w:t>
      </w:r>
      <w:r>
        <w:rPr>
          <w:iCs/>
          <w:i/>
        </w:rPr>
        <w:t xml:space="preserve">spilled</w:t>
      </w:r>
      <w:r>
        <w:t xml:space="preserve"> </w:t>
      </w:r>
      <w:r>
        <w:t xml:space="preserve">keeps the range materialized but resident on secondary storage, paying I/O instead of reconstruction;</w:t>
      </w:r>
      <w:r>
        <w:t xml:space="preserve"> </w:t>
      </w:r>
      <w:r>
        <w:rPr>
          <w:iCs/>
          <w:i/>
        </w:rPr>
        <w:t xml:space="preserve">tiered</w:t>
      </w:r>
      <w:r>
        <w:t xml:space="preserve"> </w:t>
      </w:r>
      <w:r>
        <w:t xml:space="preserve">keeps a hot prefix resident and the remainder spilled, with a promotion rule. 𝕄 is ordered by resident cost and inversely by per-read reconstruction cost, and the optimizer’s job is to choose a point per range subject to the view’s contract.</w:t>
      </w:r>
    </w:p>
    <w:p>
      <w:pPr>
        <w:pStyle w:val="BodyText"/>
      </w:pPr>
      <w:r>
        <w:rPr>
          <w:bCs/>
          <w:b/>
        </w:rPr>
        <w:t xml:space="preserve">Definition 4.3 (Mode assignment problem).</w:t>
      </w:r>
      <w:r>
        <w:t xml:space="preserve"> </w:t>
      </w:r>
      <w:r>
        <w:t xml:space="preserve">Given views V with contracts κ, key ranges partitioned per view, a memory budget m, and a workload model, choose μ : ranges → 𝕄 minimizing expected total cost (application + residency + reconstruction + I/O + SLO-violation penalty) subject to: (a) every read satisfies its contract’s rung and freshness bound; (b) Σ residency ≤ m; (c) pinned and</w:t>
      </w:r>
      <w:r>
        <w:t xml:space="preserve"> </w:t>
      </w:r>
      <w:r>
        <w:rPr>
          <w:rStyle w:val="VerbatimChar"/>
        </w:rPr>
        <w:t xml:space="preserve">forever</w:t>
      </w:r>
      <w:r>
        <w:t xml:space="preserve"> </w:t>
      </w:r>
      <w:r>
        <w:t xml:space="preserve">ranges are assigned</w:t>
      </w:r>
      <w:r>
        <w:t xml:space="preserve"> </w:t>
      </w:r>
      <w:r>
        <w:rPr>
          <w:iCs/>
          <w:i/>
        </w:rPr>
        <w:t xml:space="preserve">full</w:t>
      </w:r>
      <w:r>
        <w:t xml:space="preserve"> </w:t>
      </w:r>
      <w:r>
        <w:t xml:space="preserve">or</w:t>
      </w:r>
      <w:r>
        <w:t xml:space="preserve"> </w:t>
      </w:r>
      <w:r>
        <w:rPr>
          <w:iCs/>
          <w:i/>
        </w:rPr>
        <w:t xml:space="preserve">tiered</w:t>
      </w:r>
      <w:r>
        <w:t xml:space="preserve">.</w:t>
      </w:r>
    </w:p>
    <w:p>
      <w:pPr>
        <w:pStyle w:val="BodyText"/>
      </w:pPr>
      <w:r>
        <w:rPr>
          <w:bCs/>
          <w:b/>
        </w:rPr>
        <w:t xml:space="preserve">Theorem 4.5 (Optimizer properties).</w:t>
      </w:r>
    </w:p>
    <w:p>
      <w:pPr>
        <w:pStyle w:val="BodyText"/>
      </w:pPr>
      <w:r>
        <w:rPr>
          <w:iCs/>
          <w:i/>
        </w:rPr>
        <w:t xml:space="preserve">(a) Safety.</w:t>
      </w:r>
      <w:r>
        <w:t xml:space="preserve"> </w:t>
      </w:r>
      <w:r>
        <w:t xml:space="preserve">For every assignment μ satisfying (a)–(c), the observable behaviour of the system is identical to that under any other satisfying assignment. Mode is cost, not semantics.</w:t>
      </w:r>
      <w:r>
        <w:t xml:space="preserve"> </w:t>
      </w:r>
      <w:r>
        <w:rPr>
          <w:iCs/>
          <w:i/>
        </w:rPr>
        <w:t xml:space="preserve">Proof:</w:t>
      </w:r>
      <w:r>
        <w:t xml:space="preserve"> </w:t>
      </w:r>
      <w:r>
        <w:t xml:space="preserve">by Theorem 4.1 every mode serves the certified value at the required anchor; modes differ only in where the value comes from. ∎ This clause is what allows the optimizer to change its mind at runtime without a correctness argument per change.</w:t>
      </w:r>
    </w:p>
    <w:p>
      <w:pPr>
        <w:pStyle w:val="BodyText"/>
      </w:pPr>
      <w:r>
        <w:rPr>
          <w:iCs/>
          <w:i/>
        </w:rPr>
        <w:t xml:space="preserve">(b) Hardness.</w:t>
      </w:r>
      <w:r>
        <w:t xml:space="preserve"> </w:t>
      </w:r>
      <w:r>
        <w:t xml:space="preserve">The offline mode-assignment problem is NP-hard.</w:t>
      </w:r>
      <w:r>
        <w:t xml:space="preserve"> </w:t>
      </w:r>
      <w:r>
        <w:rPr>
          <w:iCs/>
          <w:i/>
        </w:rPr>
        <w:t xml:space="preserve">Proof:</w:t>
      </w:r>
      <w:r>
        <w:t xml:space="preserve"> </w:t>
      </w:r>
      <w:r>
        <w:t xml:space="preserve">restrict to two modes (absent, full), unit residency cost, and a linear per-read cost model; the problem becomes view selection under a space budget, NP-complete by reduction from set cover [Harinarayan et al., SIGMOD ’96]. ∎</w:t>
      </w:r>
    </w:p>
    <w:p>
      <w:pPr>
        <w:pStyle w:val="BodyText"/>
      </w:pPr>
      <w:r>
        <w:rPr>
          <w:iCs/>
          <w:i/>
        </w:rPr>
        <w:t xml:space="preserve">(c) The greedy guarantee does not transfer unmodified.</w:t>
      </w:r>
      <w:r>
        <w:t xml:space="preserve"> </w:t>
      </w:r>
      <w:r>
        <w:t xml:space="preserve">The classical (1 − 1/e) bound for view selection holds under a cost model in which the cost of answering a query is the size of the view used. Partial materialization violates that model: cost depends on miss rate and reconstruction depth, so benefit is not submodular in general. Two recoveries are given: (i) under</w:t>
      </w:r>
      <w:r>
        <w:t xml:space="preserve"> </w:t>
      </w:r>
      <w:r>
        <w:rPr>
          <w:iCs/>
          <w:i/>
        </w:rPr>
        <w:t xml:space="preserve">fixed</w:t>
      </w:r>
      <w:r>
        <w:t xml:space="preserve"> </w:t>
      </w:r>
      <w:r>
        <w:t xml:space="preserve">miss-rate estimates per range, benefit is again submodular and greedy recovers (1 − 1/e) — this is the mode used for planning-time defaults; (ii) in the general case, the guarantee is abandoned and replaced by the online analysis of (d), which is the mode used at runtime.</w:t>
      </w:r>
      <w:r>
        <w:t xml:space="preserve"> </w:t>
      </w:r>
      <w:r>
        <w:rPr>
          <w:iCs/>
          <w:i/>
        </w:rPr>
        <w:t xml:space="preserve">This is a negative result and is reported as one</w:t>
      </w:r>
      <w:r>
        <w:t xml:space="preserve">: the most-cited guarantee in the view-selection literature does not survive the move to partial state.</w:t>
      </w:r>
    </w:p>
    <w:p>
      <w:pPr>
        <w:pStyle w:val="BodyText"/>
      </w:pPr>
      <w:r>
        <w:rPr>
          <w:iCs/>
          <w:i/>
        </w:rPr>
        <w:t xml:space="preserve">(d) Online guarantees per range.</w:t>
      </w:r>
      <w:r>
        <w:t xml:space="preserve"> </w:t>
      </w:r>
      <w:r>
        <w:t xml:space="preserve">For a single key range with reconstruction cost c_u and maintenance cost c_a per epoch, the decision</w:t>
      </w:r>
      <w:r>
        <w:t xml:space="preserve"> </w:t>
      </w:r>
      <w:r>
        <w:t xml:space="preserve">“</w:t>
      </w:r>
      <w:r>
        <w:t xml:space="preserve">keep on demand or materialize fully</w:t>
      </w:r>
      <w:r>
        <w:t xml:space="preserve">”</w:t>
      </w:r>
      <w:r>
        <w:t xml:space="preserve"> </w:t>
      </w:r>
      <w:r>
        <w:t xml:space="preserve">is a rent-or-buy problem: the break-even rule (materialize once cumulative reconstruction spend reaches the maintenance cost of materializing) is 2-competitive, and a randomized rule achieves a ratio approaching e/(e−1) ≈ 1.58, which is optimal for this class [Karlin et al., Algorithmica 1994]. For eviction</w:t>
      </w:r>
      <w:r>
        <w:t xml:space="preserve"> </w:t>
      </w:r>
      <w:r>
        <w:rPr>
          <w:iCs/>
          <w:i/>
        </w:rPr>
        <w:t xml:space="preserve">within</w:t>
      </w:r>
      <w:r>
        <w:t xml:space="preserve"> </w:t>
      </w:r>
      <w:r>
        <w:t xml:space="preserve">the demand mode, entries have heterogeneous size and heterogeneous reconstruction cost, which is the file-caching setting: a Landlord-style policy attains the k/(k−h+1) resource-augmented bound [Young, Algorithmica 2002], and this is the policy Nilestream implements rather than plain LRU.</w:t>
      </w:r>
    </w:p>
    <w:p>
      <w:pPr>
        <w:pStyle w:val="BodyText"/>
      </w:pPr>
      <w:r>
        <w:rPr>
          <w:iCs/>
          <w:i/>
        </w:rPr>
        <w:t xml:space="preserve">(e) The delayed-hit caveat.</w:t>
      </w:r>
      <w:r>
        <w:t xml:space="preserve"> </w:t>
      </w:r>
      <w:r>
        <w:t xml:space="preserve">Under reconstruction latency, the objective is aggregate delay rather than miss count, and the literature establishes that policies optimal for hit rate — including Belady’s offline optimum — are not optimal for latency, with a reported deterministic competitive lower bound of Ω(kZ) attributed to parallel work [Atre et al., SIGCOMM ’20]. The optimizer therefore ranks eviction candidates by</w:t>
      </w:r>
      <w:r>
        <w:t xml:space="preserve"> </w:t>
      </w:r>
      <w:r>
        <w:rPr>
          <w:iCs/>
          <w:i/>
        </w:rPr>
        <w:t xml:space="preserve">expected aggregate delay</w:t>
      </w:r>
      <w:r>
        <w:t xml:space="preserve"> </w:t>
      </w:r>
      <w:r>
        <w:t xml:space="preserve">— reconstruction cost weighted by the number of requests expected to arrive during reconstruction — rather than by reuse probability alone, and the thesis claims no optimality in this regime, only that ignoring Z is provably wrong.</w:t>
      </w:r>
    </w:p>
    <w:p>
      <w:pPr>
        <w:pStyle w:val="BodyText"/>
      </w:pPr>
      <w:r>
        <w:rPr>
          <w:bCs/>
          <w:b/>
        </w:rPr>
        <w:t xml:space="preserve">The algorithm.</w:t>
      </w:r>
      <w:r>
        <w:t xml:space="preserve"> </w:t>
      </w:r>
      <w:r>
        <w:t xml:space="preserve">Per range, maintain EWMA estimates of arrival rate, reuse distance, reconstruction cost and reconstruction latency; compute the rent-or-buy break-even for the mode choice and the Landlord-style credit for eviction, both adjusted by the delayed-hit weighting and by the contract multiplier Φ(ℓ) of Section 3.14; re-evaluate on a hysteresis schedule to avoid thrash. Ranges pinned by contract are excluded. Appendix I gives the algorithm in full, with its estimators, its hysteresis rule, and the dynamic program used offline to compute the optimum a measured run is compared against.</w:t>
      </w:r>
    </w:p>
    <w:p>
      <w:pPr>
        <w:pStyle w:val="BodyText"/>
      </w:pPr>
      <w:r>
        <w:rPr>
          <w:bCs/>
          <w:b/>
        </w:rPr>
        <w:t xml:space="preserve">Relationship to the self-tuning literature.</w:t>
      </w:r>
      <w:r>
        <w:t xml:space="preserve"> </w:t>
      </w:r>
      <w:r>
        <w:t xml:space="preserve">Choosing physical structures in response to observed demand is the agenda of adaptive indexing —</w:t>
      </w:r>
      <w:r>
        <w:t xml:space="preserve"> </w:t>
      </w:r>
      <w:r>
        <w:t xml:space="preserve">“</w:t>
      </w:r>
      <w:r>
        <w:t xml:space="preserve">each query is interpreted not only as a request for a particular result set, but also as an advice to crack the physical database store</w:t>
      </w:r>
      <w:r>
        <w:t xml:space="preserve">”</w:t>
      </w:r>
      <w:r>
        <w:t xml:space="preserve"> </w:t>
      </w:r>
      <w:r>
        <w:t xml:space="preserve">[Idreos et al., CIDR ’07] — and of automated physical design [Chaudhuri &amp; Narasayya, VLDB ’97] and self-driving databases [Pavlo et al., CIDR ’17]. What is new here is that the decision is made</w:t>
      </w:r>
      <w:r>
        <w:t xml:space="preserve"> </w:t>
      </w:r>
      <w:r>
        <w:rPr>
          <w:iCs/>
          <w:i/>
        </w:rPr>
        <w:t xml:space="preserve">under a declared consistency contract</w:t>
      </w:r>
      <w:r>
        <w:t xml:space="preserve">, which none of that literature has: the same range may be cheap to keep on demand at ℓ₀ and unaffordable at ℓ₅, and Φ(ℓ) is the term that says so. The adaptive-indexing literature also supplies a cautionary datum the optimizer takes seriously: the choice of</w:t>
      </w:r>
      <w:r>
        <w:t xml:space="preserve"> </w:t>
      </w:r>
      <w:r>
        <w:rPr>
          <w:iCs/>
          <w:i/>
        </w:rPr>
        <w:t xml:space="preserve">how</w:t>
      </w:r>
      <w:r>
        <w:t xml:space="preserve"> </w:t>
      </w:r>
      <w:r>
        <w:t xml:space="preserve">to fill on demand changes convergence by two orders of magnitude — adaptive merging converges in roughly forty queries where cracking needs thousands [Graefe &amp; Kuno, EDBT ’10] — so reconstruction granularity is an optimizer parameter, not a constant.</w:t>
      </w:r>
    </w:p>
    <w:bookmarkEnd w:id="86"/>
    <w:bookmarkStart w:id="87" w:name="X3a8a83b884ac1cc55d78d8af044b672f20eb4c7"/>
    <w:p>
      <w:pPr>
        <w:pStyle w:val="Heading2"/>
      </w:pPr>
      <w:r>
        <w:t xml:space="preserve">4.7 Contribution 6 (SC6) — Generality: What</w:t>
      </w:r>
      <w:r>
        <w:t xml:space="preserve"> </w:t>
      </w:r>
      <w:r>
        <w:t xml:space="preserve">“</w:t>
      </w:r>
      <w:r>
        <w:t xml:space="preserve">Replacing SQL</w:t>
      </w:r>
      <w:r>
        <w:t xml:space="preserve">”</w:t>
      </w:r>
      <w:r>
        <w:t xml:space="preserve"> </w:t>
      </w:r>
      <w:r>
        <w:t xml:space="preserve">Can Mean and Be Proved</w:t>
      </w:r>
    </w:p>
    <w:p>
      <w:pPr>
        <w:pStyle w:val="FirstParagraph"/>
      </w:pPr>
      <w:r>
        <w:t xml:space="preserve">The claim that a new language replaces SQL is not, as stated, provable: SQL has no single formal semantics to be complete with respect to. This contribution replaces the slogan with three statements that can be proved, and proves them.</w:t>
      </w:r>
    </w:p>
    <w:p>
      <w:pPr>
        <w:pStyle w:val="BodyText"/>
      </w:pPr>
      <w:r>
        <w:rPr>
          <w:bCs/>
          <w:b/>
        </w:rPr>
        <w:t xml:space="preserve">Theorem 4.6 (Generality).</w:t>
      </w:r>
      <w:r>
        <w:t xml:space="preserve"> </w:t>
      </w:r>
      <w:r>
        <w:t xml:space="preserve">Let Niles-Core be the declarative tier of Niles (Appendix B) and IR its intermediate representation.</w:t>
      </w:r>
    </w:p>
    <w:p>
      <w:pPr>
        <w:pStyle w:val="BodyText"/>
      </w:pPr>
      <w:r>
        <w:rPr>
          <w:iCs/>
          <w:i/>
        </w:rPr>
        <w:t xml:space="preserve">(a) Relational completeness.</w:t>
      </w:r>
      <w:r>
        <w:t xml:space="preserve"> </w:t>
      </w:r>
      <w:r>
        <w:t xml:space="preserve">Niles-Core expresses every query expressible in the safe relational calculus.</w:t>
      </w:r>
      <w:r>
        <w:t xml:space="preserve"> </w:t>
      </w:r>
      <w:r>
        <w:rPr>
          <w:iCs/>
          <w:i/>
        </w:rPr>
        <w:t xml:space="preserve">Proof:</w:t>
      </w:r>
      <w:r>
        <w:t xml:space="preserve"> </w:t>
      </w:r>
      <w:r>
        <w:t xml:space="preserve">by exhibiting the relational operators as Niles pipeline stages and appealing to Codd’s reduction of calculus to algebra [Codd, RJ987, 1972], with the algebra-equals-safe-calculus equivalence in the standard development. ∎</w:t>
      </w:r>
    </w:p>
    <w:p>
      <w:pPr>
        <w:pStyle w:val="BodyText"/>
      </w:pPr>
      <w:r>
        <w:rPr>
          <w:iCs/>
          <w:i/>
        </w:rPr>
        <w:t xml:space="preserve">(b) Fixpoint completeness over the epoch-ordered base.</w:t>
      </w:r>
      <w:r>
        <w:t xml:space="preserve"> </w:t>
      </w:r>
      <w:r>
        <w:t xml:space="preserve">Niles-Core with guarded recursion expresses exactly the queries computable in polynomial time over the base.</w:t>
      </w:r>
      <w:r>
        <w:t xml:space="preserve"> </w:t>
      </w:r>
      <w:r>
        <w:rPr>
          <w:iCs/>
          <w:i/>
        </w:rPr>
        <w:t xml:space="preserve">Proof:</w:t>
      </w:r>
      <w:r>
        <w:t xml:space="preserve"> </w:t>
      </w:r>
      <w:r>
        <w:t xml:space="preserve">Niles-Core includes relational calculus (a) plus a least-fixpoint construct, and the base carries a total order on epochs and a derived total order on rows. Immerman’s theorem states that relational calculus plus least fixpoint, over structures with a total ordering relation, expresses exactly the PTIME queries [Immerman 1982/1986; independently Vardi 1982]. The ordering hypothesis — the usual obstacle to applying this theorem to unordered relational data — is satisfied</w:t>
      </w:r>
      <w:r>
        <w:t xml:space="preserve"> </w:t>
      </w:r>
      <w:r>
        <w:rPr>
          <w:iCs/>
          <w:i/>
        </w:rPr>
        <w:t xml:space="preserve">by the data model itself</w:t>
      </w:r>
      <w:r>
        <w:t xml:space="preserve">, since the ledger totally orders its rows. Guardedness restricts recursion to well-founded measures, which is what keeps evaluation in PTIME rather than merely computable. ∎</w:t>
      </w:r>
    </w:p>
    <w:p>
      <w:pPr>
        <w:pStyle w:val="BodyText"/>
      </w:pPr>
      <w:r>
        <w:rPr>
          <w:iCs/>
          <w:i/>
        </w:rPr>
        <w:t xml:space="preserve">(c) SQL-fragment translation.</w:t>
      </w:r>
      <w:r>
        <w:t xml:space="preserve"> </w:t>
      </w:r>
      <w:r>
        <w:t xml:space="preserve">There is a total, semantics-preserving compilation of SQL-Core — the fragment stated in Appendix H, covering SELECT-FROM-WHERE with bag semantics, joins, grouping and aggregation, set operations, nulls with three-valued logic, ordering and limits, DDL, DML and TCL — into IR, such that the SQL query and its Niles counterpart lower to α-equivalent circuits.</w:t>
      </w:r>
      <w:r>
        <w:t xml:space="preserve"> </w:t>
      </w:r>
      <w:r>
        <w:rPr>
          <w:iCs/>
          <w:i/>
        </w:rPr>
        <w:t xml:space="preserve">Proof:</w:t>
      </w:r>
      <w:r>
        <w:t xml:space="preserve"> </w:t>
      </w:r>
      <w:r>
        <w:t xml:space="preserve">by structural induction on the SQL fragment’s grammar, with the induction given in Appendix H and tested by golden-file equivalence over a corpus. ∎</w:t>
      </w:r>
    </w:p>
    <w:p>
      <w:pPr>
        <w:pStyle w:val="BodyText"/>
      </w:pPr>
      <w:r>
        <w:rPr>
          <w:bCs/>
          <w:b/>
        </w:rPr>
        <w:t xml:space="preserve">Remarks.</w:t>
      </w:r>
      <w:r>
        <w:t xml:space="preserve"> </w:t>
      </w:r>
      <w:r>
        <w:t xml:space="preserve">(i) The strongest available notion of a</w:t>
      </w:r>
      <w:r>
        <w:t xml:space="preserve"> </w:t>
      </w:r>
      <w:r>
        <w:rPr>
          <w:iCs/>
          <w:i/>
        </w:rPr>
        <w:t xml:space="preserve">complete</w:t>
      </w:r>
      <w:r>
        <w:t xml:space="preserve"> </w:t>
      </w:r>
      <w:r>
        <w:t xml:space="preserve">query language is Chandra and Harel’s computable queries [JCSS 1980]; Niles’s UDF tier reaches it in the trivial sense that arbitrary computation is expressible there, and the thesis does</w:t>
      </w:r>
      <w:r>
        <w:t xml:space="preserve"> </w:t>
      </w:r>
      <w:r>
        <w:rPr>
          <w:iCs/>
          <w:i/>
        </w:rPr>
        <w:t xml:space="preserve">not</w:t>
      </w:r>
      <w:r>
        <w:t xml:space="preserve"> </w:t>
      </w:r>
      <w:r>
        <w:t xml:space="preserve">claim it for the declarative tier, whose whole point is to stay in PTIME so that plans are optimizable and guarded. (ii) Fragment honesty: (c) is a claim about a stated fragment, and every construct outside it must fail loudly rather than silently diverge — the compatibility policy of Section 7.3. (iii) Comparative novelty: a survey of nine SQL alternatives finds that not one claims formal SQL-superset expressive power, and several are bounded above by SQL because they compile to it. A proved expressiveness theorem is therefore a genuinely novel artifact in this space, and it is a stronger claim than</w:t>
      </w:r>
      <w:r>
        <w:t xml:space="preserve"> </w:t>
      </w:r>
      <w:r>
        <w:t xml:space="preserve">“</w:t>
      </w:r>
      <w:r>
        <w:t xml:space="preserve">replaces SQL</w:t>
      </w:r>
      <w:r>
        <w:t xml:space="preserve">”</w:t>
      </w:r>
      <w:r>
        <w:t xml:space="preserve"> </w:t>
      </w:r>
      <w:r>
        <w:t xml:space="preserve">because it can be checked.</w:t>
      </w:r>
    </w:p>
    <w:p>
      <w:pPr>
        <w:pStyle w:val="BodyText"/>
      </w:pPr>
      <w:r>
        <w:rPr>
          <w:bCs/>
          <w:b/>
        </w:rPr>
        <w:t xml:space="preserve">Generality of the engine, not just the language.</w:t>
      </w:r>
      <w:r>
        <w:t xml:space="preserve"> </w:t>
      </w:r>
      <w:r>
        <w:t xml:space="preserve">The workload-class claim (S8) is discharged constructively rather than by theorem, and Section 6.5 gives the construction: OLTP is the write path plus point-lookup REVs; analytical rollups are REVs whose circuits aggregate, with column-shaped resident representations chosen by the optimizer; time-series is a REV over a base partitioned by the valid-time axis, with compression of the resident representation; document access is a REV over a typed semi-structured column with path-indexed resident state; graph traversal is guarded recursion over an edge base, in the sense standardized by SQL/PGQ and GQL; and search is an inverted-index REV whose resident state is exactly Lucene’s immutable-segments-plus-tombstones shape — which is itself an existence proof that this architecture serves that workload. In every case the object is a REV over the same base with the same contract vocabulary, which is what</w:t>
      </w:r>
      <w:r>
        <w:t xml:space="preserve"> </w:t>
      </w:r>
      <w:r>
        <w:t xml:space="preserve">“</w:t>
      </w:r>
      <w:r>
        <w:t xml:space="preserve">one engine</w:t>
      </w:r>
      <w:r>
        <w:t xml:space="preserve">”</w:t>
      </w:r>
      <w:r>
        <w:t xml:space="preserve"> </w:t>
      </w:r>
      <w:r>
        <w:t xml:space="preserve">means here: not that one storage format serves everything, but that one</w:t>
      </w:r>
      <w:r>
        <w:t xml:space="preserve"> </w:t>
      </w:r>
      <w:r>
        <w:rPr>
          <w:iCs/>
          <w:i/>
        </w:rPr>
        <w:t xml:space="preserve">semantics</w:t>
      </w:r>
      <w:r>
        <w:t xml:space="preserve"> </w:t>
      </w:r>
      <w:r>
        <w:t xml:space="preserve">does, and format is the optimizer’s choice.</w:t>
      </w:r>
    </w:p>
    <w:bookmarkEnd w:id="87"/>
    <w:bookmarkStart w:id="88" w:name="X8b2f8416005d541d950124c12af846dc00d471a"/>
    <w:p>
      <w:pPr>
        <w:pStyle w:val="Heading2"/>
      </w:pPr>
      <w:r>
        <w:t xml:space="preserve">4.8 Contribution 7 — The Bounded Reconstruction Theorem (SC7)</w:t>
      </w:r>
    </w:p>
    <w:p>
      <w:pPr>
        <w:pStyle w:val="FirstParagraph"/>
      </w:pPr>
      <w:r>
        <w:t xml:space="preserve">This contribution exists because an experiment refuted a claim the thesis had asserted in every prior draft, and the refutation identified the mechanism that makes the claim true. It is presented in that order, because the order is the evidence.</w:t>
      </w:r>
    </w:p>
    <w:p>
      <w:pPr>
        <w:pStyle w:val="BodyText"/>
      </w:pPr>
      <w:r>
        <w:rPr>
          <w:bCs/>
          <w:b/>
        </w:rPr>
        <w:t xml:space="preserve">The claim as it stood.</w:t>
      </w:r>
      <w:r>
        <w:t xml:space="preserve"> </w:t>
      </w:r>
      <w:r>
        <w:t xml:space="preserve">SC3 holds that the price of consistency under partial materialization is workload-shaped rather than history-shaped, and the earlier drafts attributed that property to per-key</w:t>
      </w:r>
      <w:r>
        <w:t xml:space="preserve"> </w:t>
      </w:r>
      <w:r>
        <w:rPr>
          <w:iCs/>
          <w:i/>
        </w:rPr>
        <w:t xml:space="preserve">anchor indices</w:t>
      </w:r>
      <w:r>
        <w:t xml:space="preserve">: since a reconstruction folds only the postings on its own key, and per-key update counts are a workload property, cost should not depend on the length of the base.</w:t>
      </w:r>
    </w:p>
    <w:p>
      <w:pPr>
        <w:pStyle w:val="BodyText"/>
      </w:pPr>
      <w:r>
        <w:rPr>
          <w:bCs/>
          <w:b/>
        </w:rPr>
        <w:t xml:space="preserve">The refutation (§9.4.1).</w:t>
      </w:r>
      <w:r>
        <w:t xml:space="preserve"> </w:t>
      </w:r>
      <w:r>
        <w:t xml:space="preserve">With the key space held fixed, measured reconstruction cost grew 64× as history grew 64×. Anchor indices delivered an 80–112× reduction in the constant and no change whatever in the growth. The obvious defence — that a real institution opens accounts as it grows, so per-key counts stay bounded — was then tested by growing the key space in proportion, and also failed: cost still grew roughly 16× over the same range. The reason is intrinsic to skew rather than to the design. Under a Zipf distribution a hot key retains a roughly constant</w:t>
      </w:r>
      <w:r>
        <w:t xml:space="preserve"> </w:t>
      </w:r>
      <w:r>
        <w:rPr>
          <w:iCs/>
          <w:i/>
        </w:rPr>
        <w:t xml:space="preserve">share</w:t>
      </w:r>
      <w:r>
        <w:t xml:space="preserve"> </w:t>
      </w:r>
      <w:r>
        <w:t xml:space="preserve">of traffic, so its absolute update count grows with total traffic no matter how many cold keys are added; and reconstruction requests, drawn from the same distribution, land preferentially on exactly those keys. Growing the key space dilutes the tail, not the head.</w:t>
      </w:r>
    </w:p>
    <w:p>
      <w:pPr>
        <w:pStyle w:val="BodyText"/>
      </w:pPr>
      <w:r>
        <w:rPr>
          <w:bCs/>
          <w:b/>
        </w:rPr>
        <w:t xml:space="preserve">The mechanism.</w:t>
      </w:r>
      <w:r>
        <w:t xml:space="preserve"> </w:t>
      </w:r>
      <w:r>
        <w:t xml:space="preserve">A per-key</w:t>
      </w:r>
      <w:r>
        <w:t xml:space="preserve"> </w:t>
      </w:r>
      <w:r>
        <w:rPr>
          <w:bCs/>
          <w:b/>
        </w:rPr>
        <w:t xml:space="preserve">checkpoint</w:t>
      </w:r>
      <w:r>
        <w:t xml:space="preserve">: every C postings on a key, record (epoch, value), and reconstruct by folding only the suffix since the newest checkpoint at or before the requested anchor. Formally this is Definitions 3.9–3.10 and</w:t>
      </w:r>
      <w:r>
        <w:t xml:space="preserve"> </w:t>
      </w:r>
      <w:r>
        <w:rPr>
          <w:bCs/>
          <w:b/>
        </w:rPr>
        <w:t xml:space="preserve">Theorem 3.7</w:t>
      </w:r>
      <w:r>
        <w:t xml:space="preserve">: checkpointed reconstruction returns the same value as unbounded reconstruction, and reads at most C/2 + 1 base rows in expectation, independent of base length.</w:t>
      </w:r>
    </w:p>
    <w:p>
      <w:pPr>
        <w:pStyle w:val="BodyText"/>
      </w:pPr>
      <w:r>
        <w:rPr>
          <w:bCs/>
          <w:b/>
        </w:rPr>
        <w:t xml:space="preserve">The confirmation (§9.4.1, Table 9.7).</w:t>
      </w:r>
      <w:r>
        <w:t xml:space="preserve"> </w:t>
      </w:r>
      <w:r>
        <w:t xml:space="preserve">At C = 16, measured cost was flat at ≈ 8.5 base rows across a 64× increase in history, against a predicted C/2 + 1 = 9. At C = 64 it was 32.0 against a predicted 33. At C = 256 it was still rising slowly over the range tested, as the bound predicts for an interval comparable to the per-key update counts involved.</w:t>
      </w:r>
    </w:p>
    <w:p>
      <w:pPr>
        <w:pStyle w:val="BodyText"/>
      </w:pPr>
      <w:r>
        <w:rPr>
          <w:bCs/>
          <w:b/>
        </w:rPr>
        <w:t xml:space="preserve">Why this is a contribution and not an implementation note.</w:t>
      </w:r>
      <w:r>
        <w:t xml:space="preserve"> </w:t>
      </w:r>
      <w:r>
        <w:t xml:space="preserve">Three reasons.</w:t>
      </w:r>
    </w:p>
    <w:p>
      <w:pPr>
        <w:pStyle w:val="BodyText"/>
      </w:pPr>
      <w:r>
        <w:rPr>
          <w:iCs/>
          <w:i/>
        </w:rPr>
        <w:t xml:space="preserve">It changes the status of SC3.</w:t>
      </w:r>
      <w:r>
        <w:t xml:space="preserve"> </w:t>
      </w:r>
      <w:r>
        <w:t xml:space="preserve">The cost law is no longer an emergent property of the data structure but a</w:t>
      </w:r>
      <w:r>
        <w:t xml:space="preserve"> </w:t>
      </w:r>
      <w:r>
        <w:rPr>
          <w:bCs/>
          <w:b/>
        </w:rPr>
        <w:t xml:space="preserve">design obligation</w:t>
      </w:r>
      <w:r>
        <w:t xml:space="preserve"> </w:t>
      </w:r>
      <w:r>
        <w:t xml:space="preserve">with a stated constant. C is a term in the theory: it appears in the bound, it is declarable per view (§6.18), and choosing it is a decision the theory prices rather than a knob an operator guesses.</w:t>
      </w:r>
    </w:p>
    <w:p>
      <w:pPr>
        <w:pStyle w:val="BodyText"/>
      </w:pPr>
      <w:r>
        <w:rPr>
          <w:iCs/>
          <w:i/>
        </w:rPr>
        <w:t xml:space="preserve">It explains prior art that was otherwise unexplained.</w:t>
      </w:r>
      <w:r>
        <w:t xml:space="preserve"> </w:t>
      </w:r>
      <w:r>
        <w:t xml:space="preserve">Production ledgers maintain running balances rather than folding journals on demand, and at least one purpose-built ledger offers a per-account flag to retain balance history at each transfer. Those are the same bound bought under a different name. The thesis previously treated such materialized balances as an optimization that its own design made unnecessary; the measurement shows they are the mechanism that makes the design’s cost claim true.</w:t>
      </w:r>
    </w:p>
    <w:p>
      <w:pPr>
        <w:pStyle w:val="BodyText"/>
      </w:pPr>
      <w:r>
        <w:rPr>
          <w:iCs/>
          <w:i/>
        </w:rPr>
        <w:t xml:space="preserve">It sharpens the immutability argument rather than weakening it.</w:t>
      </w:r>
      <w:r>
        <w:t xml:space="preserve"> </w:t>
      </w:r>
      <w:r>
        <w:t xml:space="preserve">A checkpoint is derived state — recomputable from the base by construction — so it is evictable, rebuildable, and outside the retention guarantee. The base still never forgets; the checkpoint merely spares a reader from re-reading all of it. That is precisely the base/derived split of F4 applied to itself, one level down, and it is a pleasing sign that the architecture’s central distinction is doing work at more than one scale.</w:t>
      </w:r>
    </w:p>
    <w:p>
      <w:pPr>
        <w:pStyle w:val="BodyText"/>
      </w:pPr>
      <w:r>
        <w:rPr>
          <w:bCs/>
          <w:b/>
        </w:rPr>
        <w:t xml:space="preserve">What it does not claim.</w:t>
      </w:r>
      <w:r>
        <w:t xml:space="preserve"> </w:t>
      </w:r>
      <w:r>
        <w:t xml:space="preserve">The bound is on</w:t>
      </w:r>
      <w:r>
        <w:t xml:space="preserve"> </w:t>
      </w:r>
      <w:r>
        <w:rPr>
          <w:iCs/>
          <w:i/>
        </w:rPr>
        <w:t xml:space="preserve">reconstruction</w:t>
      </w:r>
      <w:r>
        <w:t xml:space="preserve"> </w:t>
      </w:r>
      <w:r>
        <w:t xml:space="preserve">work for a keyed fold. It says nothing about views whose recomputation is not a per-key fold — joins in particular, where the upquery path touches slices of several inputs and where checkpointing a single key is not obviously sufficient. Extending the bound to that class is stated as open in Chapter 12, and the prototype does not exercise it (Appendix K.7).</w:t>
      </w:r>
    </w:p>
    <w:bookmarkEnd w:id="88"/>
    <w:bookmarkStart w:id="89" w:name="X5bbd585bd75b5c9b2c10f22dbf0c321dac9949c"/>
    <w:p>
      <w:pPr>
        <w:pStyle w:val="Heading2"/>
      </w:pPr>
      <w:r>
        <w:t xml:space="preserve">4.9 What Is New Beyond Noria, Materialize, ORCHESTRA, and the Log-Backed Map</w:t>
      </w:r>
    </w:p>
    <w:p>
      <w:pPr>
        <w:pStyle w:val="FirstParagraph"/>
      </w:pPr>
      <w:r>
        <w:t xml:space="preserve">Because several systems are close on one axis each, the differences are stated per system.</w:t>
      </w:r>
    </w:p>
    <w:p>
      <w:pPr>
        <w:pStyle w:val="BodyText"/>
      </w:pPr>
      <w:r>
        <w:rPr>
          <w:bCs/>
          <w:b/>
        </w:rPr>
        <w:t xml:space="preserve">Beyond Noria.</w:t>
      </w:r>
      <w:r>
        <w:t xml:space="preserve"> </w:t>
      </w:r>
      <w:r>
        <w:t xml:space="preserve">(1)</w:t>
      </w:r>
      <w:r>
        <w:t xml:space="preserve"> </w:t>
      </w:r>
      <w:r>
        <w:rPr>
          <w:iCs/>
          <w:i/>
        </w:rPr>
        <w:t xml:space="preserve">Base:</w:t>
      </w:r>
      <w:r>
        <w:t xml:space="preserve"> </w:t>
      </w:r>
      <w:r>
        <w:t xml:space="preserve">Noria’s base tables are mutable; the REV’s base is immutable, hash-chained and strictly serializable — which makes reconstruction pure and, per §4.2, dissolves the five anomalies rather than defending against them. (2)</w:t>
      </w:r>
      <w:r>
        <w:t xml:space="preserve"> </w:t>
      </w:r>
      <w:r>
        <w:rPr>
          <w:iCs/>
          <w:i/>
        </w:rPr>
        <w:t xml:space="preserve">Anchors:</w:t>
      </w:r>
      <w:r>
        <w:t xml:space="preserve"> </w:t>
      </w:r>
      <w:r>
        <w:t xml:space="preserve">Noria’s entries are unversioned; REV entries carry epochs, making</w:t>
      </w:r>
      <w:r>
        <w:t xml:space="preserve"> </w:t>
      </w:r>
      <w:r>
        <w:t xml:space="preserve">“</w:t>
      </w:r>
      <w:r>
        <w:t xml:space="preserve">as of</w:t>
      </w:r>
      <w:r>
        <w:t xml:space="preserve">”</w:t>
      </w:r>
      <w:r>
        <w:t xml:space="preserve"> </w:t>
      </w:r>
      <w:r>
        <w:t xml:space="preserve">a first-class answer. (3)</w:t>
      </w:r>
      <w:r>
        <w:t xml:space="preserve"> </w:t>
      </w:r>
      <w:r>
        <w:rPr>
          <w:iCs/>
          <w:i/>
        </w:rPr>
        <w:t xml:space="preserve">Consistency:</w:t>
      </w:r>
      <w:r>
        <w:t xml:space="preserve"> </w:t>
      </w:r>
      <w:r>
        <w:t xml:space="preserve">Noria is explicitly eventually consistent with randomized eviction and lists stronger consistency as future work; this thesis serves declared rungs to ℓ₅ and proves where that is affordable. (4)</w:t>
      </w:r>
      <w:r>
        <w:t xml:space="preserve"> </w:t>
      </w:r>
      <w:r>
        <w:rPr>
          <w:iCs/>
          <w:i/>
        </w:rPr>
        <w:t xml:space="preserve">Invariants:</w:t>
      </w:r>
      <w:r>
        <w:t xml:space="preserve"> </w:t>
      </w:r>
      <w:r>
        <w:t xml:space="preserve">nothing in Noria can state, let alone prove, Corollary 4.1.1. (5)</w:t>
      </w:r>
      <w:r>
        <w:t xml:space="preserve"> </w:t>
      </w:r>
      <w:r>
        <w:rPr>
          <w:iCs/>
          <w:i/>
        </w:rPr>
        <w:t xml:space="preserve">Policy:</w:t>
      </w:r>
      <w:r>
        <w:t xml:space="preserve"> </w:t>
      </w:r>
      <w:r>
        <w:t xml:space="preserve">Noria’s eviction is randomized; C5 replaces it with a cost model carrying competitive guarantees. (6)</w:t>
      </w:r>
      <w:r>
        <w:t xml:space="preserve"> </w:t>
      </w:r>
      <w:r>
        <w:rPr>
          <w:iCs/>
          <w:i/>
        </w:rPr>
        <w:t xml:space="preserve">Language and audit:</w:t>
      </w:r>
      <w:r>
        <w:t xml:space="preserve"> </w:t>
      </w:r>
      <w:r>
        <w:t xml:space="preserve">Noria consumes SQL and has no retention, audit or bitemporal story. What is kept, and credited, is the economic insight and the mechanism.</w:t>
      </w:r>
    </w:p>
    <w:p>
      <w:pPr>
        <w:pStyle w:val="BodyText"/>
      </w:pPr>
      <w:r>
        <w:rPr>
          <w:bCs/>
          <w:b/>
        </w:rPr>
        <w:t xml:space="preserve">Beyond Materialize (and the IVM engines).</w:t>
      </w:r>
      <w:r>
        <w:t xml:space="preserve"> </w:t>
      </w:r>
      <w:r>
        <w:t xml:space="preserve">Materialize already ships bounded staleness, serializable and strict serializable isolation, and documents precisely the anomaly that strict serializability removes. The differentiator is therefore not the ladder but</w:t>
      </w:r>
      <w:r>
        <w:t xml:space="preserve"> </w:t>
      </w:r>
      <w:r>
        <w:rPr>
          <w:iCs/>
          <w:i/>
        </w:rPr>
        <w:t xml:space="preserve">partiality</w:t>
      </w:r>
      <w:r>
        <w:t xml:space="preserve">: those guarantees are over totally maintained state, so the memory cost of a view is the size of its output, not the size of its working set. This thesis’s ladder is defined over</w:t>
      </w:r>
      <w:r>
        <w:t xml:space="preserve"> </w:t>
      </w:r>
      <w:r>
        <w:rPr>
          <w:iCs/>
          <w:i/>
        </w:rPr>
        <w:t xml:space="preserve">partial</w:t>
      </w:r>
      <w:r>
        <w:t xml:space="preserve"> </w:t>
      </w:r>
      <w:r>
        <w:t xml:space="preserve">state, which is what makes Theorem 4.2 necessary — Materialize never has to ask when eviction stops paying, because it never evicts.</w:t>
      </w:r>
    </w:p>
    <w:p>
      <w:pPr>
        <w:pStyle w:val="BodyText"/>
      </w:pPr>
      <w:r>
        <w:rPr>
          <w:bCs/>
          <w:b/>
        </w:rPr>
        <w:t xml:space="preserve">Beyond ORCHESTRA.</w:t>
      </w:r>
      <w:r>
        <w:t xml:space="preserve"> </w:t>
      </w:r>
      <w:r>
        <w:t xml:space="preserve">Semiring provenance for incremental maintenance of derived state, with a measured break-even against recomputation, is 2007 prior art. §4.3 states the three differences (residency and consistency versus update volume; the Φ(ℓ) axis; reconstruction latency) and this thesis adopts ORCHESTRA’s formalism where it applies rather than reinventing it — Corollary 4.1.2 is an inherited result, not a claimed one.</w:t>
      </w:r>
    </w:p>
    <w:p>
      <w:pPr>
        <w:pStyle w:val="BodyText"/>
      </w:pPr>
      <w:r>
        <w:rPr>
          <w:bCs/>
          <w:b/>
        </w:rPr>
        <w:t xml:space="preserve">Beyond the log-backed map.</w:t>
      </w:r>
      <w:r>
        <w:t xml:space="preserve"> </w:t>
      </w:r>
      <w:r>
        <w:t xml:space="preserve">Trillian’s verifiable log-backed map is structurally</w:t>
      </w:r>
      <w:r>
        <w:t xml:space="preserve"> </w:t>
      </w:r>
      <w:r>
        <w:t xml:space="preserve">“</w:t>
      </w:r>
      <w:r>
        <w:t xml:space="preserve">authoritative log plus derived state applied only from the log,</w:t>
      </w:r>
      <w:r>
        <w:t xml:space="preserve">”</w:t>
      </w:r>
      <w:r>
        <w:t xml:space="preserve"> </w:t>
      </w:r>
      <w:r>
        <w:t xml:space="preserve">and Lucene has run immutable segments with tombstones and merging for two decades. The architecture is therefore not claimed as novel. What is claimed is the layer above it: partial materialization with versioned absence, anchored reconstruction, per-view consistency contracts, an optimizer with competitive guarantees, and a language whose types make the invariants checkable.</w:t>
      </w:r>
    </w:p>
    <w:bookmarkEnd w:id="89"/>
    <w:bookmarkStart w:id="90" w:name="X00b945dc51255c0efdbd21e1d1e3f276eec0a78"/>
    <w:p>
      <w:pPr>
        <w:pStyle w:val="Heading2"/>
      </w:pPr>
      <w:r>
        <w:t xml:space="preserve">4.10 Summary: A Formal Theory and the Artifacts That Test It</w:t>
      </w:r>
    </w:p>
    <w:p>
      <w:pPr>
        <w:pStyle w:val="FirstParagraph"/>
      </w:pPr>
      <w:r>
        <w:t xml:space="preserve">The seven contributions interlock. C1 makes partiality</w:t>
      </w:r>
      <w:r>
        <w:t xml:space="preserve"> </w:t>
      </w:r>
      <w:r>
        <w:rPr>
          <w:iCs/>
          <w:i/>
        </w:rPr>
        <w:t xml:space="preserve">safe</w:t>
      </w:r>
      <w:r>
        <w:t xml:space="preserve"> </w:t>
      </w:r>
      <w:r>
        <w:t xml:space="preserve">— exactness at any anchor, conservation across eviction, lineage preserved. C3</w:t>
      </w:r>
      <w:r>
        <w:t xml:space="preserve"> </w:t>
      </w:r>
      <w:r>
        <w:rPr>
          <w:iCs/>
          <w:i/>
        </w:rPr>
        <w:t xml:space="preserve">prices</w:t>
      </w:r>
      <w:r>
        <w:t xml:space="preserve"> </w:t>
      </w:r>
      <w:r>
        <w:t xml:space="preserve">every rung above that floor and shows the price is workload-shaped. C2</w:t>
      </w:r>
      <w:r>
        <w:t xml:space="preserve"> </w:t>
      </w:r>
      <w:r>
        <w:rPr>
          <w:iCs/>
          <w:i/>
        </w:rPr>
        <w:t xml:space="preserve">bounds</w:t>
      </w:r>
      <w:r>
        <w:t xml:space="preserve"> </w:t>
      </w:r>
      <w:r>
        <w:t xml:space="preserve">the whole approach, saying where it stops paying and proving that no policy escapes. C5</w:t>
      </w:r>
      <w:r>
        <w:t xml:space="preserve"> </w:t>
      </w:r>
      <w:r>
        <w:rPr>
          <w:iCs/>
          <w:i/>
        </w:rPr>
        <w:t xml:space="preserve">decides</w:t>
      </w:r>
      <w:r>
        <w:t xml:space="preserve">, turning the bound into a runtime policy with competitive guarantees and an explicit account of which classical guarantees survive. C4</w:t>
      </w:r>
      <w:r>
        <w:t xml:space="preserve"> </w:t>
      </w:r>
      <w:r>
        <w:rPr>
          <w:iCs/>
          <w:i/>
        </w:rPr>
        <w:t xml:space="preserve">transfers</w:t>
      </w:r>
      <w:r>
        <w:t xml:space="preserve"> </w:t>
      </w:r>
      <w:r>
        <w:t xml:space="preserve">all of it to programs, making conservation, currency safety and authorization typing judgements. C6</w:t>
      </w:r>
      <w:r>
        <w:t xml:space="preserve"> </w:t>
      </w:r>
      <w:r>
        <w:rPr>
          <w:iCs/>
          <w:i/>
        </w:rPr>
        <w:t xml:space="preserve">generalizes</w:t>
      </w:r>
      <w:r>
        <w:t xml:space="preserve">, replacing an unprovable slogan about SQL with three theorems and a construction covering the workload classes a general-purpose DBMS must serve. And SC7</w:t>
      </w:r>
      <w:r>
        <w:t xml:space="preserve"> </w:t>
      </w:r>
      <w:r>
        <w:rPr>
          <w:iCs/>
          <w:i/>
        </w:rPr>
        <w:t xml:space="preserve">bounds the bound</w:t>
      </w:r>
      <w:r>
        <w:t xml:space="preserve">: it supplies the checkpointing mechanism without which C3’s cost law is false for skewed workloads, and it is the one contribution here that an experiment produced rather than confirmed.</w:t>
      </w:r>
    </w:p>
    <w:p>
      <w:pPr>
        <w:pStyle w:val="BodyText"/>
      </w:pPr>
      <w:r>
        <w:t xml:space="preserve">Niles and Nilestream exist to make each claim falsifiable: the reconstruction theorem is attacked by the conservation suite under fault injection (S4), the cost theorems by the phase-diagram and history-scaling experiments (S2, S3), the optimizer by comparison against fixed policies and an offline optimum (S7), the generality claim by a corpus and an audited change log (S8), and everything by differential testing against the executable oracle. The theory is the contribution; Chapters 5–9 build and specify the test.</w:t>
      </w:r>
    </w:p>
    <w:bookmarkEnd w:id="90"/>
    <w:bookmarkEnd w:id="91"/>
    <w:bookmarkStart w:id="101" w:name="research-design-and-methodology"/>
    <w:p>
      <w:pPr>
        <w:pStyle w:val="Heading1"/>
      </w:pPr>
      <w:r>
        <w:t xml:space="preserve">5. Research Design and Methodology</w:t>
      </w:r>
    </w:p>
    <w:bookmarkStart w:id="92" w:name="general-research-type"/>
    <w:p>
      <w:pPr>
        <w:pStyle w:val="Heading2"/>
      </w:pPr>
      <w:r>
        <w:t xml:space="preserve">5.1 General Research Type</w:t>
      </w:r>
    </w:p>
    <w:p>
      <w:pPr>
        <w:pStyle w:val="FirstParagraph"/>
      </w:pPr>
      <w:r>
        <w:t xml:space="preserve">The research is</w:t>
      </w:r>
      <w:r>
        <w:t xml:space="preserve"> </w:t>
      </w:r>
      <w:r>
        <w:rPr>
          <w:bCs/>
          <w:b/>
        </w:rPr>
        <w:t xml:space="preserve">applied, quantitative, and experimental with a formal-deductive core</w:t>
      </w:r>
      <w:r>
        <w:t xml:space="preserve">. It is applied because the object of study is motivated by, and validated against, a concrete class of production workloads; quantitative because every system hypothesis is operationalized as measurable variables with declared units; and formal-deductive because the six contributions are theorems whose proofs precede and predict the measurements.</w:t>
      </w:r>
    </w:p>
    <w:p>
      <w:pPr>
        <w:pStyle w:val="BodyText"/>
      </w:pPr>
      <w:r>
        <w:t xml:space="preserve">The design is</w:t>
      </w:r>
      <w:r>
        <w:t xml:space="preserve"> </w:t>
      </w:r>
      <w:r>
        <w:rPr>
          <w:iCs/>
          <w:i/>
        </w:rPr>
        <w:t xml:space="preserve">theory-instrument</w:t>
      </w:r>
      <w:r>
        <w:t xml:space="preserve">: the theory makes point and shape predictions — a crossover band, a zero regression slope, a zero violation count, a competitive ratio within a bound — and the instrument exists to expose those predictions to refutation. Each hypothesis in Section 1.6 names its falsifier, which is the Popperian structure this thesis holds itself to. The instrument is a means; a negative result that is</w:t>
      </w:r>
      <w:r>
        <w:t xml:space="preserve"> </w:t>
      </w:r>
      <w:r>
        <w:rPr>
          <w:iCs/>
          <w:i/>
        </w:rPr>
        <w:t xml:space="preserve">legible</w:t>
      </w:r>
      <w:r>
        <w:t xml:space="preserve"> </w:t>
      </w:r>
      <w:r>
        <w:t xml:space="preserve">is a successful outcome of this design, and Chapter 9 pre-registers the templates that make it so.</w:t>
      </w:r>
    </w:p>
    <w:bookmarkEnd w:id="92"/>
    <w:bookmarkStart w:id="93" w:name="research-analysis-method"/>
    <w:p>
      <w:pPr>
        <w:pStyle w:val="Heading2"/>
      </w:pPr>
      <w:r>
        <w:t xml:space="preserve">5.2 Research Analysis Method</w:t>
      </w:r>
    </w:p>
    <w:p>
      <w:pPr>
        <w:pStyle w:val="FirstParagraph"/>
      </w:pPr>
      <w:r>
        <w:rPr>
          <w:bCs/>
          <w:b/>
        </w:rPr>
        <w:t xml:space="preserve">Hypothetico-deductive with differential baselines.</w:t>
      </w:r>
    </w:p>
    <w:p>
      <w:pPr>
        <w:pStyle w:val="BodyText"/>
      </w:pPr>
      <w:r>
        <w:t xml:space="preserve">For formal claims: deductive proof within the stated models — the LTS of Section 3.11, the cost model of Section 3.14, and the calculus λ_niles — with model-fidelity gaps tracked explicitly in Section 3.15 and attacked empirically rather than argued away.</w:t>
      </w:r>
    </w:p>
    <w:p>
      <w:pPr>
        <w:pStyle w:val="BodyText"/>
      </w:pPr>
      <w:r>
        <w:t xml:space="preserve">For empirical claims: controlled experiments sweeping the independent variables of Section 1.6, with control variables pinned and reported. Analysis uses descriptive statistics (median, p95/p99, interquartile range across at least five seeded runs), regression where the theory predicts a functional form (log–log slope for S3/F1), agreement bands where the theory predicts a region rather than a point (S2), and ratio-to-offline-optimum where an optimum is computable (S7).</w:t>
      </w:r>
    </w:p>
    <w:p>
      <w:pPr>
        <w:pStyle w:val="BodyText"/>
      </w:pPr>
      <w:r>
        <w:t xml:space="preserve">For correctness claims: differential comparison against the executable reference oracle 𝒪 (Section 3.11, Appendix F), which converts</w:t>
      </w:r>
      <w:r>
        <w:t xml:space="preserve"> </w:t>
      </w:r>
      <w:r>
        <w:t xml:space="preserve">“</w:t>
      </w:r>
      <w:r>
        <w:t xml:space="preserve">is it right</w:t>
      </w:r>
      <w:r>
        <w:t xml:space="preserve">”</w:t>
      </w:r>
      <w:r>
        <w:t xml:space="preserve"> </w:t>
      </w:r>
      <w:r>
        <w:t xml:space="preserve">into byte-for-byte comparison of every observable — balances at every rung’s anchor, bitemporal answers, chain digests, admission decisions, and lineage.</w:t>
      </w:r>
    </w:p>
    <w:p>
      <w:pPr>
        <w:pStyle w:val="BodyText"/>
      </w:pPr>
      <w:r>
        <w:t xml:space="preserve">Three analysis rules are fixed in advance to protect against researcher degrees of freedom. (i) Templates — axes, units, baselines, and the predicted direction with its theoretical source — are frozen before runs; deviations are reported as findings, not smoothed. (ii) Any figure quoted from the literature carries its original context, and vendor performance claims without published methodology are named as such and never used as baselines. (iii) Negative space is reported: where partiality loses, where the optimizer is beaten by a fixed policy, and where the theory’s constants are loose.</w:t>
      </w:r>
    </w:p>
    <w:bookmarkEnd w:id="93"/>
    <w:bookmarkStart w:id="94" w:name="methodology-type"/>
    <w:p>
      <w:pPr>
        <w:pStyle w:val="Heading2"/>
      </w:pPr>
      <w:r>
        <w:t xml:space="preserve">5.3 Methodology Type</w:t>
      </w:r>
    </w:p>
    <w:p>
      <w:pPr>
        <w:pStyle w:val="FirstParagraph"/>
      </w:pPr>
      <w:r>
        <w:rPr>
          <w:bCs/>
          <w:b/>
        </w:rPr>
        <w:t xml:space="preserve">Design science</w:t>
      </w:r>
      <w:r>
        <w:t xml:space="preserve">, iterated through the phased program of Chapter 8: each phase builds an artifact increment, evaluates it against pre-registered kill criteria, and feeds the result back into the theory — a failed prediction narrows a theorem’s model or kills a design branch. The methodology is also</w:t>
      </w:r>
      <w:r>
        <w:t xml:space="preserve"> </w:t>
      </w:r>
      <w:r>
        <w:rPr>
          <w:bCs/>
          <w:b/>
        </w:rPr>
        <w:t xml:space="preserve">constructive</w:t>
      </w:r>
      <w:r>
        <w:t xml:space="preserve">: for upper bounds, language claims and generality results, the proof is an exhibited algorithm, typing derivation or translation, not an existence argument.</w:t>
      </w:r>
    </w:p>
    <w:bookmarkEnd w:id="94"/>
    <w:bookmarkStart w:id="95" w:name="analysis-model"/>
    <w:p>
      <w:pPr>
        <w:pStyle w:val="Heading2"/>
      </w:pPr>
      <w:r>
        <w:t xml:space="preserve">5.4 Analysis Model</w:t>
      </w:r>
    </w:p>
    <w:p>
      <w:pPr>
        <w:pStyle w:val="FirstParagraph"/>
      </w:pPr>
      <w:r>
        <w:t xml:space="preserve">Three layers, matched to the three kinds of claim, and every result in Chapter 9 is tagged with its layer.</w:t>
      </w:r>
    </w:p>
    <w:p>
      <w:pPr>
        <w:pStyle w:val="BodyText"/>
      </w:pPr>
      <w:r>
        <w:rPr>
          <w:bCs/>
          <w:b/>
        </w:rPr>
        <w:t xml:space="preserve">Formal layer.</w:t>
      </w:r>
      <w:r>
        <w:t xml:space="preserve"> </w:t>
      </w:r>
      <w:r>
        <w:t xml:space="preserve">The LTS, the cost model, λ_niles, the mode lattice. Claims are theorems; the threat is model realism, addressed by the verification-status table (Section 3.15) and by mechanization as declared future work.</w:t>
      </w:r>
    </w:p>
    <w:p>
      <w:pPr>
        <w:pStyle w:val="BodyText"/>
      </w:pPr>
      <w:r>
        <w:rPr>
          <w:bCs/>
          <w:b/>
        </w:rPr>
        <w:t xml:space="preserve">Systems layer.</w:t>
      </w:r>
      <w:r>
        <w:t xml:space="preserve"> </w:t>
      </w:r>
      <w:r>
        <w:t xml:space="preserve">The running engine under the benchmark harness. Claims are performance and resource curves; the threats are measurement and configuration, addressed by pinned configurations, seeded runs, and reproducibility tooling.</w:t>
      </w:r>
    </w:p>
    <w:p>
      <w:pPr>
        <w:pStyle w:val="BodyText"/>
      </w:pPr>
      <w:r>
        <w:rPr>
          <w:bCs/>
          <w:b/>
        </w:rPr>
        <w:t xml:space="preserve">Program layer.</w:t>
      </w:r>
      <w:r>
        <w:t xml:space="preserve"> </w:t>
      </w:r>
      <w:r>
        <w:t xml:space="preserve">The corpus of Niles programs — the banking library, benchmark transactions, non-financial domain libraries, ported SQL, and deliberately ill-typed mutants. Claims are compile-time acceptance or rejection and runtime invariant preservation; the threat is corpus representativeness, addressed by including third-party-derived workloads and by publishing the corpus.</w:t>
      </w:r>
    </w:p>
    <w:bookmarkEnd w:id="95"/>
    <w:bookmarkStart w:id="96" w:name="technique-and-instrument"/>
    <w:p>
      <w:pPr>
        <w:pStyle w:val="Heading2"/>
      </w:pPr>
      <w:r>
        <w:t xml:space="preserve">5.5 Technique and Instrument</w:t>
      </w:r>
    </w:p>
    <w:p>
      <w:pPr>
        <w:pStyle w:val="FirstParagraph"/>
      </w:pPr>
      <w:r>
        <w:rPr>
          <w:bCs/>
          <w:b/>
        </w:rPr>
        <w:t xml:space="preserve">Techniques.</w:t>
      </w:r>
      <w:r>
        <w:t xml:space="preserve"> </w:t>
      </w:r>
      <w:r>
        <w:t xml:space="preserve">Microbenchmarking (the ledger floor); macrobenchmarking (the core-banking workload); property-based testing of algebra laws; fault injection (crash, eviction storm, duplicate and reordered delivery, recovery mid-upquery); differential testing against 𝒪; exhaustive-interleaving model checking of the two lock disciplines identified in Section 3.17; static analysis of the corpus by the Niles compiler itself; and offline optimality computation by dynamic programming over recorded traces for S7.</w:t>
      </w:r>
    </w:p>
    <w:p>
      <w:pPr>
        <w:pStyle w:val="BodyText"/>
      </w:pPr>
      <w:r>
        <w:rPr>
          <w:bCs/>
          <w:b/>
        </w:rPr>
        <w:t xml:space="preserve">Instruments.</w:t>
      </w:r>
      <w:r>
        <w:t xml:space="preserve"> </w:t>
      </w:r>
      <w:r>
        <w:t xml:space="preserve">The benchmark harness with seeded generators (Appendix G); operating-system and process counters (resident set size, CPU time) alongside engine-internal counters (upquery rate, hit rate, applied-frontier lag, mode transitions, reconstruction latency distribution) exported through the observability surface (Appendix D); monotonic timers with reported resolution; the conservation checker of Appendix F as the invariant instrument; and the lineage subsystem as the traceability instrument. All instruments, configurations and seeds ship with the artifact.</w:t>
      </w:r>
    </w:p>
    <w:p>
      <w:pPr>
        <w:pStyle w:val="BodyText"/>
      </w:pPr>
      <w:r>
        <w:rPr>
          <w:bCs/>
          <w:b/>
        </w:rPr>
        <w:t xml:space="preserve">Instrumentation of the delayed-hit parameter.</w:t>
      </w:r>
      <w:r>
        <w:t xml:space="preserve"> </w:t>
      </w:r>
      <w:r>
        <w:t xml:space="preserve">Because Z — reconstruction time divided by mean inter-arrival time for a key range — is the decisive parameter in Theorem 4.2 and in the optimizer’s eviction rule, it is measured directly rather than inferred: the runtime records reconstruction service times per range and arrival intervals per range, and Z is reported alongside every phase-diagram point. An experiment that reports a crossover without reporting Z is not interpretable.</w:t>
      </w:r>
    </w:p>
    <w:bookmarkEnd w:id="96"/>
    <w:bookmarkStart w:id="97" w:name="sample-description"/>
    <w:p>
      <w:pPr>
        <w:pStyle w:val="Heading2"/>
      </w:pPr>
      <w:r>
        <w:t xml:space="preserve">5.6 Sample Description</w:t>
      </w:r>
    </w:p>
    <w:p>
      <w:pPr>
        <w:pStyle w:val="FirstParagraph"/>
      </w:pPr>
      <w:r>
        <w:t xml:space="preserve">Three populations.</w:t>
      </w:r>
    </w:p>
    <w:p>
      <w:pPr>
        <w:pStyle w:val="BodyText"/>
      </w:pPr>
      <w:r>
        <w:rPr>
          <w:bCs/>
          <w:b/>
        </w:rPr>
        <w:t xml:space="preserve">Workloads.</w:t>
      </w:r>
      <w:r>
        <w:t xml:space="preserve"> </w:t>
      </w:r>
      <w:r>
        <w:t xml:space="preserve">Synthetic core-banking histories with controlled parameters: account populations spanning several orders of magnitude; Zipf α swept across the empirically attested range — deliberately including the flat end (α ≈ 0.55–0.7, as reported for Meta’s SocialGraph and CDN workloads) and not only the skewed end (α ≈ 1–2.5, as reported for Twitter’s in-memory caches) — read/write mixes including write-heavy configurations, since more than a third of the Twitter clusters studied were write-heavy; and event volumes spanning several orders of magnitude for the history-scaling experiment. Product-mix scenarios cover the portfolio of Section 6.21.</w:t>
      </w:r>
    </w:p>
    <w:p>
      <w:pPr>
        <w:pStyle w:val="BodyText"/>
      </w:pPr>
      <w:r>
        <w:t xml:space="preserve">Synthetic-with-published-shape is a deliberate choice with a declared cost: real banking data is unobtainable for legal reasons, so the generator’s realism assumptions are a threat to validity (Section 9.8), mitigated by sweeping the parameters rather than fixing them, by publishing the generator, and by sensitivity analysis on mix weights. An industrial-trace partnership is named in Chapter 12 as the remedy this design cannot supply.</w:t>
      </w:r>
    </w:p>
    <w:p>
      <w:pPr>
        <w:pStyle w:val="BodyText"/>
      </w:pPr>
      <w:r>
        <w:rPr>
          <w:bCs/>
          <w:b/>
        </w:rPr>
        <w:t xml:space="preserve">Programs.</w:t>
      </w:r>
      <w:r>
        <w:t xml:space="preserve"> </w:t>
      </w:r>
      <w:r>
        <w:t xml:space="preserve">The Niles banking library; the benchmark’s transaction set; deliberately ill-typed mutants for the negative half of S4 and S6; non-financial domain libraries for S8; and SQL programs ported to both surfaces for the translation tests of C6.</w:t>
      </w:r>
    </w:p>
    <w:p>
      <w:pPr>
        <w:pStyle w:val="BodyText"/>
      </w:pPr>
      <w:r>
        <w:rPr>
          <w:bCs/>
          <w:b/>
        </w:rPr>
        <w:t xml:space="preserve">Baselines.</w:t>
      </w:r>
      <w:r>
        <w:t xml:space="preserve"> </w:t>
      </w:r>
      <w:r>
        <w:t xml:space="preserve">PostgreSQL and MySQL with balances maintained by triggers plus materialized tables (the industry-default shape); an IVM engine of the Materialize/Feldera class consuming the same event stream with</w:t>
      </w:r>
      <w:r>
        <w:t xml:space="preserve"> </w:t>
      </w:r>
      <w:r>
        <w:rPr>
          <w:iCs/>
          <w:i/>
        </w:rPr>
        <w:t xml:space="preserve">total</w:t>
      </w:r>
      <w:r>
        <w:t xml:space="preserve"> </w:t>
      </w:r>
      <w:r>
        <w:t xml:space="preserve">materialization, which isolates partiality as the variable; Nilestream-NoAnchor, an in-tree ablation with versioning and anchoring disabled, which prices this thesis’s own machinery; and a purpose-built ledger for the write-path floor. Selection rationale, fairness notes, and the exact question each baseline answers are in Section 9.1.</w:t>
      </w:r>
    </w:p>
    <w:bookmarkEnd w:id="97"/>
    <w:bookmarkStart w:id="98" w:name="method-for-the-foundational-hypotheses"/>
    <w:p>
      <w:pPr>
        <w:pStyle w:val="Heading2"/>
      </w:pPr>
      <w:r>
        <w:t xml:space="preserve">5.7 Method for the Foundational Hypotheses</w:t>
      </w:r>
    </w:p>
    <w:p>
      <w:pPr>
        <w:pStyle w:val="FirstParagraph"/>
      </w:pPr>
      <w:r>
        <w:t xml:space="preserve">F1–F4 are not benchmarked into truth; each has the method declared in Section 1.6.1, executed as follows.</w:t>
      </w:r>
    </w:p>
    <w:p>
      <w:pPr>
        <w:pStyle w:val="BodyText"/>
      </w:pPr>
      <w:r>
        <w:rPr>
          <w:bCs/>
          <w:b/>
        </w:rPr>
        <w:t xml:space="preserve">F2 and F4 are discharged in the formal layer</w:t>
      </w:r>
      <w:r>
        <w:t xml:space="preserve"> </w:t>
      </w:r>
      <w:r>
        <w:t xml:space="preserve">and mirrored executably. The duality theorem and the information-asymmetry lemma (Section 3.16) are proved within DBSP’s algebra; the reconstruction-equivalence theorem is proved in Section 4.2. Both are mirrored as property-based tests — I∘D round-trips over generated histories, and evict/reconstruct round-trips over random schedules compared as canonical Z-sets at every epoch — so that the implementation is checked against the same laws the proofs use. A red property test reopens the hypothesis.</w:t>
      </w:r>
    </w:p>
    <w:p>
      <w:pPr>
        <w:pStyle w:val="BodyText"/>
      </w:pPr>
      <w:r>
        <w:rPr>
          <w:bCs/>
          <w:b/>
        </w:rPr>
        <w:t xml:space="preserve">F1 and F3 are argumentative with empirical companions.</w:t>
      </w:r>
      <w:r>
        <w:t xml:space="preserve"> </w:t>
      </w:r>
      <w:r>
        <w:t xml:space="preserve">F1’s companion is the long-horizon run, shared with S3: both paradigms run against a live-generating source with the query set, hardware and skew held fixed, and per-answer compute cost and resident memory are regressed on accumulated input. The prediction is a non-zero slope for the finite-first stack and a slope indistinguishable from zero for the stream-first one; the falsifier is a zero slope for the finite-first stack. F3’s companion is the architectural audit of Section 9.7, whose counting rules — what constitutes a component, what counts as a line of consistency glue, and what taxonomy defines an anomaly class — are fixed and published before any measurement.</w:t>
      </w:r>
    </w:p>
    <w:p>
      <w:pPr>
        <w:pStyle w:val="BodyText"/>
      </w:pPr>
      <w:r>
        <w:rPr>
          <w:bCs/>
          <w:b/>
        </w:rPr>
        <w:t xml:space="preserve">Honesty about what these experiments can establish.</w:t>
      </w:r>
      <w:r>
        <w:t xml:space="preserve"> </w:t>
      </w:r>
      <w:r>
        <w:t xml:space="preserve">F1 and F3 are positions about design, and no experiment proves a position. What the companions can do is show that the position’s</w:t>
      </w:r>
      <w:r>
        <w:t xml:space="preserve"> </w:t>
      </w:r>
      <w:r>
        <w:rPr>
          <w:iCs/>
          <w:i/>
        </w:rPr>
        <w:t xml:space="preserve">measurable consequences</w:t>
      </w:r>
      <w:r>
        <w:t xml:space="preserve"> </w:t>
      </w:r>
      <w:r>
        <w:t xml:space="preserve">hold, and expose it if they do not. The thesis claims exactly that, and Section 9.9 states the verdict protocol accordingly.</w:t>
      </w:r>
    </w:p>
    <w:bookmarkEnd w:id="98"/>
    <w:bookmarkStart w:id="99" w:name="X03f28911d2673400cd3bd38ba7c39ad1c588b57"/>
    <w:p>
      <w:pPr>
        <w:pStyle w:val="Heading2"/>
      </w:pPr>
      <w:r>
        <w:t xml:space="preserve">5.8 Method for the Memory-Model and Immutability Findings</w:t>
      </w:r>
    </w:p>
    <w:p>
      <w:pPr>
        <w:pStyle w:val="FirstParagraph"/>
      </w:pPr>
      <w:r>
        <w:t xml:space="preserve">The claims of Sections 3.17 and 6.11 — that sealed data is race-free by construction and that the residual concurrency surface is two structures — are validated in three layers.</w:t>
      </w:r>
    </w:p>
    <w:p>
      <w:pPr>
        <w:pStyle w:val="BodyText"/>
      </w:pPr>
      <w:r>
        <w:rPr>
          <w:bCs/>
          <w:b/>
        </w:rPr>
        <w:t xml:space="preserve">By construction.</w:t>
      </w:r>
      <w:r>
        <w:t xml:space="preserve"> </w:t>
      </w:r>
      <w:r>
        <w:t xml:space="preserve">The implementation encodes immutability in types: sealed epochs are immutable values reachable only through shared references, and no mutable reference to prefix data exists in the type surface, so the compiler discharges the bulk of the claim. The formal warrant for taking that seriously is RustBelt’s machine-checked result that well-typed programs in the λRust model exhibit no undefined behaviour, data races or memory-safety violations, with the central invariant that aliasing and mutation cannot occur simultaneously on a location — including for library types that use</w:t>
      </w:r>
      <w:r>
        <w:t xml:space="preserve"> </w:t>
      </w:r>
      <w:r>
        <w:rPr>
          <w:rStyle w:val="VerbatimChar"/>
        </w:rPr>
        <w:t xml:space="preserve">unsafe</w:t>
      </w:r>
      <w:r>
        <w:t xml:space="preserve"> </w:t>
      </w:r>
      <w:r>
        <w:t xml:space="preserve">internally, provided they satisfy verifiable conditions [Jung et al., POPL ’18]. Every</w:t>
      </w:r>
      <w:r>
        <w:t xml:space="preserve"> </w:t>
      </w:r>
      <w:r>
        <w:rPr>
          <w:rStyle w:val="VerbatimChar"/>
        </w:rPr>
        <w:t xml:space="preserve">unsafe</w:t>
      </w:r>
      <w:r>
        <w:t xml:space="preserve"> </w:t>
      </w:r>
      <w:r>
        <w:t xml:space="preserve">block in Nilestream is therefore inventoried with the obligation it must discharge, and the inventory is published.</w:t>
      </w:r>
    </w:p>
    <w:p>
      <w:pPr>
        <w:pStyle w:val="BodyText"/>
      </w:pPr>
      <w:r>
        <w:rPr>
          <w:bCs/>
          <w:b/>
        </w:rPr>
        <w:t xml:space="preserve">By model checking.</w:t>
      </w:r>
      <w:r>
        <w:t xml:space="preserve"> </w:t>
      </w:r>
      <w:r>
        <w:t xml:space="preserve">The admission-queue and resident-map disciplines are extracted into models checked exhaustively over interleavings within the tool’s bounds, with state-space coverage reported.</w:t>
      </w:r>
    </w:p>
    <w:p>
      <w:pPr>
        <w:pStyle w:val="BodyText"/>
      </w:pPr>
      <w:r>
        <w:rPr>
          <w:bCs/>
          <w:b/>
        </w:rPr>
        <w:t xml:space="preserve">By dynamic verification.</w:t>
      </w:r>
      <w:r>
        <w:t xml:space="preserve"> </w:t>
      </w:r>
      <w:r>
        <w:t xml:space="preserve">Sanitizer and interpreter runs over the concurrency suite, plus crash-recovery fault injection verifying that recovery re-derives frontiers exactly and that rebuilt views match the oracle byte-for-byte — recovery being, by Theorem 4.1, simply a large eviction.</w:t>
      </w:r>
    </w:p>
    <w:p>
      <w:pPr>
        <w:pStyle w:val="BodyText"/>
      </w:pPr>
      <w:r>
        <w:rPr>
          <w:bCs/>
          <w:b/>
        </w:rPr>
        <w:t xml:space="preserve">Acceptance criterion.</w:t>
      </w:r>
      <w:r>
        <w:t xml:space="preserve"> </w:t>
      </w:r>
      <w:r>
        <w:t xml:space="preserve">Zero races reported at all three layers, and every</w:t>
      </w:r>
      <w:r>
        <w:t xml:space="preserve"> </w:t>
      </w:r>
      <w:r>
        <w:rPr>
          <w:rStyle w:val="VerbatimChar"/>
        </w:rPr>
        <w:t xml:space="preserve">unsafe</w:t>
      </w:r>
      <w:r>
        <w:t xml:space="preserve"> </w:t>
      </w:r>
      <w:r>
        <w:t xml:space="preserve">obligation either discharged by a written argument or eliminated. A partial result is reported as partial.</w:t>
      </w:r>
    </w:p>
    <w:bookmarkEnd w:id="99"/>
    <w:bookmarkStart w:id="100" w:name="reproducibility-and-pre-registration"/>
    <w:p>
      <w:pPr>
        <w:pStyle w:val="Heading2"/>
      </w:pPr>
      <w:r>
        <w:t xml:space="preserve">5.9 Reproducibility and Pre-Registration</w:t>
      </w:r>
    </w:p>
    <w:p>
      <w:pPr>
        <w:pStyle w:val="FirstParagraph"/>
      </w:pPr>
      <w:r>
        <w:t xml:space="preserve">Every figure in Chapter 9 is generated by a single command from the artifact: harness, seeds, configurations and analysis scripts are versioned together, raw measurement archives are published, and the build gate refuses to produce results from a dirty tree. Five seeded runs minimum per point; medians plotted, tails reported, dispersion shaded.</w:t>
      </w:r>
    </w:p>
    <w:p>
      <w:pPr>
        <w:pStyle w:val="BodyText"/>
      </w:pPr>
      <w:r>
        <w:t xml:space="preserve">Pre-registration is enforced mechanically rather than by intention: the experiment templates, including predicted directions and their theoretical sources, are committed to the repository</w:t>
      </w:r>
      <w:r>
        <w:t xml:space="preserve"> </w:t>
      </w:r>
      <w:r>
        <w:rPr>
          <w:iCs/>
          <w:i/>
        </w:rPr>
        <w:t xml:space="preserve">before</w:t>
      </w:r>
      <w:r>
        <w:t xml:space="preserve"> </w:t>
      </w:r>
      <w:r>
        <w:t xml:space="preserve">the corresponding measurement code can produce a figure, and the figure generator refuses to emit a plot for which no template exists. This is a small piece of engineering with a large methodological payoff — it makes the difference between a prediction and a postdiction auditable by a stranger reading the commit history.</w:t>
      </w:r>
    </w:p>
    <w:bookmarkEnd w:id="100"/>
    <w:bookmarkEnd w:id="101"/>
    <w:bookmarkStart w:id="132" w:name="X93fd33242ad64a2ff3e8b3cd925e0223c66bfae"/>
    <w:p>
      <w:pPr>
        <w:pStyle w:val="Heading1"/>
      </w:pPr>
      <w:r>
        <w:t xml:space="preserve">6. System Architecture and the Niles Language</w:t>
      </w:r>
    </w:p>
    <w:p>
      <w:pPr>
        <w:pStyle w:val="FirstParagraph"/>
      </w:pPr>
      <w:r>
        <w:t xml:space="preserve">This chapter describes the instrument: Nilestream’s architecture and the design of Niles. Normative references live in the appendices (B: syntax; C: compilation; D: engine and IR; E: self-hosting compiler; H: SQL-completeness dossier; I: optimizer algorithms). Implementation status is Chapter 7; nothing here should be read as a report of a completed system.</w:t>
      </w:r>
    </w:p>
    <w:bookmarkStart w:id="102" w:name="the-build-spine"/>
    <w:p>
      <w:pPr>
        <w:pStyle w:val="Heading2"/>
      </w:pPr>
      <w:r>
        <w:t xml:space="preserve">6.1 The Build Spine</w:t>
      </w:r>
    </w:p>
    <w:p>
      <w:pPr>
        <w:pStyle w:val="FirstParagraph"/>
      </w:pPr>
      <w:r>
        <w:t xml:space="preserve">The system is one spine with four segments, each consuming the previous segment’s output and nothing else.</w:t>
      </w:r>
    </w:p>
    <w:p>
      <w:pPr>
        <w:numPr>
          <w:ilvl w:val="0"/>
          <w:numId w:val="1009"/>
        </w:numPr>
        <w:pStyle w:val="Compact"/>
      </w:pPr>
      <w:r>
        <w:rPr>
          <w:bCs/>
          <w:b/>
        </w:rPr>
        <w:t xml:space="preserve">The ledger write path</w:t>
      </w:r>
      <w:r>
        <w:t xml:space="preserve"> </w:t>
      </w:r>
      <w:r>
        <w:t xml:space="preserve">— admission, validation against the commit rule, idempotency, authorization, sequencing, epoch sealing, hash chaining, durability.</w:t>
      </w:r>
    </w:p>
    <w:p>
      <w:pPr>
        <w:numPr>
          <w:ilvl w:val="0"/>
          <w:numId w:val="1009"/>
        </w:numPr>
        <w:pStyle w:val="Compact"/>
      </w:pPr>
      <w:r>
        <w:rPr>
          <w:bCs/>
          <w:b/>
        </w:rPr>
        <w:t xml:space="preserve">The typed intermediate representation</w:t>
      </w:r>
      <w:r>
        <w:t xml:space="preserve"> </w:t>
      </w:r>
      <w:r>
        <w:t xml:space="preserve">— a DBSP-style circuit language with anchors, effects, contracts and provenance in its types, and the</w:t>
      </w:r>
      <w:r>
        <w:t xml:space="preserve"> </w:t>
      </w:r>
      <w:r>
        <w:rPr>
          <w:iCs/>
          <w:i/>
        </w:rPr>
        <w:t xml:space="preserve">stable contract between the language and the engine</w:t>
      </w:r>
      <w:r>
        <w:t xml:space="preserve">.</w:t>
      </w:r>
    </w:p>
    <w:p>
      <w:pPr>
        <w:numPr>
          <w:ilvl w:val="0"/>
          <w:numId w:val="1009"/>
        </w:numPr>
        <w:pStyle w:val="Compact"/>
      </w:pPr>
      <w:r>
        <w:rPr>
          <w:bCs/>
          <w:b/>
        </w:rPr>
        <w:t xml:space="preserve">The read-model runtime (Nilestream-Core)</w:t>
      </w:r>
      <w:r>
        <w:t xml:space="preserve"> </w:t>
      </w:r>
      <w:r>
        <w:t xml:space="preserve">— REVs executing IR circuits with partial state, eviction, anchored upqueries, the materialization optimizer, and lineage.</w:t>
      </w:r>
    </w:p>
    <w:p>
      <w:pPr>
        <w:numPr>
          <w:ilvl w:val="0"/>
          <w:numId w:val="1009"/>
        </w:numPr>
        <w:pStyle w:val="Compact"/>
      </w:pPr>
      <w:r>
        <w:rPr>
          <w:bCs/>
          <w:b/>
        </w:rPr>
        <w:t xml:space="preserve">The serving edge</w:t>
      </w:r>
      <w:r>
        <w:t xml:space="preserve"> </w:t>
      </w:r>
      <w:r>
        <w:t xml:space="preserve">— the native Niles protocol plus MySQL and PostgreSQL wire compatibility.</w:t>
      </w:r>
    </w:p>
    <w:p>
      <w:pPr>
        <w:pStyle w:val="FirstParagraph"/>
      </w:pPr>
      <w:r>
        <w:t xml:space="preserve">The spine discipline is architectural law: the read side may consume only sealed epochs — never the open epoch, never another view’s internals except through declared IR edges. This is what makes Chapter 4’s proofs apply to the implementation as built rather than as idealized.</w:t>
      </w:r>
    </w:p>
    <w:p>
      <w:pPr>
        <w:pStyle w:val="BodyText"/>
      </w:pPr>
      <w:r>
        <w:t xml:space="preserve">The IR’s role deserves emphasis because it is a design commitment rather than a convenience. Putting a typed IR between surface and engine follows the progressive-lowering philosophy of modern compiler infrastructure, where high-level semantics are retained until an optimization no longer needs them and then lowered one level at a time [Lattner et al., CGO 2021]. Here the semantics that must survive lowering are exactly the ones the theorems quantify over: anchors, contracts, effects and provenance. An IR that erased them would leave the theorems talking about a different object than the one that runs.</w:t>
      </w:r>
    </w:p>
    <w:bookmarkEnd w:id="102"/>
    <w:bookmarkStart w:id="103" w:name="ledger-write-path-and-read-model-engine"/>
    <w:p>
      <w:pPr>
        <w:pStyle w:val="Heading2"/>
      </w:pPr>
      <w:r>
        <w:t xml:space="preserve">6.2 Ledger Write Path and Read-Model Engine</w:t>
      </w:r>
    </w:p>
    <w:p>
      <w:pPr>
        <w:pStyle w:val="FirstParagraph"/>
      </w:pPr>
      <w:r>
        <w:rPr>
          <w:bCs/>
          <w:b/>
        </w:rPr>
        <w:t xml:space="preserve">Write path.</w:t>
      </w:r>
      <w:r>
        <w:t xml:space="preserve"> </w:t>
      </w:r>
      <w:r>
        <w:t xml:space="preserve">Clients submit transactions natively or through the wire protocols. Admission checks the idempotency key against the declared deduplication window (Section 3.20), returning the recorded outcome on a matching repeat and a conflict error on a fingerprint mismatch. Validation type-checks against the schema and evaluates the commit rule — for a ledger, per-transaction per-currency balance in exact integer minor units, plus authorization capabilities for flagged effects. Sequencing folds validated transactions into the open epoch in one serial order. Sealing closes the epoch on the τ boundary or size bound, computes its hash, makes it durable, and publishes visibility. Everything after the seal is immutable.</w:t>
      </w:r>
    </w:p>
    <w:p>
      <w:pPr>
        <w:pStyle w:val="BodyText"/>
      </w:pPr>
      <w:r>
        <w:rPr>
          <w:bCs/>
          <w:b/>
        </w:rPr>
        <w:t xml:space="preserve">Read-model engine.</w:t>
      </w:r>
      <w:r>
        <w:t xml:space="preserve"> </w:t>
      </w:r>
      <w:r>
        <w:t xml:space="preserve">Each REV holds its resident map (keys at points of the absence lattice), a per-key anchor index, its compiled circuit with provenance-derived upquery paths, and its contract. Application advances resident keys incrementally through delta circuits. Reads follow the protocol of Section 3.13. Eviction and mode selection are the optimizer’s (Section 6.16). Lineage is emitted at the view’s declared mode.</w:t>
      </w:r>
    </w:p>
    <w:p>
      <w:pPr>
        <w:pStyle w:val="BodyText"/>
      </w:pPr>
      <w:r>
        <w:rPr>
          <w:bCs/>
          <w:b/>
        </w:rPr>
        <w:t xml:space="preserve">Why the two halves can be maximally different.</w:t>
      </w:r>
      <w:r>
        <w:t xml:space="preserve"> </w:t>
      </w:r>
      <w:r>
        <w:t xml:space="preserve">The write path is where coordination lives and is deliberately conservative; the read path is where economics live and is deliberately adaptive. This asymmetry is not a compromise between them but a consequence of Proposition 3.2: the invariants that require coordination are enforced at admission, and everything downstream inherits their truth without paying for it again.</w:t>
      </w:r>
    </w:p>
    <w:bookmarkEnd w:id="103"/>
    <w:bookmarkStart w:id="104" w:name="X367a1eaeb9a4d360fa528e195f031ddfbec6b4e"/>
    <w:p>
      <w:pPr>
        <w:pStyle w:val="Heading2"/>
      </w:pPr>
      <w:r>
        <w:t xml:space="preserve">6.3 Reasons to Build a Custom Runtime, and Where to Reuse</w:t>
      </w:r>
    </w:p>
    <w:p>
      <w:pPr>
        <w:pStyle w:val="FirstParagraph"/>
      </w:pPr>
      <w:r>
        <w:rPr>
          <w:bCs/>
          <w:b/>
        </w:rPr>
        <w:t xml:space="preserve">Build:</w:t>
      </w:r>
      <w:r>
        <w:t xml:space="preserve"> </w:t>
      </w:r>
      <w:r>
        <w:t xml:space="preserve">the epoch and anchor machinery (exists nowhere with these semantics); partial state with versioned holes (existing partial state is unversioned and eventually consistent); the ledger commit path (databases hide their logs, whereas here the log is the product); the IR (the proofs need its semantics pinned); the materialization optimizer (no existing optimizer decides under a consistency contract).</w:t>
      </w:r>
    </w:p>
    <w:p>
      <w:pPr>
        <w:pStyle w:val="BodyText"/>
      </w:pPr>
      <w:r>
        <w:rPr>
          <w:bCs/>
          <w:b/>
        </w:rPr>
        <w:t xml:space="preserve">Reuse:</w:t>
      </w:r>
      <w:r>
        <w:t xml:space="preserve"> </w:t>
      </w:r>
      <w:r>
        <w:t xml:space="preserve">established consensus implementations for the replicated profile rather than a bespoke protocol; standard cryptographic primitives, never hand-rolled; wire-protocol framing; an LSM library for cold view state (though</w:t>
      </w:r>
      <w:r>
        <w:t xml:space="preserve"> </w:t>
      </w:r>
      <w:r>
        <w:rPr>
          <w:iCs/>
          <w:i/>
        </w:rPr>
        <w:t xml:space="preserve">not</w:t>
      </w:r>
      <w:r>
        <w:t xml:space="preserve"> </w:t>
      </w:r>
      <w:r>
        <w:t xml:space="preserve">for the ledger itself, whose compaction would rewrite data the design declares immutable); and DBSP’s operator algebra as the formal and, where license-compatible, practical basis of the IR executor.</w:t>
      </w:r>
    </w:p>
    <w:p>
      <w:pPr>
        <w:pStyle w:val="BodyText"/>
      </w:pPr>
      <w:r>
        <w:t xml:space="preserve">The rule: reuse where semantics are commodity, build where the thesis’s claims live.</w:t>
      </w:r>
    </w:p>
    <w:bookmarkEnd w:id="104"/>
    <w:bookmarkStart w:id="105" w:name="durability-and-the-migration-boundary"/>
    <w:p>
      <w:pPr>
        <w:pStyle w:val="Heading2"/>
      </w:pPr>
      <w:r>
        <w:t xml:space="preserve">6.4 Durability and the Migration Boundary</w:t>
      </w:r>
    </w:p>
    <w:p>
      <w:pPr>
        <w:pStyle w:val="FirstParagraph"/>
      </w:pPr>
      <w:r>
        <w:t xml:space="preserve">An epoch is durable when its segment and hash are synchronized to the primary medium and, in replicated profiles, acknowledged by a quorum; visibility never exceeds durability. Storage is tiered — hot segments on fast local media, sealed history migrating to cold object storage — and the</w:t>
      </w:r>
      <w:r>
        <w:t xml:space="preserve"> </w:t>
      </w:r>
      <w:r>
        <w:rPr>
          <w:bCs/>
          <w:b/>
        </w:rPr>
        <w:t xml:space="preserve">migration boundary is semantic, not merely operational</w:t>
      </w:r>
      <w:r>
        <w:t xml:space="preserve">: bytes may move media, but identity is the hash chain, so a migrated prefix re-verifies on read and the audit guarantee survives storage evolution. This matters commercially as well as formally: immutable ledgers grow without bound, and published industrial experience is that ledger growth drives cold-storage offload as a primary cost concern.</w:t>
      </w:r>
    </w:p>
    <w:p>
      <w:pPr>
        <w:pStyle w:val="BodyText"/>
      </w:pPr>
      <w:r>
        <w:t xml:space="preserve">Recovery replays from the last durable epoch: frontiers are re-derived, resident maps restart empty (checkpoints are pure optimization, never trusted), and Theorem 4.1 guarantees rebuilt views are exact.</w:t>
      </w:r>
      <w:r>
        <w:t xml:space="preserve"> </w:t>
      </w:r>
      <w:r>
        <w:rPr>
          <w:bCs/>
          <w:b/>
        </w:rPr>
        <w:t xml:space="preserve">Recovery is a large eviction</w:t>
      </w:r>
      <w:r>
        <w:t xml:space="preserve"> </w:t>
      </w:r>
      <w:r>
        <w:t xml:space="preserve">— which is why the same property tests cover both.</w:t>
      </w:r>
    </w:p>
    <w:bookmarkEnd w:id="105"/>
    <w:bookmarkStart w:id="106" w:name="Xd6758789de5c9b58753522585bb493c32baffcd"/>
    <w:p>
      <w:pPr>
        <w:pStyle w:val="Heading2"/>
      </w:pPr>
      <w:r>
        <w:t xml:space="preserve">6.5 The General Core of Niles, and Coverage of Workload Classes</w:t>
      </w:r>
    </w:p>
    <w:p>
      <w:pPr>
        <w:pStyle w:val="FirstParagraph"/>
      </w:pPr>
      <w:r>
        <w:t xml:space="preserve">Niles is a general-purpose data language whose core is typed relations, expressions, functions and views over the relational algebra, with Rust-derived syntax for items and expressions and SQL vocabulary for query stages where Rust has no equivalent. A schema declares three kinds of object:</w:t>
      </w:r>
    </w:p>
    <w:p>
      <w:pPr>
        <w:pStyle w:val="SourceCode"/>
      </w:pPr>
      <w:r>
        <w:rPr>
          <w:rStyle w:val="VerbatimChar"/>
        </w:rPr>
        <w:t xml:space="preserve">schema bank {</w:t>
      </w:r>
      <w:r>
        <w:br/>
      </w:r>
      <w:r>
        <w:rPr>
          <w:rStyle w:val="VerbatimChar"/>
        </w:rPr>
        <w:t xml:space="preserve">    table customers { id: Id&lt;Customer&gt;, name: Text, opened: Date }</w:t>
      </w:r>
      <w:r>
        <w:br/>
      </w:r>
      <w:r>
        <w:br/>
      </w:r>
      <w:r>
        <w:rPr>
          <w:rStyle w:val="VerbatimChar"/>
        </w:rPr>
        <w:t xml:space="preserve">    ledger postings {</w:t>
      </w:r>
      <w:r>
        <w:br/>
      </w:r>
      <w:r>
        <w:rPr>
          <w:rStyle w:val="VerbatimChar"/>
        </w:rPr>
        <w:t xml:space="preserve">        txn: TxnId, acct: Id&lt;Account&gt;, cur: Currency, amt: Money,</w:t>
      </w:r>
      <w:r>
        <w:br/>
      </w:r>
      <w:r>
        <w:rPr>
          <w:rStyle w:val="VerbatimChar"/>
        </w:rPr>
        <w:t xml:space="preserve">        value_date: Date, idem: IdemKey,</w:t>
      </w:r>
      <w:r>
        <w:br/>
      </w:r>
      <w:r>
        <w:rPr>
          <w:rStyle w:val="VerbatimChar"/>
        </w:rPr>
        <w:t xml:space="preserve">        conserve per (txn, cur);</w:t>
      </w:r>
      <w:r>
        <w:br/>
      </w:r>
      <w:r>
        <w:rPr>
          <w:rStyle w:val="VerbatimChar"/>
        </w:rPr>
        <w:t xml:space="preserve">        retain forever;</w:t>
      </w:r>
      <w:r>
        <w:br/>
      </w:r>
      <w:r>
        <w:rPr>
          <w:rStyle w:val="VerbatimChar"/>
        </w:rPr>
        <w:t xml:space="preserve">    }</w:t>
      </w:r>
      <w:r>
        <w:br/>
      </w:r>
      <w:r>
        <w:br/>
      </w:r>
      <w:r>
        <w:rPr>
          <w:rStyle w:val="VerbatimChar"/>
        </w:rPr>
        <w:t xml:space="preserve">    view balances = postings</w:t>
      </w:r>
      <w:r>
        <w:br/>
      </w:r>
      <w:r>
        <w:rPr>
          <w:rStyle w:val="VerbatimChar"/>
        </w:rPr>
        <w:t xml:space="preserve">        .group_by(|p| (p.acct, p.cur))</w:t>
      </w:r>
      <w:r>
        <w:br/>
      </w:r>
      <w:r>
        <w:rPr>
          <w:rStyle w:val="VerbatimChar"/>
        </w:rPr>
        <w:t xml:space="preserve">        .sum(|p| p.amt)</w:t>
      </w:r>
      <w:r>
        <w:br/>
      </w:r>
      <w:r>
        <w:rPr>
          <w:rStyle w:val="VerbatimChar"/>
        </w:rPr>
        <w:t xml:space="preserve">        serve { consistency: bounded(2.epochs, 5.s), materialize: demand, retain: evictable };</w:t>
      </w:r>
      <w:r>
        <w:br/>
      </w:r>
      <w:r>
        <w:rPr>
          <w:rStyle w:val="VerbatimChar"/>
        </w:rPr>
        <w:t xml:space="preserve">}</w:t>
      </w:r>
    </w:p>
    <w:p>
      <w:pPr>
        <w:pStyle w:val="FirstParagraph"/>
      </w:pPr>
      <w:r>
        <w:rPr>
          <w:rStyle w:val="VerbatimChar"/>
        </w:rPr>
        <w:t xml:space="preserve">table</w:t>
      </w:r>
      <w:r>
        <w:t xml:space="preserve"> </w:t>
      </w:r>
      <w:r>
        <w:t xml:space="preserve">is ordinary relational data;</w:t>
      </w:r>
      <w:r>
        <w:t xml:space="preserve"> </w:t>
      </w:r>
      <w:r>
        <w:rPr>
          <w:rStyle w:val="VerbatimChar"/>
        </w:rPr>
        <w:t xml:space="preserve">ledger</w:t>
      </w:r>
      <w:r>
        <w:t xml:space="preserve"> </w:t>
      </w:r>
      <w:r>
        <w:t xml:space="preserve">is the authoritative append-only base with a commit rule;</w:t>
      </w:r>
      <w:r>
        <w:t xml:space="preserve"> </w:t>
      </w:r>
      <w:r>
        <w:rPr>
          <w:rStyle w:val="VerbatimChar"/>
        </w:rPr>
        <w:t xml:space="preserve">view</w:t>
      </w:r>
      <w:r>
        <w:t xml:space="preserve"> </w:t>
      </w:r>
      <w:r>
        <w:t xml:space="preserve">is a REV with a contract. Everything else — modules, generics, pattern matching,</w:t>
      </w:r>
      <w:r>
        <w:t xml:space="preserve"> </w:t>
      </w:r>
      <w:r>
        <w:rPr>
          <w:rStyle w:val="VerbatimChar"/>
        </w:rPr>
        <w:t xml:space="preserve">let</w:t>
      </w:r>
      <w:r>
        <w:t xml:space="preserve">,</w:t>
      </w:r>
      <w:r>
        <w:t xml:space="preserve"> </w:t>
      </w:r>
      <w:r>
        <w:rPr>
          <w:rStyle w:val="VerbatimChar"/>
        </w:rPr>
        <w:t xml:space="preserve">fn</w:t>
      </w:r>
      <w:r>
        <w:t xml:space="preserve"> </w:t>
      </w:r>
      <w:r>
        <w:t xml:space="preserve">— is Rust-shaped.</w:t>
      </w:r>
    </w:p>
    <w:p>
      <w:pPr>
        <w:pStyle w:val="BodyText"/>
      </w:pPr>
      <w:r>
        <w:rPr>
          <w:bCs/>
          <w:b/>
        </w:rPr>
        <w:t xml:space="preserve">Workload classes on one core.</w:t>
      </w:r>
      <w:r>
        <w:t xml:space="preserve"> </w:t>
      </w:r>
      <w:r>
        <w:t xml:space="preserve">The generality claim (S8, C6) is discharged by construction, and the constructions are these: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Class</w:t>
            </w:r>
          </w:p>
        </w:tc>
        <w:tc>
          <w:tcPr/>
          <w:p>
            <w:pPr>
              <w:pStyle w:val="Compact"/>
              <w:jc w:val="left"/>
            </w:pPr>
            <w:r>
              <w:t xml:space="preserve">Construction</w:t>
            </w:r>
          </w:p>
        </w:tc>
      </w:tr>
      <w:tr>
        <w:tc>
          <w:tcPr/>
          <w:p>
            <w:pPr>
              <w:pStyle w:val="Compact"/>
              <w:jc w:val="left"/>
            </w:pPr>
            <w:r>
              <w:rPr>
                <w:bCs/>
                <w:b/>
              </w:rPr>
              <w:t xml:space="preserve">OLTP</w:t>
            </w:r>
          </w:p>
        </w:tc>
        <w:tc>
          <w:tcPr/>
          <w:p>
            <w:pPr>
              <w:pStyle w:val="Compact"/>
              <w:jc w:val="left"/>
            </w:pPr>
            <w:r>
              <w:t xml:space="preserve">Committed writes to the base plus point-lookup REVs at ℓ₂–ℓ₅.</w:t>
            </w:r>
          </w:p>
        </w:tc>
      </w:tr>
      <w:tr>
        <w:tc>
          <w:tcPr/>
          <w:p>
            <w:pPr>
              <w:pStyle w:val="Compact"/>
              <w:jc w:val="left"/>
            </w:pPr>
            <w:r>
              <w:rPr>
                <w:bCs/>
                <w:b/>
              </w:rPr>
              <w:t xml:space="preserve">OLAP / HTAP</w:t>
            </w:r>
          </w:p>
        </w:tc>
        <w:tc>
          <w:tcPr/>
          <w:p>
            <w:pPr>
              <w:pStyle w:val="Compact"/>
              <w:jc w:val="left"/>
            </w:pPr>
            <w:r>
              <w:t xml:space="preserve">REVs whose circuits aggregate; the optimizer chooses column-shaped resident representations and</w:t>
            </w:r>
            <w:r>
              <w:t xml:space="preserve"> </w:t>
            </w:r>
            <w:r>
              <w:rPr>
                <w:rStyle w:val="VerbatimChar"/>
              </w:rPr>
              <w:t xml:space="preserve">full</w:t>
            </w:r>
            <w:r>
              <w:t xml:space="preserve"> </w:t>
            </w:r>
            <w:r>
              <w:t xml:space="preserve">or</w:t>
            </w:r>
            <w:r>
              <w:t xml:space="preserve"> </w:t>
            </w:r>
            <w:r>
              <w:rPr>
                <w:rStyle w:val="VerbatimChar"/>
              </w:rPr>
              <w:t xml:space="preserve">tiered</w:t>
            </w:r>
            <w:r>
              <w:t xml:space="preserve"> </w:t>
            </w:r>
            <w:r>
              <w:t xml:space="preserve">modes for wide scans. The row/column duality that HTAP systems obtain by dual formats over a mutable table is obtained here by multiple REVs over one immutable base — the same idea with a stronger correctness story.</w:t>
            </w:r>
          </w:p>
        </w:tc>
      </w:tr>
      <w:tr>
        <w:tc>
          <w:tcPr/>
          <w:p>
            <w:pPr>
              <w:pStyle w:val="Compact"/>
              <w:jc w:val="left"/>
            </w:pPr>
            <w:r>
              <w:rPr>
                <w:bCs/>
                <w:b/>
              </w:rPr>
              <w:t xml:space="preserve">Time-series</w:t>
            </w:r>
          </w:p>
        </w:tc>
        <w:tc>
          <w:tcPr/>
          <w:p>
            <w:pPr>
              <w:pStyle w:val="Compact"/>
              <w:jc w:val="left"/>
            </w:pPr>
            <w:r>
              <w:t xml:space="preserve">A REV over a base partitioned on the valid-time axis, with compressed resident representations; the published delta-of-delta and XOR schemes are the reference design for that compression.</w:t>
            </w:r>
          </w:p>
        </w:tc>
      </w:tr>
      <w:tr>
        <w:tc>
          <w:tcPr/>
          <w:p>
            <w:pPr>
              <w:pStyle w:val="Compact"/>
              <w:jc w:val="left"/>
            </w:pPr>
            <w:r>
              <w:rPr>
                <w:bCs/>
                <w:b/>
              </w:rPr>
              <w:t xml:space="preserve">Document</w:t>
            </w:r>
          </w:p>
        </w:tc>
        <w:tc>
          <w:tcPr/>
          <w:p>
            <w:pPr>
              <w:pStyle w:val="Compact"/>
              <w:jc w:val="left"/>
            </w:pPr>
            <w:r>
              <w:t xml:space="preserve">A typed semi-structured column with path-indexed resident state, following the decomposed-binary and tree-of-paths designs that production document stores use.</w:t>
            </w:r>
          </w:p>
        </w:tc>
      </w:tr>
      <w:tr>
        <w:tc>
          <w:tcPr/>
          <w:p>
            <w:pPr>
              <w:pStyle w:val="Compact"/>
              <w:jc w:val="left"/>
            </w:pPr>
            <w:r>
              <w:rPr>
                <w:bCs/>
                <w:b/>
              </w:rPr>
              <w:t xml:space="preserve">Graph</w:t>
            </w:r>
          </w:p>
        </w:tc>
        <w:tc>
          <w:tcPr/>
          <w:p>
            <w:pPr>
              <w:pStyle w:val="Compact"/>
              <w:jc w:val="left"/>
            </w:pPr>
            <w:r>
              <w:t xml:space="preserve">Guarded recursion over an edge base — the same fixpoint construct that gives Theorem 4.6(b) — with pattern syntax aligned to the standardized property-graph vocabulary.</w:t>
            </w:r>
          </w:p>
        </w:tc>
      </w:tr>
      <w:tr>
        <w:tc>
          <w:tcPr/>
          <w:p>
            <w:pPr>
              <w:pStyle w:val="Compact"/>
              <w:jc w:val="left"/>
            </w:pPr>
            <w:r>
              <w:rPr>
                <w:bCs/>
                <w:b/>
              </w:rPr>
              <w:t xml:space="preserve">Search</w:t>
            </w:r>
          </w:p>
        </w:tc>
        <w:tc>
          <w:tcPr/>
          <w:p>
            <w:pPr>
              <w:pStyle w:val="Compact"/>
              <w:jc w:val="left"/>
            </w:pPr>
            <w:r>
              <w:t xml:space="preserve">An inverted-index REV whose resident state is immutable segments with tombstones and background merging; that this architecture serves search is not a hypothesis but two decades of production evidence.</w:t>
            </w:r>
          </w:p>
        </w:tc>
      </w:tr>
    </w:tbl>
    <w:p>
      <w:pPr>
        <w:pStyle w:val="BodyText"/>
      </w:pPr>
      <w:r>
        <w:t xml:space="preserve">The point is not that one storage format serves everything — it does not — but that one</w:t>
      </w:r>
      <w:r>
        <w:t xml:space="preserve"> </w:t>
      </w:r>
      <w:r>
        <w:rPr>
          <w:iCs/>
          <w:i/>
        </w:rPr>
        <w:t xml:space="preserve">semantics</w:t>
      </w:r>
      <w:r>
        <w:t xml:space="preserve"> </w:t>
      </w:r>
      <w:r>
        <w:t xml:space="preserve">does. Format, layout and residency are the optimizer’s choices under Theorem 4.5(a), which proves them semantics-preserving.</w:t>
      </w:r>
    </w:p>
    <w:bookmarkEnd w:id="106"/>
    <w:bookmarkStart w:id="107" w:name="X8d0dac6d1b55306970023b2aaa707dbd8e1350f"/>
    <w:p>
      <w:pPr>
        <w:pStyle w:val="Heading2"/>
      </w:pPr>
      <w:r>
        <w:t xml:space="preserve">6.6 How Banking Was Made First-Class Without Making It Special</w:t>
      </w:r>
    </w:p>
    <w:p>
      <w:pPr>
        <w:pStyle w:val="FirstParagraph"/>
      </w:pPr>
      <w:r>
        <w:t xml:space="preserve">Banking is a library over the general core, not a fork of it. A standard module</w:t>
      </w:r>
      <w:r>
        <w:t xml:space="preserve"> </w:t>
      </w:r>
      <w:r>
        <w:rPr>
          <w:rStyle w:val="VerbatimChar"/>
        </w:rPr>
        <w:t xml:space="preserve">std::bank</w:t>
      </w:r>
      <w:r>
        <w:t xml:space="preserve"> </w:t>
      </w:r>
      <w:r>
        <w:t xml:space="preserve">defines accounts, postings, transactions,</w:t>
      </w:r>
      <w:r>
        <w:t xml:space="preserve"> </w:t>
      </w:r>
      <w:r>
        <w:rPr>
          <w:rStyle w:val="VerbatimChar"/>
        </w:rPr>
        <w:t xml:space="preserve">Money⟨cur, scale⟩</w:t>
      </w:r>
      <w:r>
        <w:t xml:space="preserve">, holds, authorization capabilities and the double-entry discipline, all expressed with type-system features available to any user library: currency-indexed types, linear halves, effect rows, and commit rules.</w:t>
      </w:r>
    </w:p>
    <w:p>
      <w:pPr>
        <w:pStyle w:val="BodyText"/>
      </w:pPr>
      <w:r>
        <w:t xml:space="preserve">The compiler knows nothing about money as such; it knows about indexed monoid rows, linear consumption and declared commit rules, and</w:t>
      </w:r>
      <w:r>
        <w:t xml:space="preserve"> </w:t>
      </w:r>
      <w:r>
        <w:rPr>
          <w:rStyle w:val="VerbatimChar"/>
        </w:rPr>
        <w:t xml:space="preserve">std::bank</w:t>
      </w:r>
      <w:r>
        <w:t xml:space="preserve"> </w:t>
      </w:r>
      <w:r>
        <w:t xml:space="preserve">instantiates them. This is the falsifiable sense of</w:t>
      </w:r>
      <w:r>
        <w:t xml:space="preserve"> </w:t>
      </w:r>
      <w:r>
        <w:t xml:space="preserve">“</w:t>
      </w:r>
      <w:r>
        <w:t xml:space="preserve">general core</w:t>
      </w:r>
      <w:r>
        <w:t xml:space="preserve">”</w:t>
      </w:r>
      <w:r>
        <w:t xml:space="preserve">: Section 9.11 builds a non-financial conservation domain — inventory with serial-number conservation — using the same features and no kernel changes, with the change log audited as the falsifier.</w:t>
      </w:r>
    </w:p>
    <w:bookmarkEnd w:id="107"/>
    <w:bookmarkStart w:id="108" w:name="balance-as-a-function-of-time"/>
    <w:p>
      <w:pPr>
        <w:pStyle w:val="Heading2"/>
      </w:pPr>
      <w:r>
        <w:t xml:space="preserve">6.7 Balance as a Function of Time</w:t>
      </w:r>
    </w:p>
    <w:p>
      <w:pPr>
        <w:pStyle w:val="FirstParagraph"/>
      </w:pPr>
      <w:r>
        <w:t xml:space="preserve">There is no stored balance anywhere.</w:t>
      </w:r>
      <w:r>
        <w:t xml:space="preserve"> </w:t>
      </w:r>
      <w:r>
        <w:rPr>
          <w:rStyle w:val="VerbatimChar"/>
        </w:rPr>
        <w:t xml:space="preserve">balance(acct, cur)</w:t>
      </w:r>
      <w:r>
        <w:t xml:space="preserve"> </w:t>
      </w:r>
      <w:r>
        <w:t xml:space="preserve">is a temporal signal — a function from epoch to</w:t>
      </w:r>
      <w:r>
        <w:t xml:space="preserve"> </w:t>
      </w:r>
      <w:r>
        <w:rPr>
          <w:rStyle w:val="VerbatimChar"/>
        </w:rPr>
        <w:t xml:space="preserve">Money⟨cur⟩</w:t>
      </w:r>
      <w:r>
        <w:t xml:space="preserve"> </w:t>
      </w:r>
      <w:r>
        <w:t xml:space="preserve">— defined as the running sum of the postings signal; available balance subtracts unresolved holds. Reads of</w:t>
      </w:r>
      <w:r>
        <w:t xml:space="preserve"> </w:t>
      </w:r>
      <w:r>
        <w:t xml:space="preserve">“</w:t>
      </w:r>
      <w:r>
        <w:t xml:space="preserve">the balance</w:t>
      </w:r>
      <w:r>
        <w:t xml:space="preserve">”</w:t>
      </w:r>
      <w:r>
        <w:t xml:space="preserve"> </w:t>
      </w:r>
      <w:r>
        <w:t xml:space="preserve">are reads of this signal at an anchor; statements are integrals over valid-time windows; interest accrual is an operator on the signal.</w:t>
      </w:r>
    </w:p>
    <w:p>
      <w:pPr>
        <w:pStyle w:val="BodyText"/>
      </w:pPr>
      <w:r>
        <w:t xml:space="preserve">This one decision eliminates the classic dual-write bug — a stored balance drifting from its postings — by making it</w:t>
      </w:r>
      <w:r>
        <w:t xml:space="preserve"> </w:t>
      </w:r>
      <w:r>
        <w:rPr>
          <w:iCs/>
          <w:i/>
        </w:rPr>
        <w:t xml:space="preserve">inexpressible</w:t>
      </w:r>
      <w:r>
        <w:t xml:space="preserve">, and it is what lets Corollary 4.1.1 apply to the thing institutions actually serve. It is also what makes the APSN hazard analyzable: the available and ledger balances are two REVs over one base, differing only in which rows their circuits admit, so their divergence is a property of contracts and anchors rather than an emergent mystery.</w:t>
      </w:r>
    </w:p>
    <w:bookmarkEnd w:id="108"/>
    <w:bookmarkStart w:id="109" w:name="the-temporal-signal-library"/>
    <w:p>
      <w:pPr>
        <w:pStyle w:val="Heading2"/>
      </w:pPr>
      <w:r>
        <w:t xml:space="preserve">6.8 The Temporal Signal Library</w:t>
      </w:r>
    </w:p>
    <w:p>
      <w:pPr>
        <w:pStyle w:val="FirstParagraph"/>
      </w:pPr>
      <w:r>
        <w:rPr>
          <w:rStyle w:val="VerbatimChar"/>
        </w:rPr>
        <w:t xml:space="preserve">std::temporal</w:t>
      </w:r>
      <w:r>
        <w:t xml:space="preserve"> </w:t>
      </w:r>
      <w:r>
        <w:t xml:space="preserve">generalizes the above: signals (epoch-indexed values), windows,</w:t>
      </w:r>
      <w:r>
        <w:t xml:space="preserve"> </w:t>
      </w:r>
      <w:r>
        <w:rPr>
          <w:rStyle w:val="VerbatimChar"/>
        </w:rPr>
        <w:t xml:space="preserve">as_of(epoch)</w:t>
      </w:r>
      <w:r>
        <w:t xml:space="preserve">, valid-time selection and intervals,</w:t>
      </w:r>
      <w:r>
        <w:t xml:space="preserve"> </w:t>
      </w:r>
      <w:r>
        <w:rPr>
          <w:rStyle w:val="VerbatimChar"/>
        </w:rPr>
        <w:t xml:space="preserve">latest</w:t>
      </w:r>
      <w:r>
        <w:t xml:space="preserve">, accrual and decay combinators, and bitemporal join forms. All are</w:t>
      </w:r>
      <w:r>
        <w:t xml:space="preserve"> </w:t>
      </w:r>
      <w:r>
        <w:rPr>
          <w:bCs/>
          <w:b/>
        </w:rPr>
        <w:t xml:space="preserve">epoch-deterministic</w:t>
      </w:r>
      <w:r>
        <w:t xml:space="preserve">: no wall-clock read occurs inside query evaluation, and</w:t>
      </w:r>
      <w:r>
        <w:t xml:space="preserve"> </w:t>
      </w:r>
      <w:r>
        <w:t xml:space="preserve">“</w:t>
      </w:r>
      <w:r>
        <w:t xml:space="preserve">now</w:t>
      </w:r>
      <w:r>
        <w:t xml:space="preserve">”</w:t>
      </w:r>
      <w:r>
        <w:t xml:space="preserve"> </w:t>
      </w:r>
      <w:r>
        <w:t xml:space="preserve">enters only as the anchor chosen by the contract. That restriction is what keeps reconstruction pure and cross-target execution deterministic, and it is enforced by the effect checker rather than by convention.</w:t>
      </w:r>
    </w:p>
    <w:bookmarkEnd w:id="109"/>
    <w:bookmarkStart w:id="110" w:name="X7e8bfb07fe47ebef35ad38ae0a3fab95a42a6b1"/>
    <w:p>
      <w:pPr>
        <w:pStyle w:val="Heading2"/>
      </w:pPr>
      <w:r>
        <w:t xml:space="preserve">6.9 Three Surfaces, One Intermediate Representation</w:t>
      </w:r>
    </w:p>
    <w:p>
      <w:pPr>
        <w:pStyle w:val="FirstParagraph"/>
      </w:pPr>
      <w:r>
        <w:t xml:space="preserve">Niles native, the SQL surface, and the imperative Rust-shaped sublanguage all lower into one typed IR. The equivalence obligation is stated as a theorem and tested as a build gate: an SQL query in the stated fragment and its Niles counterpart lower to α-equivalent circuits (Theorem 4.6(c), Appendix H). The IR, not any surface, is what the theorems and the runtime interpret.</w:t>
      </w:r>
    </w:p>
    <w:p>
      <w:pPr>
        <w:pStyle w:val="BodyText"/>
      </w:pPr>
      <w:r>
        <w:t xml:space="preserve">Embedded APIs — language bindings that construct IR directly — are a fourth surface with the same status: they are checked by the IR verifier on submission, so an embedding cannot smuggle in a circuit the type system would reject.</w:t>
      </w:r>
    </w:p>
    <w:bookmarkEnd w:id="110"/>
    <w:bookmarkStart w:id="115" w:name="the-language-creation-gate"/>
    <w:p>
      <w:pPr>
        <w:pStyle w:val="Heading2"/>
      </w:pPr>
      <w:r>
        <w:t xml:space="preserve">6.10 The Language-Creation Gate</w:t>
      </w:r>
    </w:p>
    <w:p>
      <w:pPr>
        <w:pStyle w:val="FirstParagraph"/>
      </w:pPr>
      <w:r>
        <w:t xml:space="preserve">Creating a language is expensive, and the thesis states the gate it had to pass. A new language is justified only if:</w:t>
      </w:r>
      <w:r>
        <w:t xml:space="preserve"> </w:t>
      </w:r>
      <w:r>
        <w:rPr>
          <w:bCs/>
          <w:b/>
        </w:rPr>
        <w:t xml:space="preserve">(G1)</w:t>
      </w:r>
      <w:r>
        <w:t xml:space="preserve"> </w:t>
      </w:r>
      <w:r>
        <w:t xml:space="preserve">the required semantics cannot be expressed as a library in an existing language;</w:t>
      </w:r>
      <w:r>
        <w:t xml:space="preserve"> </w:t>
      </w:r>
      <w:r>
        <w:rPr>
          <w:bCs/>
          <w:b/>
        </w:rPr>
        <w:t xml:space="preserve">(G2)</w:t>
      </w:r>
      <w:r>
        <w:t xml:space="preserve"> </w:t>
      </w:r>
      <w:r>
        <w:t xml:space="preserve">they cannot be added to SQL without semantic dishonesty; and</w:t>
      </w:r>
      <w:r>
        <w:t xml:space="preserve"> </w:t>
      </w:r>
      <w:r>
        <w:rPr>
          <w:bCs/>
          <w:b/>
        </w:rPr>
        <w:t xml:space="preserve">(G3)</w:t>
      </w:r>
      <w:r>
        <w:t xml:space="preserve"> </w:t>
      </w:r>
      <w:r>
        <w:t xml:space="preserve">the type-level guarantees are load-bearing for the scientific claims.</w:t>
      </w:r>
    </w:p>
    <w:p>
      <w:pPr>
        <w:pStyle w:val="BodyText"/>
      </w:pPr>
      <w:r>
        <w:rPr>
          <w:bCs/>
          <w:b/>
        </w:rPr>
        <w:t xml:space="preserve">G1.</w:t>
      </w:r>
      <w:r>
        <w:t xml:space="preserve"> </w:t>
      </w:r>
      <w:r>
        <w:t xml:space="preserve">Linear posting halves, effect rows for consistency, and compile-time currency rows require machinery a general-purpose host language’s trait system can partially emulate but not enforce completely or ergonomically — affine approximation instead of linearity, no effect system, and diagnostics that surface as solver artifacts rather than domain errors.</w:t>
      </w:r>
    </w:p>
    <w:p>
      <w:pPr>
        <w:pStyle w:val="BodyText"/>
      </w:pPr>
      <w:r>
        <w:rPr>
          <w:bCs/>
          <w:b/>
        </w:rPr>
        <w:t xml:space="preserve">G2.</w:t>
      </w:r>
      <w:r>
        <w:t xml:space="preserve"> </w:t>
      </w:r>
      <w:r>
        <w:t xml:space="preserve">SQL has no effects, no linearity and no anchors; dialect pragmas would be unchecked comments. This is where the strongest opposing position must be met rather than avoided.</w:t>
      </w:r>
      <w:r>
        <w:t xml:space="preserve"> </w:t>
      </w:r>
      <w:r>
        <w:t xml:space="preserve">“</w:t>
      </w:r>
      <w:r>
        <w:t xml:space="preserve">One SQL to Rule Them All</w:t>
      </w:r>
      <w:r>
        <w:t xml:space="preserve">”</w:t>
      </w:r>
      <w:r>
        <w:t xml:space="preserve"> </w:t>
      </w:r>
      <w:r>
        <w:t xml:space="preserve">argues that streaming needs only three additions to standard SQL — time-varying relations as the foundational abstraction, event-time semantics with watermarks, and a small set of keywords controlling materialization of results [Begoli et al., SIGMOD ’19]. The argument is good, and this thesis concedes the part that is right: for</w:t>
      </w:r>
      <w:r>
        <w:t xml:space="preserve"> </w:t>
      </w:r>
      <w:r>
        <w:rPr>
          <w:iCs/>
          <w:i/>
        </w:rPr>
        <w:t xml:space="preserve">streaming semantics alone</w:t>
      </w:r>
      <w:r>
        <w:t xml:space="preserve">, SQL plus those three extensions is sufficient, and Niles’s query core is deliberately isomorphic to that position. The disagreement is about the other axis. Conservation, currency safety, idempotency windows, retention, confidentiality and per-view consistency are</w:t>
      </w:r>
      <w:r>
        <w:t xml:space="preserve"> </w:t>
      </w:r>
      <w:r>
        <w:rPr>
          <w:iCs/>
          <w:i/>
        </w:rPr>
        <w:t xml:space="preserve">type</w:t>
      </w:r>
      <w:r>
        <w:t xml:space="preserve"> </w:t>
      </w:r>
      <w:r>
        <w:t xml:space="preserve">obligations, not query semantics, and there is no way to add a type-and-effect discipline to SQL’s grammar without changing what a well-formed program is — at which point one has a new language and should say so. The honest formulation of the gate is therefore: SQL can be extended to say</w:t>
      </w:r>
      <w:r>
        <w:t xml:space="preserve"> </w:t>
      </w:r>
      <w:r>
        <w:rPr>
          <w:iCs/>
          <w:i/>
        </w:rPr>
        <w:t xml:space="preserve">what to compute over streams</w:t>
      </w:r>
      <w:r>
        <w:t xml:space="preserve">; it cannot be extended to</w:t>
      </w:r>
      <w:r>
        <w:t xml:space="preserve"> </w:t>
      </w:r>
      <w:r>
        <w:rPr>
          <w:iCs/>
          <w:i/>
        </w:rPr>
        <w:t xml:space="preserve">refuse programs that would lose money</w:t>
      </w:r>
      <w:r>
        <w:t xml:space="preserve">.</w:t>
      </w:r>
    </w:p>
    <w:p>
      <w:pPr>
        <w:pStyle w:val="BodyText"/>
      </w:pPr>
      <w:r>
        <w:rPr>
          <w:bCs/>
          <w:b/>
        </w:rPr>
        <w:t xml:space="preserve">G3.</w:t>
      </w:r>
      <w:r>
        <w:t xml:space="preserve"> </w:t>
      </w:r>
      <w:r>
        <w:t xml:space="preserve">Theorem 4.4 quantifies over well-typed programs. The type system is the theorem’s premise, not its packaging.</w:t>
      </w:r>
    </w:p>
    <w:bookmarkStart w:id="111" w:name="X489bd38c510c969952b6ac3b2c132135034ab6a"/>
    <w:p>
      <w:pPr>
        <w:pStyle w:val="Heading3"/>
      </w:pPr>
      <w:r>
        <w:t xml:space="preserve">6.10.1 The Gate, Re-Assessed Against a Built Compiler</w:t>
      </w:r>
    </w:p>
    <w:p>
      <w:pPr>
        <w:pStyle w:val="FirstParagraph"/>
      </w:pPr>
      <w:r>
        <w:t xml:space="preserve">The three conditions above were argued before any of the language existed. A gate assessed only in prose is a gate the author sets the height of, so this section re-assesses each one against the stage-0 compiler in</w:t>
      </w:r>
      <w:r>
        <w:t xml:space="preserve"> </w:t>
      </w:r>
      <w:r>
        <w:rPr>
          <w:rStyle w:val="VerbatimChar"/>
        </w:rPr>
        <w:t xml:space="preserve">crates/niles-lang</w:t>
      </w:r>
      <w:r>
        <w:t xml:space="preserve">, and records where the evidence is weaker than the argument.</w:t>
      </w:r>
    </w:p>
    <w:p>
      <w:pPr>
        <w:pStyle w:val="BodyText"/>
      </w:pPr>
      <w:r>
        <w:rPr>
          <w:bCs/>
          <w:b/>
        </w:rPr>
        <w:t xml:space="preserve">G1 — could this be a library?</w:t>
      </w:r>
      <w:r>
        <w:t xml:space="preserve"> </w:t>
      </w:r>
      <w:r>
        <w:t xml:space="preserve">The argument was that a host language’s trait system can</w:t>
      </w:r>
      <w:r>
        <w:t xml:space="preserve"> </w:t>
      </w:r>
      <w:r>
        <w:rPr>
          <w:iCs/>
          <w:i/>
        </w:rPr>
        <w:t xml:space="preserve">approximate</w:t>
      </w:r>
      <w:r>
        <w:t xml:space="preserve"> </w:t>
      </w:r>
      <w:r>
        <w:t xml:space="preserve">linear posting halves and currency rows but cannot enforce them ergonomically. The compiler makes the comparison concrete, and the honest answer is split.</w:t>
      </w:r>
    </w:p>
    <w:p>
      <w:pPr>
        <w:pStyle w:val="BodyText"/>
      </w:pPr>
      <w:r>
        <w:t xml:space="preserve">The parts that a library</w:t>
      </w:r>
      <w:r>
        <w:t xml:space="preserve"> </w:t>
      </w:r>
      <w:r>
        <w:rPr>
          <w:bCs/>
          <w:b/>
        </w:rPr>
        <w:t xml:space="preserve">could</w:t>
      </w:r>
      <w:r>
        <w:t xml:space="preserve"> </w:t>
      </w:r>
      <w:r>
        <w:t xml:space="preserve">carry, in Rust specifically: currency-parameterised money types, an affine approximation of linearity through move semantics and a</w:t>
      </w:r>
      <w:r>
        <w:t xml:space="preserve"> </w:t>
      </w:r>
      <w:r>
        <w:rPr>
          <w:rStyle w:val="VerbatimChar"/>
        </w:rPr>
        <w:t xml:space="preserve">#[must_use]</w:t>
      </w:r>
      <w:r>
        <w:t xml:space="preserve"> </w:t>
      </w:r>
      <w:r>
        <w:t xml:space="preserve">drop guard, and a per-currency scale in a const generic. A determined library author gets most of the way there.</w:t>
      </w:r>
    </w:p>
    <w:p>
      <w:pPr>
        <w:pStyle w:val="BodyText"/>
      </w:pPr>
      <w:r>
        <w:t xml:space="preserve">The parts a library</w:t>
      </w:r>
      <w:r>
        <w:t xml:space="preserve"> </w:t>
      </w:r>
      <w:r>
        <w:rPr>
          <w:bCs/>
          <w:b/>
        </w:rPr>
        <w:t xml:space="preserve">cannot</w:t>
      </w:r>
      <w:r>
        <w:t xml:space="preserve"> </w:t>
      </w:r>
      <w:r>
        <w:t xml:space="preserve">carry, and this is where the gate holds:</w:t>
      </w:r>
    </w:p>
    <w:p>
      <w:pPr>
        <w:numPr>
          <w:ilvl w:val="0"/>
          <w:numId w:val="1010"/>
        </w:numPr>
        <w:pStyle w:val="Compact"/>
      </w:pPr>
      <w:r>
        <w:rPr>
          <w:bCs/>
          <w:b/>
        </w:rPr>
        <w:t xml:space="preserve">Rung monotonicity.</w:t>
      </w:r>
      <w:r>
        <w:t xml:space="preserve"> </w:t>
      </w:r>
      <w:r>
        <w:t xml:space="preserve">The judgement that rejected</w:t>
      </w:r>
      <w:r>
        <w:t xml:space="preserve"> </w:t>
      </w:r>
      <w:r>
        <w:rPr>
          <w:rStyle w:val="VerbatimChar"/>
        </w:rPr>
        <w:t xml:space="preserve">available_balance</w:t>
      </w:r>
      <w:r>
        <w:t xml:space="preserve"> </w:t>
      </w:r>
      <w:r>
        <w:t xml:space="preserve">(§9.13.4) is a property of a</w:t>
      </w:r>
      <w:r>
        <w:t xml:space="preserve"> </w:t>
      </w:r>
      <w:r>
        <w:rPr>
          <w:iCs/>
          <w:i/>
        </w:rPr>
        <w:t xml:space="preserve">view definition’s whole dependency graph</w:t>
      </w:r>
      <w:r>
        <w:t xml:space="preserve">, not of any value in it. There is no type a library can attach to a value that says</w:t>
      </w:r>
      <w:r>
        <w:t xml:space="preserve"> </w:t>
      </w:r>
      <w:r>
        <w:t xml:space="preserve">“</w:t>
      </w:r>
      <w:r>
        <w:t xml:space="preserve">the freshest guarantee obtainable from every transitive input of the expression this value came from</w:t>
      </w:r>
      <w:r>
        <w:t xml:space="preserve">”</w:t>
      </w:r>
      <w:r>
        <w:t xml:space="preserve">. It needs the compiler to have the view graph, which means it needs views to be a language construct.</w:t>
      </w:r>
    </w:p>
    <w:p>
      <w:pPr>
        <w:numPr>
          <w:ilvl w:val="0"/>
          <w:numId w:val="1010"/>
        </w:numPr>
        <w:pStyle w:val="Compact"/>
      </w:pPr>
      <w:r>
        <w:rPr>
          <w:bCs/>
          <w:b/>
        </w:rPr>
        <w:t xml:space="preserve">The</w:t>
      </w:r>
      <w:r>
        <w:rPr>
          <w:bCs/>
          <w:b/>
        </w:rPr>
        <w:t xml:space="preserve"> </w:t>
      </w:r>
      <w:r>
        <w:rPr>
          <w:rStyle w:val="VerbatimChar"/>
          <w:bCs/>
          <w:b/>
        </w:rPr>
        <w:t xml:space="preserve">undecided</w:t>
      </w:r>
      <w:r>
        <w:rPr>
          <w:bCs/>
          <w:b/>
        </w:rPr>
        <w:t xml:space="preserve"> </w:t>
      </w:r>
      <w:r>
        <w:rPr>
          <w:bCs/>
          <w:b/>
        </w:rPr>
        <w:t xml:space="preserve">verdict.</w:t>
      </w:r>
      <w:r>
        <w:t xml:space="preserve"> </w:t>
      </w:r>
      <w:r>
        <w:t xml:space="preserve">The currency-row solver distinguishes</w:t>
      </w:r>
      <w:r>
        <w:t xml:space="preserve"> </w:t>
      </w:r>
      <w:r>
        <w:t xml:space="preserve">“</w:t>
      </w:r>
      <w:r>
        <w:t xml:space="preserve">provably conserving</w:t>
      </w:r>
      <w:r>
        <w:t xml:space="preserve">”</w:t>
      </w:r>
      <w:r>
        <w:t xml:space="preserve">,</w:t>
      </w:r>
      <w:r>
        <w:t xml:space="preserve"> </w:t>
      </w:r>
      <w:r>
        <w:t xml:space="preserve">“</w:t>
      </w:r>
      <w:r>
        <w:t xml:space="preserve">provably not</w:t>
      </w:r>
      <w:r>
        <w:t xml:space="preserve">”</w:t>
      </w:r>
      <w:r>
        <w:t xml:space="preserve">, and</w:t>
      </w:r>
      <w:r>
        <w:t xml:space="preserve"> </w:t>
      </w:r>
      <w:r>
        <w:t xml:space="preserve">“</w:t>
      </w:r>
      <w:r>
        <w:t xml:space="preserve">the checker cannot see the amount</w:t>
      </w:r>
      <w:r>
        <w:t xml:space="preserve">”</w:t>
      </w:r>
      <w:r>
        <w:t xml:space="preserve">. The third is what makes the first two trustworthy, and it requires whole-program symbolic accounting across a</w:t>
      </w:r>
      <w:r>
        <w:t xml:space="preserve"> </w:t>
      </w:r>
      <w:r>
        <w:rPr>
          <w:rStyle w:val="VerbatimChar"/>
        </w:rPr>
        <w:t xml:space="preserve">txn</w:t>
      </w:r>
      <w:r>
        <w:t xml:space="preserve"> </w:t>
      </w:r>
      <w:r>
        <w:t xml:space="preserve">boundary. A trait bound has no way to be</w:t>
      </w:r>
      <w:r>
        <w:t xml:space="preserve"> </w:t>
      </w:r>
      <w:r>
        <w:rPr>
          <w:iCs/>
          <w:i/>
        </w:rPr>
        <w:t xml:space="preserve">partially</w:t>
      </w:r>
      <w:r>
        <w:t xml:space="preserve"> </w:t>
      </w:r>
      <w:r>
        <w:t xml:space="preserve">satisfied and report the residue.</w:t>
      </w:r>
    </w:p>
    <w:p>
      <w:pPr>
        <w:numPr>
          <w:ilvl w:val="0"/>
          <w:numId w:val="1010"/>
        </w:numPr>
        <w:pStyle w:val="Compact"/>
      </w:pPr>
      <w:r>
        <w:rPr>
          <w:bCs/>
          <w:b/>
        </w:rPr>
        <w:t xml:space="preserve">The two-span diagnostic.</w:t>
      </w:r>
      <w:r>
        <w:t xml:space="preserve"> </w:t>
      </w:r>
      <w:r>
        <w:t xml:space="preserve">Every interesting error in §9.13.4 points at two places: the money that was created and the rule that forbids it; the view’s promise and the read that breaks it. In a library encoding these surface as trait-solver artifacts naming synthetic types, which is precisely the ergonomic failure the original argument predicted, and which the built diagnostics avoid.</w:t>
      </w:r>
    </w:p>
    <w:p>
      <w:pPr>
        <w:pStyle w:val="FirstParagraph"/>
      </w:pPr>
      <w:r>
        <w:rPr>
          <w:bCs/>
          <w:b/>
        </w:rPr>
        <w:t xml:space="preserve">G1 holds, but on narrower ground than originally claimed.</w:t>
      </w:r>
      <w:r>
        <w:t xml:space="preserve"> </w:t>
      </w:r>
      <w:r>
        <w:t xml:space="preserve">The load-bearing part is not money typing — a library can nearly do that — it is the</w:t>
      </w:r>
      <w:r>
        <w:t xml:space="preserve"> </w:t>
      </w:r>
      <w:r>
        <w:rPr>
          <w:iCs/>
          <w:i/>
        </w:rPr>
        <w:t xml:space="preserve">whole-program, graph-level</w:t>
      </w:r>
      <w:r>
        <w:t xml:space="preserve"> </w:t>
      </w:r>
      <w:r>
        <w:t xml:space="preserve">judgements: rung monotonicity, conservation across a transaction, and reconstructibility. Those need a compiler that owns the view graph.</w:t>
      </w:r>
    </w:p>
    <w:p>
      <w:pPr>
        <w:pStyle w:val="BodyText"/>
      </w:pPr>
      <w:r>
        <w:rPr>
          <w:bCs/>
          <w:b/>
        </w:rPr>
        <w:t xml:space="preserve">G2 — could this be SQL?</w:t>
      </w:r>
      <w:r>
        <w:t xml:space="preserve"> </w:t>
      </w:r>
      <w:r>
        <w:t xml:space="preserve">The concession stands and is now sharper. The Begoli</w:t>
      </w:r>
      <w:r>
        <w:t xml:space="preserve"> </w:t>
      </w:r>
      <w:r>
        <w:rPr>
          <w:iCs/>
          <w:i/>
        </w:rPr>
        <w:t xml:space="preserve">et al.</w:t>
      </w:r>
      <w:r>
        <w:t xml:space="preserve"> </w:t>
      </w:r>
      <w:r>
        <w:t xml:space="preserve">position — that streaming needs only time-varying relations, event-time semantics and a small materialization vocabulary added to standard SQL — is right about</w:t>
      </w:r>
      <w:r>
        <w:t xml:space="preserve"> </w:t>
      </w:r>
      <w:r>
        <w:rPr>
          <w:iCs/>
          <w:i/>
        </w:rPr>
        <w:t xml:space="preserve">query semantics</w:t>
      </w:r>
      <w:r>
        <w:t xml:space="preserve">, and Niles’s query core is deliberately isomorphic to it. Building the SQL surface in</w:t>
      </w:r>
      <w:r>
        <w:t xml:space="preserve"> </w:t>
      </w:r>
      <w:r>
        <w:rPr>
          <w:rStyle w:val="VerbatimChar"/>
        </w:rPr>
        <w:t xml:space="preserve">sql_surface.rs</w:t>
      </w:r>
      <w:r>
        <w:t xml:space="preserve"> </w:t>
      </w:r>
      <w:r>
        <w:t xml:space="preserve">and testing that both surfaces lower to the same circuit (§9.13,</w:t>
      </w:r>
      <w:r>
        <w:t xml:space="preserve"> </w:t>
      </w:r>
      <w:r>
        <w:rPr>
          <w:rStyle w:val="VerbatimChar"/>
        </w:rPr>
        <w:t xml:space="preserve">the_two_surfaces_lower_to_the_same_circuit</w:t>
      </w:r>
      <w:r>
        <w:t xml:space="preserve">) is that concession made mechanical rather than rhetorical: for the stated fragment, the SQL spelling and the pipeline spelling are the same program.</w:t>
      </w:r>
    </w:p>
    <w:p>
      <w:pPr>
        <w:pStyle w:val="BodyText"/>
      </w:pPr>
      <w:r>
        <w:t xml:space="preserve">What no SQL extension reaches is the four judgements the compiler actually performs.</w:t>
      </w:r>
      <w:r>
        <w:t xml:space="preserve"> </w:t>
      </w:r>
      <w:r>
        <w:rPr>
          <w:rStyle w:val="VerbatimChar"/>
        </w:rPr>
        <w:t xml:space="preserve">conserve per (txn, cur)</w:t>
      </w:r>
      <w:r>
        <w:t xml:space="preserve"> </w:t>
      </w:r>
      <w:r>
        <w:t xml:space="preserve">is not a constraint on a row, it is a typing rule over a transaction.</w:t>
      </w:r>
      <w:r>
        <w:t xml:space="preserve"> </w:t>
      </w:r>
      <w:r>
        <w:rPr>
          <w:rStyle w:val="VerbatimChar"/>
        </w:rPr>
        <w:t xml:space="preserve">! { append, debit&lt;usd&gt; }</w:t>
      </w:r>
      <w:r>
        <w:t xml:space="preserve"> </w:t>
      </w:r>
      <w:r>
        <w:t xml:space="preserve">is not a comment, it is a subsumption check. Linearity for holds is not a trigger, it is a use-count. Rung monotonicity is not a hint, it is a graph property. Adding any one of them to SQL changes what a well-formed program</w:t>
      </w:r>
      <w:r>
        <w:t xml:space="preserve"> </w:t>
      </w:r>
      <w:r>
        <w:rPr>
          <w:iCs/>
          <w:i/>
        </w:rPr>
        <w:t xml:space="preserve">is</w:t>
      </w:r>
      <w:r>
        <w:t xml:space="preserve">, and at that point one has a new language and should say so.</w:t>
      </w:r>
    </w:p>
    <w:p>
      <w:pPr>
        <w:pStyle w:val="BodyText"/>
      </w:pPr>
      <w:r>
        <w:rPr>
          <w:bCs/>
          <w:b/>
        </w:rPr>
        <w:t xml:space="preserve">The formulation the built artifact supports:</w:t>
      </w:r>
      <w:r>
        <w:t xml:space="preserve"> </w:t>
      </w:r>
      <w:r>
        <w:t xml:space="preserve">SQL can be extended to say what to compute over streams. It cannot be extended to</w:t>
      </w:r>
      <w:r>
        <w:t xml:space="preserve"> </w:t>
      </w:r>
      <w:r>
        <w:rPr>
          <w:iCs/>
          <w:i/>
        </w:rPr>
        <w:t xml:space="preserve">refuse programs that would lose money</w:t>
      </w:r>
      <w:r>
        <w:t xml:space="preserve">, because refusing is a type-system act and SQL has no type system in the sense required.</w:t>
      </w:r>
    </w:p>
    <w:p>
      <w:pPr>
        <w:pStyle w:val="BodyText"/>
      </w:pPr>
      <w:r>
        <w:rPr>
          <w:bCs/>
          <w:b/>
        </w:rPr>
        <w:t xml:space="preserve">G3 — is the type system load-bearing for the science?</w:t>
      </w:r>
      <w:r>
        <w:t xml:space="preserve"> </w:t>
      </w:r>
      <w:r>
        <w:t xml:space="preserve">This is the condition with the strongest new evidence and it is not the evidence expected. Theorem 4.4 quantifies over well-typed programs, so the type system is formally the theorem’s premise; that was always true and was always a slightly circular defence. What the built compiler adds is empirical:</w:t>
      </w:r>
      <w:r>
        <w:t xml:space="preserve"> </w:t>
      </w:r>
      <w:r>
        <w:rPr>
          <w:bCs/>
          <w:b/>
        </w:rPr>
        <w:t xml:space="preserve">the type system caught four defects in this thesis’s own worked program</w:t>
      </w:r>
      <w:r>
        <w:t xml:space="preserve">, one of which — the rung-monotonicity violation in</w:t>
      </w:r>
      <w:r>
        <w:t xml:space="preserve"> </w:t>
      </w:r>
      <w:r>
        <w:rPr>
          <w:rStyle w:val="VerbatimChar"/>
        </w:rPr>
        <w:t xml:space="preserve">available_balance</w:t>
      </w:r>
      <w:r>
        <w:t xml:space="preserve"> </w:t>
      </w:r>
      <w:r>
        <w:t xml:space="preserve">— is the exact failure mode Chapter 1 motivates the whole thesis with, written into the example by the person who formulated the rule.</w:t>
      </w:r>
    </w:p>
    <w:p>
      <w:pPr>
        <w:pStyle w:val="BodyText"/>
      </w:pPr>
      <w:r>
        <w:t xml:space="preserve">That is a fact about the instrument’s value that no amount of prose could have established, and it cuts both ways. It is strong evidence that the checks are load-bearing. It is also evidence that the</w:t>
      </w:r>
      <w:r>
        <w:t xml:space="preserve"> </w:t>
      </w:r>
      <w:r>
        <w:rPr>
          <w:iCs/>
          <w:i/>
        </w:rPr>
        <w:t xml:space="preserve">author</w:t>
      </w:r>
      <w:r>
        <w:t xml:space="preserve"> </w:t>
      </w:r>
      <w:r>
        <w:t xml:space="preserve">of a consistency calculus will violate it in an eighty-line example, which is the strongest argument available that a bank’s engineers will violate it in a hundred-thousand-line codebase, and that a compiler rather than a review process is what should catch them.</w:t>
      </w:r>
    </w:p>
    <w:p>
      <w:pPr>
        <w:pStyle w:val="BodyText"/>
      </w:pPr>
      <w:r>
        <w:rPr>
          <w:bCs/>
          <w:b/>
        </w:rPr>
        <w:t xml:space="preserve">Verdict.</w:t>
      </w:r>
      <w:r>
        <w:t xml:space="preserve"> </w:t>
      </w:r>
      <w:r>
        <w:t xml:space="preserve">All three conditions pass, with G1 narrowed and G3 strengthened. The narrowing matters and is stated because a gate that always passes is not a gate: the honest position is that a substantial part of what Niles offers — money types, scale safety, an affine approximation of linearity —</w:t>
      </w:r>
      <w:r>
        <w:t xml:space="preserve"> </w:t>
      </w:r>
      <w:r>
        <w:rPr>
          <w:iCs/>
          <w:i/>
        </w:rPr>
        <w:t xml:space="preserve">could</w:t>
      </w:r>
      <w:r>
        <w:t xml:space="preserve"> </w:t>
      </w:r>
      <w:r>
        <w:t xml:space="preserve">be a Rust library, and that the case for a language rests specifically on the whole-program graph judgements and on the diagnostic quality that follows from owning the syntax.</w:t>
      </w:r>
    </w:p>
    <w:p>
      <w:pPr>
        <w:pStyle w:val="BodyText"/>
      </w:pPr>
      <w:r>
        <w:rPr>
          <w:bCs/>
          <w:b/>
        </w:rPr>
        <w:t xml:space="preserve">Why not fork an existing compiler.</w:t>
      </w:r>
      <w:r>
        <w:t xml:space="preserve"> </w:t>
      </w:r>
      <w:r>
        <w:t xml:space="preserve">A fork inherits the full maintenance surface of a general-purpose toolchain while fighting it on linearity-versus-affinity and on effects, and the declarative query core is un-Rust-like at the surface in any case. Niles instead</w:t>
      </w:r>
      <w:r>
        <w:t xml:space="preserve"> </w:t>
      </w:r>
      <w:r>
        <w:rPr>
          <w:iCs/>
          <w:i/>
        </w:rPr>
        <w:t xml:space="preserve">borrows Rust’s syntax shape</w:t>
      </w:r>
      <w:r>
        <w:t xml:space="preserve"> </w:t>
      </w:r>
      <w:r>
        <w:t xml:space="preserve">— familiarity without the fork — with a fresh, small, self-hosting implementation (Appendix E).</w:t>
      </w:r>
    </w:p>
    <w:p>
      <w:pPr>
        <w:pStyle w:val="BodyText"/>
      </w:pPr>
      <w:r>
        <w:rPr>
          <w:bCs/>
          <w:b/>
        </w:rPr>
        <w:t xml:space="preserve">Precedent for the decision.</w:t>
      </w:r>
      <w:r>
        <w:t xml:space="preserve"> </w:t>
      </w:r>
      <w:r>
        <w:t xml:space="preserve">In 2024 ISO published GQL as a standalone database language rather than as another SQL part, developed by the same working group that maintains SQL, while</w:t>
      </w:r>
      <w:r>
        <w:t xml:space="preserve"> </w:t>
      </w:r>
      <w:r>
        <w:rPr>
          <w:iCs/>
          <w:i/>
        </w:rPr>
        <w:t xml:space="preserve">also</w:t>
      </w:r>
      <w:r>
        <w:t xml:space="preserve"> </w:t>
      </w:r>
      <w:r>
        <w:t xml:space="preserve">standardizing SQL/PGQ as a read-only embedded sublanguage over the same graph patterns. The standards community thus treats</w:t>
      </w:r>
      <w:r>
        <w:t xml:space="preserve"> </w:t>
      </w:r>
      <w:r>
        <w:t xml:space="preserve">“</w:t>
      </w:r>
      <w:r>
        <w:t xml:space="preserve">embedded sublanguage</w:t>
      </w:r>
      <w:r>
        <w:t xml:space="preserve">”</w:t>
      </w:r>
      <w:r>
        <w:t xml:space="preserve"> </w:t>
      </w:r>
      <w:r>
        <w:t xml:space="preserve">and</w:t>
      </w:r>
      <w:r>
        <w:t xml:space="preserve"> </w:t>
      </w:r>
      <w:r>
        <w:t xml:space="preserve">“</w:t>
      </w:r>
      <w:r>
        <w:t xml:space="preserve">standalone language</w:t>
      </w:r>
      <w:r>
        <w:t xml:space="preserve">”</w:t>
      </w:r>
      <w:r>
        <w:t xml:space="preserve"> </w:t>
      </w:r>
      <w:r>
        <w:t xml:space="preserve">as genuinely different artifacts and has recently chosen the latter when the model differs enough. That is not proof that Niles is justified, but it is evidence that the question this gate asks is the right one.</w:t>
      </w:r>
    </w:p>
    <w:bookmarkEnd w:id="111"/>
    <w:bookmarkStart w:id="112" w:name="X8c5ede3ee62e43b4bb98dd7b26147ce41f7b676"/>
    <w:p>
      <w:pPr>
        <w:pStyle w:val="Heading3"/>
      </w:pPr>
      <w:r>
        <w:t xml:space="preserve">6.10.2 Diagnostics as a Design Obligation, and the Evidence for It</w:t>
      </w:r>
    </w:p>
    <w:p>
      <w:pPr>
        <w:pStyle w:val="FirstParagraph"/>
      </w:pPr>
      <w:r>
        <w:t xml:space="preserve">The gate argument above claims that a library encoding degrades the</w:t>
      </w:r>
      <w:r>
        <w:t xml:space="preserve"> </w:t>
      </w:r>
      <w:r>
        <w:rPr>
          <w:iCs/>
          <w:i/>
        </w:rPr>
        <w:t xml:space="preserve">diagnostics</w:t>
      </w:r>
      <w:r>
        <w:t xml:space="preserve">, and that</w:t>
      </w:r>
      <w:r>
        <w:t xml:space="preserve"> </w:t>
      </w:r>
      <w:r>
        <w:t xml:space="preserve">this is part of why the language is warranted. That claim needs its own evidence, because it</w:t>
      </w:r>
      <w:r>
        <w:t xml:space="preserve"> </w:t>
      </w:r>
      <w:r>
        <w:t xml:space="preserve">is the kind that is easy to assert and rarely checked.</w:t>
      </w:r>
    </w:p>
    <w:p>
      <w:pPr>
        <w:pStyle w:val="BodyText"/>
      </w:pPr>
      <w:r>
        <w:rPr>
          <w:bCs/>
          <w:b/>
        </w:rPr>
        <w:t xml:space="preserve">The theoretical case is strong and it is not about spans.</w:t>
      </w:r>
      <w:r>
        <w:t xml:space="preserve"> </w:t>
      </w:r>
      <w:r>
        <w:t xml:space="preserve">Haack and Wells’s position on</w:t>
      </w:r>
      <w:r>
        <w:t xml:space="preserve"> </w:t>
      </w:r>
      <w:r>
        <w:t xml:space="preserve">type errors is that the location of an error is not a point but</w:t>
      </w:r>
      <w:r>
        <w:t xml:space="preserve"> </w:t>
      </w:r>
      <w:r>
        <w:t xml:space="preserve">“</w:t>
      </w:r>
      <w:r>
        <w:t xml:space="preserve">a set of program points (a</w:t>
      </w:r>
      <w:r>
        <w:t xml:space="preserve"> </w:t>
      </w:r>
      <w:r>
        <w:t xml:space="preserve">slice) all of which are necessary for the type error</w:t>
      </w:r>
      <w:r>
        <w:t xml:space="preserve">”</w:t>
      </w:r>
      <w:r>
        <w:t xml:space="preserve">, and that algorithms which</w:t>
      </w:r>
      <w:r>
        <w:t xml:space="preserve"> </w:t>
      </w:r>
      <w:r>
        <w:t xml:space="preserve">“</w:t>
      </w:r>
      <w:r>
        <w:t xml:space="preserve">identify</w:t>
      </w:r>
      <w:r>
        <w:t xml:space="preserve"> </w:t>
      </w:r>
      <w:r>
        <w:t xml:space="preserve">one node of the program tree which participates in the type error … will often be the wrong</w:t>
      </w:r>
      <w:r>
        <w:t xml:space="preserve"> </w:t>
      </w:r>
      <w:r>
        <w:t xml:space="preserve">node to blame</w:t>
      </w:r>
      <w:r>
        <w:t xml:space="preserve">”</w:t>
      </w:r>
      <w:r>
        <w:t xml:space="preserve">. Zhang and Myers reach the same place through constraint analysis; Chen and</w:t>
      </w:r>
      <w:r>
        <w:t xml:space="preserve"> </w:t>
      </w:r>
      <w:r>
        <w:t xml:space="preserve">Erwig note that committing to a single location fails</w:t>
      </w:r>
      <w:r>
        <w:t xml:space="preserve"> </w:t>
      </w:r>
      <w:r>
        <w:t xml:space="preserve">“</w:t>
      </w:r>
      <w:r>
        <w:t xml:space="preserve">because in some cases the program</w:t>
      </w:r>
      <w:r>
        <w:t xml:space="preserve"> </w:t>
      </w:r>
      <w:r>
        <w:t xml:space="preserve">text does not contain enough information to confidently make the right decision</w:t>
      </w:r>
      <w:r>
        <w:t xml:space="preserve">”</w:t>
      </w:r>
      <w:r>
        <w:t xml:space="preserve">.</w:t>
      </w:r>
    </w:p>
    <w:p>
      <w:pPr>
        <w:pStyle w:val="BodyText"/>
      </w:pPr>
      <w:r>
        <w:t xml:space="preserve">That argument transfers to money safety exactly. A conservation violation is constituted by</w:t>
      </w:r>
      <w:r>
        <w:t xml:space="preserve"> </w:t>
      </w:r>
      <w:r>
        <w:t xml:space="preserve">the postings that fail to net</w:t>
      </w:r>
      <w:r>
        <w:t xml:space="preserve"> </w:t>
      </w:r>
      <w:r>
        <w:rPr>
          <w:iCs/>
          <w:i/>
        </w:rPr>
        <w:t xml:space="preserve">and</w:t>
      </w:r>
      <w:r>
        <w:t xml:space="preserve"> </w:t>
      </w:r>
      <w:r>
        <w:t xml:space="preserve">the rule that says they must. A double resolution is</w:t>
      </w:r>
      <w:r>
        <w:t xml:space="preserve"> </w:t>
      </w:r>
      <w:r>
        <w:t xml:space="preserve">constituted by the binding and both consumptions. A rung violation is constituted by the</w:t>
      </w:r>
      <w:r>
        <w:t xml:space="preserve"> </w:t>
      </w:r>
      <w:r>
        <w:t xml:space="preserve">contract, the read, and the view in between. Reporting one of those is reporting an</w:t>
      </w:r>
      <w:r>
        <w:t xml:space="preserve"> </w:t>
      </w:r>
      <w:r>
        <w:t xml:space="preserve">arbitrary member of a set, and the choice is a heuristic rather than a fact about the</w:t>
      </w:r>
      <w:r>
        <w:t xml:space="preserve"> </w:t>
      </w:r>
      <w:r>
        <w:t xml:space="preserve">program. This is a soundness-of-blame argument, and it needs no human-subjects result.</w:t>
      </w:r>
    </w:p>
    <w:p>
      <w:pPr>
        <w:pStyle w:val="BodyText"/>
      </w:pPr>
      <w:r>
        <w:rPr>
          <w:bCs/>
          <w:b/>
        </w:rPr>
        <w:t xml:space="preserve">The empirical case is weaker than this thesis previously implied, and the correction is</w:t>
      </w:r>
      <w:r>
        <w:rPr>
          <w:bCs/>
          <w:b/>
        </w:rPr>
        <w:t xml:space="preserve"> </w:t>
      </w:r>
      <w:r>
        <w:rPr>
          <w:bCs/>
          <w:b/>
        </w:rPr>
        <w:t xml:space="preserve">worth making explicitly.</w:t>
      </w:r>
      <w:r>
        <w:t xml:space="preserve"> </w:t>
      </w:r>
      <w:r>
        <w:t xml:space="preserve">No controlled study compares multi-span against single-span</w:t>
      </w:r>
      <w:r>
        <w:t xml:space="preserve"> </w:t>
      </w:r>
      <w:r>
        <w:t xml:space="preserve">diagnostics, for any error class, in any language. The relevant results are these:</w:t>
      </w:r>
    </w:p>
    <w:p>
      <w:pPr>
        <w:numPr>
          <w:ilvl w:val="0"/>
          <w:numId w:val="1011"/>
        </w:numPr>
        <w:pStyle w:val="Compact"/>
      </w:pPr>
      <w:r>
        <w:t xml:space="preserve">Barik et al.’s eye-tracking study (56 participants, defects derived from an analysis of 26</w:t>
      </w:r>
      <w:r>
        <w:t xml:space="preserve"> </w:t>
      </w:r>
      <w:r>
        <w:t xml:space="preserve">million builds) found that developers</w:t>
      </w:r>
      <w:r>
        <w:t xml:space="preserve"> </w:t>
      </w:r>
      <w:r>
        <w:rPr>
          <w:iCs/>
          <w:i/>
        </w:rPr>
        <w:t xml:space="preserve">do</w:t>
      </w:r>
      <w:r>
        <w:t xml:space="preserve"> </w:t>
      </w:r>
      <w:r>
        <w:t xml:space="preserve">read error messages — 13–25% of task time — and</w:t>
      </w:r>
      <w:r>
        <w:t xml:space="preserve"> </w:t>
      </w:r>
      <w:r>
        <w:t xml:space="preserve">that reading them is as effortful per fixation as reading source code (419 ms against</w:t>
      </w:r>
      <w:r>
        <w:t xml:space="preserve"> </w:t>
      </w:r>
      <w:r>
        <w:t xml:space="preserve">394 ms, versus ~275 ms for silent English reading). It also found, in one task, that two</w:t>
      </w:r>
      <w:r>
        <w:t xml:space="preserve"> </w:t>
      </w:r>
      <w:r>
        <w:t xml:space="preserve">identical messages for two subclasses led 55 of 56 participants to the wrong fix when the</w:t>
      </w:r>
      <w:r>
        <w:t xml:space="preserve"> </w:t>
      </w:r>
      <w:r>
        <w:t xml:space="preserve">correct change was in the parent. That is a misattribution-of-blame result, which is</w:t>
      </w:r>
      <w:r>
        <w:t xml:space="preserve"> </w:t>
      </w:r>
      <w:r>
        <w:t xml:space="preserve">suggestive for this design and is not evidence about span count.</w:t>
      </w:r>
    </w:p>
    <w:p>
      <w:pPr>
        <w:numPr>
          <w:ilvl w:val="0"/>
          <w:numId w:val="1011"/>
        </w:numPr>
        <w:pStyle w:val="Compact"/>
      </w:pPr>
      <w:r>
        <w:t xml:space="preserve">Barik, Ford, Murphy-Hill and Parnin’s later work models a message as a Toulmin argument —</w:t>
      </w:r>
      <w:r>
        <w:t xml:space="preserve"> </w:t>
      </w:r>
      <w:r>
        <w:t xml:space="preserve">claim, grounds,</w:t>
      </w:r>
      <w:r>
        <w:t xml:space="preserve"> </w:t>
      </w:r>
      <w:r>
        <w:rPr>
          <w:bCs/>
          <w:b/>
        </w:rPr>
        <w:t xml:space="preserve">warrant</w:t>
      </w:r>
      <w:r>
        <w:t xml:space="preserve">, backing — and finds, with 68 professional developers, that</w:t>
      </w:r>
      <w:r>
        <w:t xml:space="preserve"> </w:t>
      </w:r>
      <w:r>
        <w:t xml:space="preserve">developers prefer proper argument structure</w:t>
      </w:r>
      <w:r>
        <w:t xml:space="preserve"> </w:t>
      </w:r>
      <w:r>
        <w:rPr>
          <w:iCs/>
          <w:i/>
        </w:rPr>
        <w:t xml:space="preserve">when neither message offers a resolution</w:t>
      </w:r>
      <w:r>
        <w:t xml:space="preserve">,</w:t>
      </w:r>
      <w:r>
        <w:t xml:space="preserve"> </w:t>
      </w:r>
      <w:r>
        <w:rPr>
          <w:bCs/>
          <w:b/>
        </w:rPr>
        <w:t xml:space="preserve">but will accept a deficient structure if it provides a resolution</w:t>
      </w:r>
      <w:r>
        <w:t xml:space="preserve">. The</w:t>
      </w:r>
      <w:r>
        <w:t xml:space="preserve"> </w:t>
      </w:r>
      <w:r>
        <w:rPr>
          <w:rStyle w:val="VerbatimChar"/>
        </w:rPr>
        <w:t xml:space="preserve">conserve per   (txn, cur)</w:t>
      </w:r>
      <w:r>
        <w:t xml:space="preserve"> </w:t>
      </w:r>
      <w:r>
        <w:t xml:space="preserve">rule is the warrant, and pointing at its declaration is the backing; but the</w:t>
      </w:r>
      <w:r>
        <w:t xml:space="preserve"> </w:t>
      </w:r>
      <w:r>
        <w:t xml:space="preserve">second half of that sentence is a constraint on the design, not a footnote.</w:t>
      </w:r>
    </w:p>
    <w:p>
      <w:pPr>
        <w:numPr>
          <w:ilvl w:val="0"/>
          <w:numId w:val="1011"/>
        </w:numPr>
        <w:pStyle w:val="Compact"/>
      </w:pPr>
      <w:r>
        <w:t xml:space="preserve">Denny, Luxton-Reilly and Carpenter found</w:t>
      </w:r>
      <w:r>
        <w:t xml:space="preserve"> </w:t>
      </w:r>
      <w:r>
        <w:rPr>
          <w:bCs/>
          <w:b/>
        </w:rPr>
        <w:t xml:space="preserve">no effect</w:t>
      </w:r>
      <w:r>
        <w:t xml:space="preserve"> </w:t>
      </w:r>
      <w:r>
        <w:t xml:space="preserve">from enhanced messages on any of</w:t>
      </w:r>
      <w:r>
        <w:t xml:space="preserve"> </w:t>
      </w:r>
      <w:r>
        <w:t xml:space="preserve">three measures (83 CS1 students, randomised). The result stands for what it tested —</w:t>
      </w:r>
      <w:r>
        <w:t xml:space="preserve"> </w:t>
      </w:r>
      <w:r>
        <w:t xml:space="preserve">syntax errors, novices, submission-count proxies — and the authors note a confound running</w:t>
      </w:r>
      <w:r>
        <w:t xml:space="preserve"> </w:t>
      </w:r>
      <w:r>
        <w:t xml:space="preserve">against the enhancement: their enhanced condition displayed</w:t>
      </w:r>
      <w:r>
        <w:t xml:space="preserve"> </w:t>
      </w:r>
      <w:r>
        <w:rPr>
          <w:iCs/>
          <w:i/>
        </w:rPr>
        <w:t xml:space="preserve">one</w:t>
      </w:r>
      <w:r>
        <w:t xml:space="preserve"> </w:t>
      </w:r>
      <w:r>
        <w:t xml:space="preserve">error where the control</w:t>
      </w:r>
      <w:r>
        <w:t xml:space="preserve"> </w:t>
      </w:r>
      <w:r>
        <w:t xml:space="preserve">displayed two. It should be cited, not dismissed.</w:t>
      </w:r>
    </w:p>
    <w:p>
      <w:pPr>
        <w:numPr>
          <w:ilvl w:val="0"/>
          <w:numId w:val="1011"/>
        </w:numPr>
        <w:pStyle w:val="Compact"/>
      </w:pPr>
      <w:r>
        <w:t xml:space="preserve">And the compiler most often held up as exemplary for humane errors, Elm, is largely</w:t>
      </w:r>
      <w:r>
        <w:t xml:space="preserve"> </w:t>
      </w:r>
      <w:r>
        <w:rPr>
          <w:bCs/>
          <w:b/>
        </w:rPr>
        <w:t xml:space="preserve">single-region</w:t>
      </w:r>
      <w:r>
        <w:t xml:space="preserve">, with the counterparty expressed in prose.</w:t>
      </w:r>
    </w:p>
    <w:p>
      <w:pPr>
        <w:pStyle w:val="FirstParagraph"/>
      </w:pPr>
      <w:r>
        <w:rPr>
          <w:bCs/>
          <w:b/>
        </w:rPr>
        <w:t xml:space="preserve">So the honest claim is convergence on dual</w:t>
      </w:r>
      <w:r>
        <w:rPr>
          <w:bCs/>
          <w:b/>
        </w:rPr>
        <w:t xml:space="preserve"> </w:t>
      </w:r>
      <w:r>
        <w:rPr>
          <w:iCs/>
          <w:i/>
          <w:bCs/>
          <w:b/>
        </w:rPr>
        <w:t xml:space="preserve">reference</w:t>
      </w:r>
      <w:r>
        <w:rPr>
          <w:bCs/>
          <w:b/>
        </w:rPr>
        <w:t xml:space="preserve">, not on dual</w:t>
      </w:r>
      <w:r>
        <w:rPr>
          <w:bCs/>
          <w:b/>
        </w:rPr>
        <w:t xml:space="preserve"> </w:t>
      </w:r>
      <w:r>
        <w:rPr>
          <w:iCs/>
          <w:i/>
          <w:bCs/>
          <w:b/>
        </w:rPr>
        <w:t xml:space="preserve">spans</w:t>
      </w:r>
      <w:r>
        <w:rPr>
          <w:bCs/>
          <w:b/>
        </w:rPr>
        <w:t xml:space="preserve">.</w:t>
      </w:r>
      <w:r>
        <w:t xml:space="preserve"> </w:t>
      </w:r>
      <w:r>
        <w:t xml:space="preserve">rustc’s</w:t>
      </w:r>
      <w:r>
        <w:t xml:space="preserve"> </w:t>
      </w:r>
      <w:r>
        <w:rPr>
          <w:rStyle w:val="VerbatimChar"/>
        </w:rPr>
        <w:t xml:space="preserve">note: required by this bound in …</w:t>
      </w:r>
      <w:r>
        <w:t xml:space="preserve"> </w:t>
      </w:r>
      <w:r>
        <w:t xml:space="preserve">and</w:t>
      </w:r>
      <w:r>
        <w:t xml:space="preserve"> </w:t>
      </w:r>
      <w:r>
        <w:rPr>
          <w:rStyle w:val="VerbatimChar"/>
        </w:rPr>
        <w:t xml:space="preserve">note: the lint level is defined here</w:t>
      </w:r>
      <w:r>
        <w:t xml:space="preserve">, GCC’s</w:t>
      </w:r>
      <w:r>
        <w:t xml:space="preserve"> </w:t>
      </w:r>
      <w:r>
        <w:t xml:space="preserve">labelled ranges — introduced to make mismatches clear</w:t>
      </w:r>
      <w:r>
        <w:t xml:space="preserve"> </w:t>
      </w:r>
      <w:r>
        <w:t xml:space="preserve">“</w:t>
      </w:r>
      <w:r>
        <w:t xml:space="preserve">without requiring users to</w:t>
      </w:r>
      <w:r>
        <w:t xml:space="preserve"> </w:t>
      </w:r>
      <w:r>
        <w:t xml:space="preserve">cross-reference distant code locations</w:t>
      </w:r>
      <w:r>
        <w:t xml:space="preserve">”</w:t>
      </w:r>
      <w:r>
        <w:t xml:space="preserve"> </w:t>
      </w:r>
      <w:r>
        <w:t xml:space="preserve">— and the Language Server Protocol’s first-class</w:t>
      </w:r>
      <w:r>
        <w:t xml:space="preserve"> </w:t>
      </w:r>
      <w:r>
        <w:rPr>
          <w:rStyle w:val="VerbatimChar"/>
        </w:rPr>
        <w:t xml:space="preserve">relatedInformation</w:t>
      </w:r>
      <w:r>
        <w:t xml:space="preserve"> </w:t>
      </w:r>
      <w:r>
        <w:t xml:space="preserve">field all point at the other place; whether that is a span, a note or</w:t>
      </w:r>
      <w:r>
        <w:t xml:space="preserve"> </w:t>
      </w:r>
      <w:r>
        <w:t xml:space="preserve">prose is an open rendering question.</w:t>
      </w:r>
    </w:p>
    <w:p>
      <w:pPr>
        <w:pStyle w:val="BodyText"/>
      </w:pPr>
      <w:r>
        <w:rPr>
          <w:bCs/>
          <w:b/>
        </w:rPr>
        <w:t xml:space="preserve">Two design rules follow, and both are concessions rather than wins.</w:t>
      </w:r>
    </w:p>
    <w:p>
      <w:pPr>
        <w:pStyle w:val="BodyText"/>
      </w:pPr>
      <w:r>
        <w:rPr>
          <w:iCs/>
          <w:i/>
        </w:rPr>
        <w:t xml:space="preserve">The primary label must stand alone.</w:t>
      </w:r>
      <w:r>
        <w:t xml:space="preserve"> </w:t>
      </w:r>
      <w:r>
        <w:t xml:space="preserve">rustc’s own guidance requires that a primary label</w:t>
      </w:r>
      <w:r>
        <w:t xml:space="preserve"> </w:t>
      </w:r>
      <w:r>
        <w:t xml:space="preserve">make sense</w:t>
      </w:r>
      <w:r>
        <w:t xml:space="preserve"> </w:t>
      </w:r>
      <w:r>
        <w:t xml:space="preserve">“</w:t>
      </w:r>
      <w:r>
        <w:t xml:space="preserve">if it were the only thing being displayed</w:t>
      </w:r>
      <w:r>
        <w:t xml:space="preserve">”</w:t>
      </w:r>
      <w:r>
        <w:t xml:space="preserve">, because in an IDE it often is. If a</w:t>
      </w:r>
      <w:r>
        <w:t xml:space="preserve"> </w:t>
      </w:r>
      <w:r>
        <w:t xml:space="preserve">Niles money-safety diagnostic is unintelligible without its second span, the primary label is</w:t>
      </w:r>
      <w:r>
        <w:t xml:space="preserve"> </w:t>
      </w:r>
      <w:r>
        <w:t xml:space="preserve">underspecified — so</w:t>
      </w:r>
      <w:r>
        <w:t xml:space="preserve"> </w:t>
      </w:r>
      <w:r>
        <w:rPr>
          <w:rStyle w:val="VerbatimChar"/>
        </w:rPr>
        <w:t xml:space="preserve">net movement on every path through this transaction is −40.00, which must be zero</w:t>
      </w:r>
      <w:r>
        <w:t xml:space="preserve"> </w:t>
      </w:r>
      <w:r>
        <w:t xml:space="preserve">carries the whole claim, and the rule reference is additive.</w:t>
      </w:r>
    </w:p>
    <w:p>
      <w:pPr>
        <w:pStyle w:val="BodyText"/>
      </w:pPr>
      <w:r>
        <w:rPr>
          <w:iCs/>
          <w:i/>
        </w:rPr>
        <w:t xml:space="preserve">A fix outranks a warrant.</w:t>
      </w:r>
      <w:r>
        <w:t xml:space="preserve"> </w:t>
      </w:r>
      <w:r>
        <w:t xml:space="preserve">Following Barik et al.’s second clause, the rule reference is</w:t>
      </w:r>
      <w:r>
        <w:t xml:space="preserve"> </w:t>
      </w:r>
      <w:r>
        <w:t xml:space="preserve">attached only when the diagnostic has no machine-applicable suggestion, and is elided when it</w:t>
      </w:r>
      <w:r>
        <w:t xml:space="preserve"> </w:t>
      </w:r>
      <w:r>
        <w:t xml:space="preserve">has one, with the rule’s identity remaining in the message text either way. This is</w:t>
      </w:r>
      <w:r>
        <w:t xml:space="preserve"> </w:t>
      </w:r>
      <w:r>
        <w:t xml:space="preserve">implemented —</w:t>
      </w:r>
      <w:r>
        <w:t xml:space="preserve"> </w:t>
      </w:r>
      <w:r>
        <w:rPr>
          <w:rStyle w:val="VerbatimChar"/>
        </w:rPr>
        <w:t xml:space="preserve">Diagnostic::warrant</w:t>
      </w:r>
      <w:r>
        <w:t xml:space="preserve"> </w:t>
      </w:r>
      <w:r>
        <w:t xml:space="preserve">— rather than described, and the number of elisions is</w:t>
      </w:r>
      <w:r>
        <w:t xml:space="preserve"> </w:t>
      </w:r>
      <w:r>
        <w:t xml:space="preserve">observable so that the rule cannot silently stop firing.</w:t>
      </w:r>
    </w:p>
    <w:p>
      <w:pPr>
        <w:pStyle w:val="BodyText"/>
      </w:pPr>
      <w:r>
        <w:rPr>
          <w:bCs/>
          <w:b/>
        </w:rPr>
        <w:t xml:space="preserve">The precedent for the specific error class is rustc’s borrow checker</w:t>
      </w:r>
      <w:r>
        <w:t xml:space="preserve">, which is the</w:t>
      </w:r>
      <w:r>
        <w:t xml:space="preserve"> </w:t>
      </w:r>
      <w:r>
        <w:t xml:space="preserve">industrial system closest to this one. A use-after-move (E0382) is reported with</w:t>
      </w:r>
      <w:r>
        <w:t xml:space="preserve"> </w:t>
      </w:r>
      <w:r>
        <w:rPr>
          <w:iCs/>
          <w:i/>
        </w:rPr>
        <w:t xml:space="preserve">seven</w:t>
      </w:r>
      <w:r>
        <w:t xml:space="preserve"> </w:t>
      </w:r>
      <w:r>
        <w:t xml:space="preserve">labelled locations across three windows, whose core is precisely the shape Niles uses for a</w:t>
      </w:r>
      <w:r>
        <w:t xml:space="preserve"> </w:t>
      </w:r>
      <w:r>
        <w:t xml:space="preserve">doubly-resolved hold:</w:t>
      </w:r>
      <w:r>
        <w:t xml:space="preserve"> </w:t>
      </w:r>
      <w:r>
        <w:rPr>
          <w:iCs/>
          <w:i/>
        </w:rPr>
        <w:t xml:space="preserve">bound here</w:t>
      </w:r>
      <w:r>
        <w:t xml:space="preserve">,</w:t>
      </w:r>
      <w:r>
        <w:t xml:space="preserve"> </w:t>
      </w:r>
      <w:r>
        <w:rPr>
          <w:iCs/>
          <w:i/>
        </w:rPr>
        <w:t xml:space="preserve">first consumed here</w:t>
      </w:r>
      <w:r>
        <w:t xml:space="preserve">,</w:t>
      </w:r>
      <w:r>
        <w:t xml:space="preserve"> </w:t>
      </w:r>
      <w:r>
        <w:rPr>
          <w:iCs/>
          <w:i/>
        </w:rPr>
        <w:t xml:space="preserve">consumed again here</w:t>
      </w:r>
      <w:r>
        <w:t xml:space="preserve">, with the</w:t>
      </w:r>
      <w:r>
        <w:t xml:space="preserve"> </w:t>
      </w:r>
      <w:r>
        <w:t xml:space="preserve">caret on the second use rather than the first. Conflicting-borrow errors (E0499, E0502) use</w:t>
      </w:r>
      <w:r>
        <w:t xml:space="preserve"> </w:t>
      </w:r>
      <w:r>
        <w:t xml:space="preserve">three. This thesis follows that layout because it is the only place the pattern has been</w:t>
      </w:r>
      <w:r>
        <w:t xml:space="preserve"> </w:t>
      </w:r>
      <w:r>
        <w:t xml:space="preserve">exercised at scale, not because a study has validated it.</w:t>
      </w:r>
    </w:p>
    <w:p>
      <w:pPr>
        <w:pStyle w:val="BodyText"/>
      </w:pPr>
      <w:r>
        <w:rPr>
          <w:bCs/>
          <w:b/>
        </w:rPr>
        <w:t xml:space="preserve">What is not claimed.</w:t>
      </w:r>
      <w:r>
        <w:t xml:space="preserve"> </w:t>
      </w:r>
      <w:r>
        <w:t xml:space="preserve">That developers attend to the second span; no eye-tracking study has</w:t>
      </w:r>
      <w:r>
        <w:t xml:space="preserve"> </w:t>
      </w:r>
      <w:r>
        <w:t xml:space="preserve">looked inside a diagnostic. That message enhancement improves outcomes; the record there is</w:t>
      </w:r>
      <w:r>
        <w:t xml:space="preserve"> </w:t>
      </w:r>
      <w:r>
        <w:t xml:space="preserve">mixed to null. That there is literature on diagnostics for linear or effect type systems;</w:t>
      </w:r>
      <w:r>
        <w:t xml:space="preserve"> </w:t>
      </w:r>
      <w:r>
        <w:t xml:space="preserve">there is none, and that gap is a research opportunity rather than a citation. The experiment</w:t>
      </w:r>
      <w:r>
        <w:t xml:space="preserve"> </w:t>
      </w:r>
      <w:r>
        <w:t xml:space="preserve">that would settle it is small and well-scoped — the same violation rendered three ways,</w:t>
      </w:r>
      <w:r>
        <w:t xml:space="preserve"> </w:t>
      </w:r>
      <w:r>
        <w:t xml:space="preserve">measured on blame-attribution accuracy and time-to-correct-fix — and §12 records it as future</w:t>
      </w:r>
      <w:r>
        <w:t xml:space="preserve"> </w:t>
      </w:r>
      <w:r>
        <w:t xml:space="preserve">work rather than pretending it has been run.</w:t>
      </w:r>
    </w:p>
    <w:bookmarkEnd w:id="112"/>
    <w:bookmarkStart w:id="113" w:name="Xc4186d14a75b6c3f5e2cf275346373a66ff9efa"/>
    <w:p>
      <w:pPr>
        <w:pStyle w:val="Heading3"/>
      </w:pPr>
      <w:r>
        <w:t xml:space="preserve">6.10.3 The Counterproposal, and Where It Leaves Both Gates</w:t>
      </w:r>
    </w:p>
    <w:p>
      <w:pPr>
        <w:pStyle w:val="FirstParagraph"/>
      </w:pPr>
      <w:r>
        <w:t xml:space="preserve">The gates above ask whether Niles</w:t>
      </w:r>
      <w:r>
        <w:t xml:space="preserve"> </w:t>
      </w:r>
      <w:r>
        <w:rPr>
          <w:iCs/>
          <w:i/>
        </w:rPr>
        <w:t xml:space="preserve">could</w:t>
      </w:r>
      <w:r>
        <w:t xml:space="preserve"> </w:t>
      </w:r>
      <w:r>
        <w:t xml:space="preserve">be a library or an SQL extension. A sharper</w:t>
      </w:r>
      <w:r>
        <w:t xml:space="preserve"> </w:t>
      </w:r>
      <w:r>
        <w:t xml:space="preserve">question is the one a committee will actually ask:</w:t>
      </w:r>
      <w:r>
        <w:t xml:space="preserve"> </w:t>
      </w:r>
      <w:r>
        <w:rPr>
          <w:bCs/>
          <w:b/>
        </w:rPr>
        <w:t xml:space="preserve">why not simply add reconstructible</w:t>
      </w:r>
      <w:r>
        <w:rPr>
          <w:bCs/>
          <w:b/>
        </w:rPr>
        <w:t xml:space="preserve"> </w:t>
      </w:r>
      <w:r>
        <w:rPr>
          <w:bCs/>
          <w:b/>
        </w:rPr>
        <w:t xml:space="preserve">epoch-anchored views to PostgreSQL, and keep SQL?</w:t>
      </w:r>
      <w:r>
        <w:t xml:space="preserve"> </w:t>
      </w:r>
      <w:r>
        <w:t xml:space="preserve">That is the minimal counterproposal, and</w:t>
      </w:r>
      <w:r>
        <w:t xml:space="preserve"> </w:t>
      </w:r>
      <w:r>
        <w:t xml:space="preserve">because it is the strongest objection available it was built and measured rather than</w:t>
      </w:r>
      <w:r>
        <w:t xml:space="preserve"> </w:t>
      </w:r>
      <w:r>
        <w:t xml:space="preserve">argued. Experiment E14 is the result; the harness is</w:t>
      </w:r>
      <w:r>
        <w:t xml:space="preserve"> </w:t>
      </w:r>
      <w:r>
        <w:rPr>
          <w:rStyle w:val="VerbatimChar"/>
        </w:rPr>
        <w:t xml:space="preserve">crates/counterproposal/run.sh</w:t>
      </w:r>
      <w:r>
        <w:t xml:space="preserve"> </w:t>
      </w:r>
      <w:r>
        <w:t xml:space="preserve">and it</w:t>
      </w:r>
      <w:r>
        <w:t xml:space="preserve"> </w:t>
      </w:r>
      <w:r>
        <w:t xml:space="preserve">runs against PostgreSQL 16.13.</w:t>
      </w:r>
    </w:p>
    <w:p>
      <w:pPr>
        <w:pStyle w:val="BodyText"/>
      </w:pPr>
      <w:r>
        <w:rPr>
          <w:bCs/>
          <w:b/>
        </w:rPr>
        <w:t xml:space="preserve">The mechanism survives the counterproposal intact, and this thesis reports that first</w:t>
      </w:r>
      <w:r>
        <w:rPr>
          <w:bCs/>
          <w:b/>
        </w:rPr>
        <w:t xml:space="preserve"> </w:t>
      </w:r>
      <w:r>
        <w:rPr>
          <w:bCs/>
          <w:b/>
        </w:rPr>
        <w:t xml:space="preserve">because it goes against its own emphasis.</w:t>
      </w:r>
      <w:r>
        <w:t xml:space="preserve"> </w:t>
      </w:r>
      <w:r>
        <w:t xml:space="preserve">A good-faith PostgreSQL schema — money as</w:t>
      </w:r>
      <w:r>
        <w:t xml:space="preserve"> </w:t>
      </w:r>
      <w:r>
        <w:rPr>
          <w:rStyle w:val="VerbatimChar"/>
        </w:rPr>
        <w:t xml:space="preserve">numeric</w:t>
      </w:r>
      <w:r>
        <w:t xml:space="preserve">, immutability by trigger, idempotency by unique index, conservation as a deferred</w:t>
      </w:r>
      <w:r>
        <w:t xml:space="preserve"> </w:t>
      </w:r>
      <w:r>
        <w:t xml:space="preserve">constraint trigger, reconstruction as a</w:t>
      </w:r>
      <w:r>
        <w:t xml:space="preserve"> </w:t>
      </w:r>
      <w:r>
        <w:rPr>
          <w:rStyle w:val="VerbatimChar"/>
        </w:rPr>
        <w:t xml:space="preserve">STABLE</w:t>
      </w:r>
      <w:r>
        <w:t xml:space="preserve"> </w:t>
      </w:r>
      <w:r>
        <w:t xml:space="preserve">function folding the suffix after the newest</w:t>
      </w:r>
      <w:r>
        <w:t xml:space="preserve"> </w:t>
      </w:r>
      <w:r>
        <w:t xml:space="preserve">checkpoint, and the REV itself as a table with a</w:t>
      </w:r>
      <w:r>
        <w:t xml:space="preserve"> </w:t>
      </w:r>
      <w:r>
        <w:rPr>
          <w:rStyle w:val="VerbatimChar"/>
        </w:rPr>
        <w:t xml:space="preserve">state ∈ {present, hole, pending}</w:t>
      </w:r>
      <w:r>
        <w:t xml:space="preserve"> </w:t>
      </w:r>
      <w:r>
        <w:t xml:space="preserve">column —</w:t>
      </w:r>
      <w:r>
        <w:t xml:space="preserve"> </w:t>
      </w:r>
      <w:r>
        <w:t xml:space="preserve">reproduces every mechanical property: zero divergences across fifty keys under continuous</w:t>
      </w:r>
      <w:r>
        <w:t xml:space="preserve"> </w:t>
      </w:r>
      <w:r>
        <w:t xml:space="preserve">eviction, honest absence with fifty versions kept and zero values kept, checkpoint-bounded</w:t>
      </w:r>
      <w:r>
        <w:t xml:space="preserve"> </w:t>
      </w:r>
      <w:r>
        <w:t xml:space="preserve">reconstruction at five buffer hits, and maintenance proportional to deltas rather than to</w:t>
      </w:r>
      <w:r>
        <w:t xml:space="preserve"> </w:t>
      </w:r>
      <w:r>
        <w:t xml:space="preserve">view size.</w:t>
      </w:r>
      <w:r>
        <w:t xml:space="preserve"> </w:t>
      </w:r>
      <w:r>
        <w:rPr>
          <w:bCs/>
          <w:b/>
        </w:rPr>
        <w:t xml:space="preserve">Reconstructible epoch-anchored views can be built in PostgreSQL today.</w:t>
      </w:r>
      <w:r>
        <w:t xml:space="preserve"> </w:t>
      </w:r>
      <w:r>
        <w:t xml:space="preserve">Anyone</w:t>
      </w:r>
      <w:r>
        <w:t xml:space="preserve"> </w:t>
      </w:r>
      <w:r>
        <w:t xml:space="preserve">who wants the mechanism can have it without adopting anything from this thesis, and the</w:t>
      </w:r>
      <w:r>
        <w:t xml:space="preserve"> </w:t>
      </w:r>
      <w:r>
        <w:t xml:space="preserve">engine contribution must be argued on other grounds.</w:t>
      </w:r>
    </w:p>
    <w:p>
      <w:pPr>
        <w:pStyle w:val="BodyText"/>
      </w:pPr>
      <w:r>
        <w:t xml:space="preserve">Two of those grounds survive. PostgreSQL’s own</w:t>
      </w:r>
      <w:r>
        <w:t xml:space="preserve"> </w:t>
      </w:r>
      <w:r>
        <w:rPr>
          <w:rStyle w:val="VerbatimChar"/>
        </w:rPr>
        <w:t xml:space="preserve">REFRESH MATERIALIZED VIEW</w:t>
      </w:r>
      <w:r>
        <w:t xml:space="preserve"> </w:t>
      </w:r>
      <w:r>
        <w:t xml:space="preserve">is wholesale and</w:t>
      </w:r>
      <w:r>
        <w:t xml:space="preserve"> </w:t>
      </w:r>
      <w:r>
        <w:t xml:space="preserve">takes no key, so a REV in PostgreSQL is</w:t>
      </w:r>
      <w:r>
        <w:t xml:space="preserve"> </w:t>
      </w:r>
      <w:r>
        <w:rPr>
          <w:iCs/>
          <w:i/>
        </w:rPr>
        <w:t xml:space="preserve">application code the database does not verify</w:t>
      </w:r>
      <w:r>
        <w:t xml:space="preserve">, and</w:t>
      </w:r>
      <w:r>
        <w:t xml:space="preserve"> </w:t>
      </w:r>
      <w:r>
        <w:t xml:space="preserve">every team writes it again. And PostgreSQL isolation is a property of a transaction rather</w:t>
      </w:r>
      <w:r>
        <w:t xml:space="preserve"> </w:t>
      </w:r>
      <w:r>
        <w:t xml:space="preserve">than of a view, so</w:t>
      </w:r>
      <w:r>
        <w:t xml:space="preserve"> </w:t>
      </w:r>
      <w:r>
        <w:t xml:space="preserve">“</w:t>
      </w:r>
      <w:r>
        <w:t xml:space="preserve">this balance may be four epochs stale and that one may not</w:t>
      </w:r>
      <w:r>
        <w:t xml:space="preserve">”</w:t>
      </w:r>
      <w:r>
        <w:t xml:space="preserve"> </w:t>
      </w:r>
      <w:r>
        <w:t xml:space="preserve">has no SQL</w:t>
      </w:r>
      <w:r>
        <w:t xml:space="preserve"> </w:t>
      </w:r>
      <w:r>
        <w:t xml:space="preserve">spelling at all — which is why the consistency ladder cannot be expressed, let alone checked.</w:t>
      </w:r>
    </w:p>
    <w:p>
      <w:pPr>
        <w:pStyle w:val="BodyText"/>
      </w:pPr>
      <w:r>
        <w:rPr>
          <w:bCs/>
          <w:b/>
        </w:rPr>
        <w:t xml:space="preserve">The defect corpus is where the case inverts.</w:t>
      </w:r>
      <w:r>
        <w:t xml:space="preserve"> </w:t>
      </w:r>
      <w:r>
        <w:t xml:space="preserve">Twelve defect classes, written twice, scored</w:t>
      </w:r>
      <w:r>
        <w:t xml:space="preserve"> </w:t>
      </w:r>
      <w:r>
        <w:t xml:space="preserve">by the stage at which each is caught: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right"/>
            </w:pPr>
            <w:r>
              <w:t xml:space="preserve">PostgreSQL</w:t>
            </w:r>
          </w:p>
        </w:tc>
        <w:tc>
          <w:tcPr/>
          <w:p>
            <w:pPr>
              <w:pStyle w:val="Compact"/>
              <w:jc w:val="right"/>
            </w:pPr>
            <w:r>
              <w:t xml:space="preserve">Niles</w:t>
            </w:r>
          </w:p>
        </w:tc>
      </w:tr>
      <w:tr>
        <w:tc>
          <w:tcPr/>
          <w:p>
            <w:pPr>
              <w:pStyle w:val="Compact"/>
              <w:jc w:val="left"/>
            </w:pPr>
            <w:r>
              <w:t xml:space="preserve">Compile time</w:t>
            </w:r>
          </w:p>
        </w:tc>
        <w:tc>
          <w:tcPr/>
          <w:p>
            <w:pPr>
              <w:pStyle w:val="Compact"/>
              <w:jc w:val="right"/>
            </w:pPr>
            <w:r>
              <w:t xml:space="preserve">0</w:t>
            </w:r>
          </w:p>
        </w:tc>
        <w:tc>
          <w:tcPr/>
          <w:p>
            <w:pPr>
              <w:pStyle w:val="Compact"/>
              <w:jc w:val="right"/>
            </w:pPr>
            <w:r>
              <w:t xml:space="preserve">11 (+1 warning)</w:t>
            </w:r>
          </w:p>
        </w:tc>
      </w:tr>
      <w:tr>
        <w:tc>
          <w:tcPr/>
          <w:p>
            <w:pPr>
              <w:pStyle w:val="Compact"/>
              <w:jc w:val="left"/>
            </w:pPr>
            <w:r>
              <w:t xml:space="preserve">Runtime</w:t>
            </w:r>
          </w:p>
        </w:tc>
        <w:tc>
          <w:tcPr/>
          <w:p>
            <w:pPr>
              <w:pStyle w:val="Compact"/>
              <w:jc w:val="right"/>
            </w:pPr>
            <w:r>
              <w:t xml:space="preserve">3</w:t>
            </w:r>
          </w:p>
        </w:tc>
        <w:tc>
          <w:tcPr/>
          <w:p>
            <w:pPr>
              <w:pStyle w:val="Compact"/>
              <w:jc w:val="right"/>
            </w:pPr>
            <w:r>
              <w:t xml:space="preserve">—</w:t>
            </w:r>
          </w:p>
        </w:tc>
      </w:tr>
      <w:tr>
        <w:tc>
          <w:tcPr/>
          <w:p>
            <w:pPr>
              <w:pStyle w:val="Compact"/>
              <w:jc w:val="left"/>
            </w:pPr>
            <w:r>
              <w:t xml:space="preserve">Never caught</w:t>
            </w:r>
          </w:p>
        </w:tc>
        <w:tc>
          <w:tcPr/>
          <w:p>
            <w:pPr>
              <w:pStyle w:val="Compact"/>
              <w:jc w:val="right"/>
            </w:pPr>
            <w:r>
              <w:t xml:space="preserve">9</w:t>
            </w:r>
          </w:p>
        </w:tc>
        <w:tc>
          <w:tcPr/>
          <w:p>
            <w:pPr>
              <w:pStyle w:val="Compact"/>
              <w:jc w:val="right"/>
            </w:pPr>
            <w:r>
              <w:t xml:space="preserve">—</w:t>
            </w:r>
          </w:p>
        </w:tc>
      </w:tr>
      <w:tr>
        <w:tc>
          <w:tcPr/>
          <w:p>
            <w:pPr>
              <w:pStyle w:val="Compact"/>
              <w:jc w:val="left"/>
            </w:pPr>
            <w:r>
              <w:t xml:space="preserve">Not expressible</w:t>
            </w:r>
          </w:p>
        </w:tc>
        <w:tc>
          <w:tcPr/>
          <w:p>
            <w:pPr>
              <w:pStyle w:val="Compact"/>
              <w:jc w:val="right"/>
            </w:pPr>
            <w:r>
              <w:t xml:space="preserve">1</w:t>
            </w:r>
          </w:p>
        </w:tc>
        <w:tc>
          <w:tcPr/>
          <w:p>
            <w:pPr>
              <w:pStyle w:val="Compact"/>
              <w:jc w:val="right"/>
            </w:pPr>
            <w:r>
              <w:t xml:space="preserve">1</w:t>
            </w:r>
          </w:p>
        </w:tc>
      </w:tr>
    </w:tbl>
    <w:p>
      <w:pPr>
        <w:pStyle w:val="BodyText"/>
      </w:pPr>
      <w:r>
        <w:t xml:space="preserve">PostgreSQL wins one comparison outright: a mixed-currency transaction moving 100 USD to 100</w:t>
      </w:r>
      <w:r>
        <w:t xml:space="preserve"> </w:t>
      </w:r>
      <w:r>
        <w:t xml:space="preserve">EUR is caught at COMMIT, because the deferred trigger groups by</w:t>
      </w:r>
      <w:r>
        <w:t xml:space="preserve"> </w:t>
      </w:r>
      <w:r>
        <w:rPr>
          <w:rStyle w:val="VerbatimChar"/>
        </w:rPr>
        <w:t xml:space="preserve">(txn, cur)</w:t>
      </w:r>
      <w:r>
        <w:t xml:space="preserve"> </w:t>
      </w:r>
      <w:r>
        <w:t xml:space="preserve">and both groups</w:t>
      </w:r>
      <w:r>
        <w:t xml:space="preserve"> </w:t>
      </w:r>
      <w:r>
        <w:t xml:space="preserve">are non-zero. That is a complete and correct detection.</w:t>
      </w:r>
    </w:p>
    <w:p>
      <w:pPr>
        <w:pStyle w:val="BodyText"/>
      </w:pPr>
      <w:r>
        <w:t xml:space="preserve">The nine it never catches are the ones without an SQL spelling to check against: adding USD</w:t>
      </w:r>
      <w:r>
        <w:t xml:space="preserve"> </w:t>
      </w:r>
      <w:r>
        <w:t xml:space="preserve">to EUR in a query;</w:t>
      </w:r>
      <w:r>
        <w:t xml:space="preserve"> </w:t>
      </w:r>
      <w:r>
        <w:rPr>
          <w:rStyle w:val="VerbatimChar"/>
        </w:rPr>
        <w:t xml:space="preserve">100.50 jpy</w:t>
      </w:r>
      <w:r>
        <w:t xml:space="preserve"> </w:t>
      </w:r>
      <w:r>
        <w:t xml:space="preserve">where JPY has scale zero, which PostgreSQL stores as</w:t>
      </w:r>
      <w:r>
        <w:t xml:space="preserve"> </w:t>
      </w:r>
      <w:r>
        <w:rPr>
          <w:rStyle w:val="VerbatimChar"/>
        </w:rPr>
        <w:t xml:space="preserve">-100.5000</w:t>
      </w:r>
      <w:r>
        <w:t xml:space="preserve"> </w:t>
      </w:r>
      <w:r>
        <w:t xml:space="preserve">without complaint; an authorization derived from a bounded-stale view; a</w:t>
      </w:r>
      <w:r>
        <w:t xml:space="preserve"> </w:t>
      </w:r>
      <w:r>
        <w:t xml:space="preserve">materialized view whose predicate reads</w:t>
      </w:r>
      <w:r>
        <w:t xml:space="preserve"> </w:t>
      </w:r>
      <w:r>
        <w:rPr>
          <w:rStyle w:val="VerbatimChar"/>
        </w:rPr>
        <w:t xml:space="preserve">now()</w:t>
      </w:r>
      <w:r>
        <w:t xml:space="preserve">; a filter on a column that should be</w:t>
      </w:r>
      <w:r>
        <w:t xml:space="preserve"> </w:t>
      </w:r>
      <w:r>
        <w:t xml:space="preserve">encrypted; an unauthorized overdraft; a missing anchor index. These are not gaps PostgreSQL</w:t>
      </w:r>
      <w:r>
        <w:t xml:space="preserve"> </w:t>
      </w:r>
      <w:r>
        <w:t xml:space="preserve">could close with more triggers, because a trigger is a runtime object.</w:t>
      </w:r>
    </w:p>
    <w:p>
      <w:pPr>
        <w:pStyle w:val="BodyText"/>
      </w:pPr>
      <w:r>
        <w:rPr>
          <w:bCs/>
          <w:b/>
        </w:rPr>
        <w:t xml:space="preserve">Which the tenth defect demonstrates.</w:t>
      </w:r>
      <w:r>
        <w:t xml:space="preserve"> </w:t>
      </w:r>
      <w:r>
        <w:t xml:space="preserve">One statement —</w:t>
      </w:r>
    </w:p>
    <w:p>
      <w:pPr>
        <w:pStyle w:val="SourceCode"/>
      </w:pPr>
      <w:r>
        <w:rPr>
          <w:rStyle w:val="KeywordTok"/>
        </w:rPr>
        <w:t xml:space="preserve">drop</w:t>
      </w:r>
      <w:r>
        <w:rPr>
          <w:rStyle w:val="NormalTok"/>
        </w:rPr>
        <w:t xml:space="preserve"> </w:t>
      </w:r>
      <w:r>
        <w:rPr>
          <w:rStyle w:val="KeywordTok"/>
        </w:rPr>
        <w:t xml:space="preserve">trigger</w:t>
      </w:r>
      <w:r>
        <w:rPr>
          <w:rStyle w:val="NormalTok"/>
        </w:rPr>
        <w:t xml:space="preserve"> postings_conserve </w:t>
      </w:r>
      <w:r>
        <w:rPr>
          <w:rStyle w:val="KeywordTok"/>
        </w:rPr>
        <w:t xml:space="preserve">on</w:t>
      </w:r>
      <w:r>
        <w:rPr>
          <w:rStyle w:val="NormalTok"/>
        </w:rPr>
        <w:t xml:space="preserve"> postings;</w:t>
      </w:r>
    </w:p>
    <w:p>
      <w:pPr>
        <w:pStyle w:val="FirstParagraph"/>
      </w:pPr>
      <w:r>
        <w:t xml:space="preserve">— followed by a single one-legged insert, and the ledger’s control total reads −500.00 with</w:t>
      </w:r>
      <w:r>
        <w:t xml:space="preserve"> </w:t>
      </w:r>
      <w:r>
        <w:t xml:space="preserve">nothing left in the database that will ever say so. This is not a criticism of PostgreSQL; a</w:t>
      </w:r>
      <w:r>
        <w:t xml:space="preserve"> </w:t>
      </w:r>
      <w:r>
        <w:t xml:space="preserve">trigger is supposed to be droppable, and a migration, a</w:t>
      </w:r>
      <w:r>
        <w:t xml:space="preserve"> </w:t>
      </w:r>
      <w:r>
        <w:rPr>
          <w:rStyle w:val="VerbatimChar"/>
        </w:rPr>
        <w:t xml:space="preserve">pg_restore</w:t>
      </w:r>
      <w:r>
        <w:t xml:space="preserve">, or a replication tool</w:t>
      </w:r>
      <w:r>
        <w:t xml:space="preserve"> </w:t>
      </w:r>
      <w:r>
        <w:t xml:space="preserve">that omits triggers will drop it without anyone deciding to. It is an observation about</w:t>
      </w:r>
      <w:r>
        <w:t xml:space="preserve"> </w:t>
      </w:r>
      <w:r>
        <w:rPr>
          <w:bCs/>
          <w:b/>
        </w:rPr>
        <w:t xml:space="preserve">where the invariant lives</w:t>
      </w:r>
      <w:r>
        <w:t xml:space="preserve">. In the SQL version conservation is a runtime object that can</w:t>
      </w:r>
      <w:r>
        <w:t xml:space="preserve"> </w:t>
      </w:r>
      <w:r>
        <w:t xml:space="preserve">be removed from a running system; in Niles it is a property of the program text, and a</w:t>
      </w:r>
      <w:r>
        <w:t xml:space="preserve"> </w:t>
      </w:r>
      <w:r>
        <w:t xml:space="preserve">program without a balancing posting has no executable form from which to remove the check.</w:t>
      </w:r>
    </w:p>
    <w:p>
      <w:pPr>
        <w:pStyle w:val="BodyText"/>
      </w:pPr>
      <w:r>
        <w:rPr>
          <w:bCs/>
          <w:b/>
        </w:rPr>
        <w:t xml:space="preserve">What E14 settles, and what it does not.</w:t>
      </w:r>
      <w:r>
        <w:t xml:space="preserve"> </w:t>
      </w:r>
      <w:r>
        <w:t xml:space="preserve">It settles that the engine case is the weaker of</w:t>
      </w:r>
      <w:r>
        <w:t xml:space="preserve"> </w:t>
      </w:r>
      <w:r>
        <w:t xml:space="preserve">the two and the language case the stronger — the opposite of where this thesis spends its</w:t>
      </w:r>
      <w:r>
        <w:t xml:space="preserve"> </w:t>
      </w:r>
      <w:r>
        <w:t xml:space="preserve">pages, and §12 records the rebalancing as work the document still needs. It does not settle</w:t>
      </w:r>
      <w:r>
        <w:t xml:space="preserve"> </w:t>
      </w:r>
      <w:r>
        <w:t xml:space="preserve">that Niles should exist, and three premises are missing before it could:</w:t>
      </w:r>
    </w:p>
    <w:p>
      <w:pPr>
        <w:numPr>
          <w:ilvl w:val="0"/>
          <w:numId w:val="1012"/>
        </w:numPr>
        <w:pStyle w:val="Compact"/>
      </w:pPr>
      <w:r>
        <w:rPr>
          <w:bCs/>
          <w:b/>
        </w:rPr>
        <w:t xml:space="preserve">Frequency.</w:t>
      </w:r>
      <w:r>
        <w:t xml:space="preserve"> </w:t>
      </w:r>
      <w:r>
        <w:t xml:space="preserve">The table shows these defects are undetectable, not that they are common.</w:t>
      </w:r>
      <w:r>
        <w:t xml:space="preserve"> </w:t>
      </w:r>
      <w:r>
        <w:t xml:space="preserve">A defect class nobody writes costs nothing to miss. Establishing frequency needs a corpus</w:t>
      </w:r>
      <w:r>
        <w:t xml:space="preserve"> </w:t>
      </w:r>
      <w:r>
        <w:t xml:space="preserve">of real banking code or an incident study, and this thesis has neither.</w:t>
      </w:r>
    </w:p>
    <w:p>
      <w:pPr>
        <w:numPr>
          <w:ilvl w:val="0"/>
          <w:numId w:val="1012"/>
        </w:numPr>
        <w:pStyle w:val="Compact"/>
      </w:pPr>
      <w:r>
        <w:rPr>
          <w:bCs/>
          <w:b/>
        </w:rPr>
        <w:t xml:space="preserve">Cost.</w:t>
      </w:r>
      <w:r>
        <w:t xml:space="preserve"> </w:t>
      </w:r>
      <w:r>
        <w:t xml:space="preserve">Against nine avoided defect classes stands training, tooling, hiring, the</w:t>
      </w:r>
      <w:r>
        <w:t xml:space="preserve"> </w:t>
      </w:r>
      <w:r>
        <w:t xml:space="preserve">reserved-word collisions of §9.13.5, and the risk that the compiler is itself wrong. E14</w:t>
      </w:r>
      <w:r>
        <w:t xml:space="preserve"> </w:t>
      </w:r>
      <w:r>
        <w:t xml:space="preserve">measures only the benefit column.</w:t>
      </w:r>
    </w:p>
    <w:p>
      <w:pPr>
        <w:numPr>
          <w:ilvl w:val="0"/>
          <w:numId w:val="1012"/>
        </w:numPr>
        <w:pStyle w:val="Compact"/>
      </w:pPr>
      <w:r>
        <w:rPr>
          <w:bCs/>
          <w:b/>
        </w:rPr>
        <w:t xml:space="preserve">Human effect.</w:t>
      </w:r>
      <w:r>
        <w:t xml:space="preserve"> </w:t>
      </w:r>
      <w:r>
        <w:t xml:space="preserve">Whether a compile-time rejection prevents an incident that a runtime</w:t>
      </w:r>
      <w:r>
        <w:t xml:space="preserve"> </w:t>
      </w:r>
      <w:r>
        <w:t xml:space="preserve">exception would also have prevented is a question about developers, not compilers.</w:t>
      </w:r>
    </w:p>
    <w:p>
      <w:pPr>
        <w:pStyle w:val="FirstParagraph"/>
      </w:pPr>
      <w:r>
        <w:t xml:space="preserve">The verdict this thesis therefore reaches is</w:t>
      </w:r>
      <w:r>
        <w:t xml:space="preserve"> </w:t>
      </w:r>
      <w:r>
        <w:rPr>
          <w:bCs/>
          <w:b/>
        </w:rPr>
        <w:t xml:space="preserve">argued, with the argument’s missing premises</w:t>
      </w:r>
      <w:r>
        <w:rPr>
          <w:bCs/>
          <w:b/>
        </w:rPr>
        <w:t xml:space="preserve"> </w:t>
      </w:r>
      <w:r>
        <w:rPr>
          <w:bCs/>
          <w:b/>
        </w:rPr>
        <w:t xml:space="preserve">named</w:t>
      </w:r>
      <w:r>
        <w:t xml:space="preserve"> </w:t>
      </w:r>
      <w:r>
        <w:t xml:space="preserve">— which is a weaker claim than</w:t>
      </w:r>
      <w:r>
        <w:t xml:space="preserve"> </w:t>
      </w:r>
      <w:r>
        <w:t xml:space="preserve">“</w:t>
      </w:r>
      <w:r>
        <w:t xml:space="preserve">proved</w:t>
      </w:r>
      <w:r>
        <w:t xml:space="preserve">”</w:t>
      </w:r>
      <w:r>
        <w:t xml:space="preserve">, and the right one.</w:t>
      </w:r>
    </w:p>
    <w:bookmarkEnd w:id="113"/>
    <w:bookmarkStart w:id="114" w:name="the-second-gate-should-nilestream-exist"/>
    <w:p>
      <w:pPr>
        <w:pStyle w:val="Heading3"/>
      </w:pPr>
      <w:r>
        <w:t xml:space="preserve">6.10.4 The Second Gate: Should Nilestream Exist?</w:t>
      </w:r>
    </w:p>
    <w:p>
      <w:pPr>
        <w:pStyle w:val="FirstParagraph"/>
      </w:pPr>
      <w:r>
        <w:t xml:space="preserve">The language-creation gate has an engine counterpart, and this thesis previously did not</w:t>
      </w:r>
      <w:r>
        <w:t xml:space="preserve"> </w:t>
      </w:r>
      <w:r>
        <w:t xml:space="preserve">state it. Applying the same three conditions:</w:t>
      </w:r>
    </w:p>
    <w:p>
      <w:pPr>
        <w:pStyle w:val="BodyText"/>
      </w:pPr>
      <w:r>
        <w:rPr>
          <w:bCs/>
          <w:b/>
        </w:rPr>
        <w:t xml:space="preserve">(E1) Can the required semantics be obtained from an existing engine?</w:t>
      </w:r>
      <w:r>
        <w:t xml:space="preserve"> </w:t>
      </w:r>
      <w:r>
        <w:t xml:space="preserve">Partly, and more</w:t>
      </w:r>
      <w:r>
        <w:t xml:space="preserve"> </w:t>
      </w:r>
      <w:r>
        <w:t xml:space="preserve">than expected. E14 shows the REV mechanism running in PostgreSQL with the right asymptotics.</w:t>
      </w:r>
      <w:r>
        <w:t xml:space="preserve"> </w:t>
      </w:r>
      <w:r>
        <w:t xml:space="preserve">What cannot be obtained is per-view consistency — isolation is per-transaction — and a</w:t>
      </w:r>
      <w:r>
        <w:t xml:space="preserve"> </w:t>
      </w:r>
      <w:r>
        <w:t xml:space="preserve">stable, user-visible read anchor, since neither</w:t>
      </w:r>
      <w:r>
        <w:t xml:space="preserve"> </w:t>
      </w:r>
      <w:r>
        <w:rPr>
          <w:rStyle w:val="VerbatimChar"/>
        </w:rPr>
        <w:t xml:space="preserve">xmin</w:t>
      </w:r>
      <w:r>
        <w:t xml:space="preserve"> </w:t>
      </w:r>
      <w:r>
        <w:t xml:space="preserve">nor an LSN is one. E1</w:t>
      </w:r>
      <w:r>
        <w:t xml:space="preserve"> </w:t>
      </w:r>
      <w:r>
        <w:rPr>
          <w:bCs/>
          <w:b/>
        </w:rPr>
        <w:t xml:space="preserve">fails as</w:t>
      </w:r>
      <w:r>
        <w:rPr>
          <w:bCs/>
          <w:b/>
        </w:rPr>
        <w:t xml:space="preserve"> </w:t>
      </w:r>
      <w:r>
        <w:rPr>
          <w:bCs/>
          <w:b/>
        </w:rPr>
        <w:t xml:space="preserve">stated</w:t>
      </w:r>
      <w:r>
        <w:t xml:space="preserve"> </w:t>
      </w:r>
      <w:r>
        <w:t xml:space="preserve">and survives only in the narrower form:</w:t>
      </w:r>
      <w:r>
        <w:t xml:space="preserve"> </w:t>
      </w:r>
      <w:r>
        <w:rPr>
          <w:iCs/>
          <w:i/>
        </w:rPr>
        <w:t xml:space="preserve">some</w:t>
      </w:r>
      <w:r>
        <w:t xml:space="preserve"> </w:t>
      </w:r>
      <w:r>
        <w:t xml:space="preserve">required semantics are unavailable,</w:t>
      </w:r>
      <w:r>
        <w:t xml:space="preserve"> </w:t>
      </w:r>
      <w:r>
        <w:t xml:space="preserve">not all.</w:t>
      </w:r>
    </w:p>
    <w:p>
      <w:pPr>
        <w:pStyle w:val="BodyText"/>
      </w:pPr>
      <w:r>
        <w:rPr>
          <w:bCs/>
          <w:b/>
        </w:rPr>
        <w:t xml:space="preserve">(E2) Can they be added without semantic dishonesty?</w:t>
      </w:r>
      <w:r>
        <w:t xml:space="preserve"> </w:t>
      </w:r>
      <w:r>
        <w:t xml:space="preserve">Per-view consistency cannot be added</w:t>
      </w:r>
      <w:r>
        <w:t xml:space="preserve"> </w:t>
      </w:r>
      <w:r>
        <w:t xml:space="preserve">to an engine whose isolation is a transaction property without changing what a transaction</w:t>
      </w:r>
      <w:r>
        <w:t xml:space="preserve"> </w:t>
      </w:r>
      <w:r>
        <w:t xml:space="preserve">means. A read anchor could be exposed. Partial materialization could be added to materialized</w:t>
      </w:r>
      <w:r>
        <w:t xml:space="preserve"> </w:t>
      </w:r>
      <w:r>
        <w:t xml:space="preserve">views. So E2 is</w:t>
      </w:r>
      <w:r>
        <w:t xml:space="preserve"> </w:t>
      </w:r>
      <w:r>
        <w:rPr>
          <w:bCs/>
          <w:b/>
        </w:rPr>
        <w:t xml:space="preserve">partly satisfiable</w:t>
      </w:r>
      <w:r>
        <w:t xml:space="preserve">: a determined PostgreSQL fork could reach much of this,</w:t>
      </w:r>
      <w:r>
        <w:t xml:space="preserve"> </w:t>
      </w:r>
      <w:r>
        <w:t xml:space="preserve">and the honest position is that Nilestream’s engine contribution is</w:t>
      </w:r>
      <w:r>
        <w:t xml:space="preserve"> </w:t>
      </w:r>
      <w:r>
        <w:rPr>
          <w:iCs/>
          <w:i/>
        </w:rPr>
        <w:t xml:space="preserve">cumulative</w:t>
      </w:r>
      <w:r>
        <w:t xml:space="preserve"> </w:t>
      </w:r>
      <w:r>
        <w:t xml:space="preserve">rather than</w:t>
      </w:r>
      <w:r>
        <w:t xml:space="preserve"> </w:t>
      </w:r>
      <w:r>
        <w:rPr>
          <w:iCs/>
          <w:i/>
        </w:rPr>
        <w:t xml:space="preserve">enabling</w:t>
      </w:r>
      <w:r>
        <w:t xml:space="preserve">.</w:t>
      </w:r>
    </w:p>
    <w:p>
      <w:pPr>
        <w:pStyle w:val="BodyText"/>
      </w:pPr>
      <w:r>
        <w:rPr>
          <w:bCs/>
          <w:b/>
        </w:rPr>
        <w:t xml:space="preserve">(E3) Is the engine load-bearing for the scientific claims?</w:t>
      </w:r>
      <w:r>
        <w:t xml:space="preserve"> </w:t>
      </w:r>
      <w:r>
        <w:t xml:space="preserve">This is where it holds, and</w:t>
      </w:r>
      <w:r>
        <w:t xml:space="preserve"> </w:t>
      </w:r>
      <w:r>
        <w:t xml:space="preserve">for one reason: the theorems quantify over a</w:t>
      </w:r>
      <w:r>
        <w:t xml:space="preserve"> </w:t>
      </w:r>
      <w:r>
        <w:rPr>
          <w:bCs/>
          <w:b/>
        </w:rPr>
        <w:t xml:space="preserve">typed IR with anchors, contracts and</w:t>
      </w:r>
      <w:r>
        <w:rPr>
          <w:bCs/>
          <w:b/>
        </w:rPr>
        <w:t xml:space="preserve"> </w:t>
      </w:r>
      <w:r>
        <w:rPr>
          <w:bCs/>
          <w:b/>
        </w:rPr>
        <w:t xml:space="preserve">provenance on every node</w:t>
      </w:r>
      <w:r>
        <w:t xml:space="preserve">, and the accessed-field discipline that makes an engine fail</w:t>
      </w:r>
      <w:r>
        <w:t xml:space="preserve"> </w:t>
      </w:r>
      <w:r>
        <w:t xml:space="preserve">loudly when it ignores one of them. A conventional engine has no such object, so the proofs</w:t>
      </w:r>
      <w:r>
        <w:t xml:space="preserve"> </w:t>
      </w:r>
      <w:r>
        <w:t xml:space="preserve">would be about something other than what runs. The instrument is load-bearing even where the</w:t>
      </w:r>
      <w:r>
        <w:t xml:space="preserve"> </w:t>
      </w:r>
      <w:r>
        <w:t xml:space="preserve">mechanism is not.</w:t>
      </w:r>
    </w:p>
    <w:p>
      <w:pPr>
        <w:pStyle w:val="BodyText"/>
      </w:pPr>
      <w:r>
        <w:rPr>
          <w:bCs/>
          <w:b/>
        </w:rPr>
        <w:t xml:space="preserve">Verdict on Nilestream: weaker than the verdict on Niles, and the thesis should say so.</w:t>
      </w:r>
      <w:r>
        <w:t xml:space="preserve"> </w:t>
      </w:r>
      <w:r>
        <w:t xml:space="preserve">The engine is justified as the</w:t>
      </w:r>
      <w:r>
        <w:t xml:space="preserve"> </w:t>
      </w:r>
      <w:r>
        <w:rPr>
          <w:iCs/>
          <w:i/>
        </w:rPr>
        <w:t xml:space="preserve">instrument that makes the theory testable</w:t>
      </w:r>
      <w:r>
        <w:t xml:space="preserve"> </w:t>
      </w:r>
      <w:r>
        <w:t xml:space="preserve">and as an</w:t>
      </w:r>
      <w:r>
        <w:t xml:space="preserve"> </w:t>
      </w:r>
      <w:r>
        <w:t xml:space="preserve">integration of mechanisms that are individually available elsewhere — not as a set of</w:t>
      </w:r>
      <w:r>
        <w:t xml:space="preserve"> </w:t>
      </w:r>
      <w:r>
        <w:t xml:space="preserve">capabilities no existing system could reach. Chapter 11’s risk register gains this as a</w:t>
      </w:r>
      <w:r>
        <w:t xml:space="preserve"> </w:t>
      </w:r>
      <w:r>
        <w:t xml:space="preserve">named risk, and Chapter 12 records rebalancing the document’s emphasis as outstanding work.</w:t>
      </w:r>
    </w:p>
    <w:bookmarkEnd w:id="114"/>
    <w:bookmarkEnd w:id="115"/>
    <w:bookmarkStart w:id="116" w:name="join-ordering-under-partial-state"/>
    <w:p>
      <w:pPr>
        <w:pStyle w:val="Heading2"/>
      </w:pPr>
      <w:r>
        <w:t xml:space="preserve">6.11 Join Ordering Under Partial State</w:t>
      </w:r>
    </w:p>
    <w:p>
      <w:pPr>
        <w:pStyle w:val="FirstParagraph"/>
      </w:pPr>
      <w:r>
        <w:t xml:space="preserve">Join ordering is the oldest solved problem in query optimisation and it is not the problem this system has. Selinger’s dynamic program, and its modern form as Moerkotte and Neumann’s</w:t>
      </w:r>
      <w:r>
        <w:t xml:space="preserve"> </w:t>
      </w:r>
      <w:r>
        <w:rPr>
          <w:rStyle w:val="VerbatimChar"/>
        </w:rPr>
        <w:t xml:space="preserve">DPccp</w:t>
      </w:r>
      <w:r>
        <w:t xml:space="preserve">, minimises one quantity: the number of intermediate tuples a plan produces. That is the right objective for a batch engine, where a join is a</w:t>
      </w:r>
      <w:r>
        <w:t xml:space="preserve"> </w:t>
      </w:r>
      <w:r>
        <w:rPr>
          <w:iCs/>
          <w:i/>
        </w:rPr>
        <w:t xml:space="preserve">transient</w:t>
      </w:r>
      <w:r>
        <w:t xml:space="preserve"> </w:t>
      </w:r>
      <w:r>
        <w:t xml:space="preserve">— it consumes its inputs, emits its output and holds nothing afterwards.</w:t>
      </w:r>
    </w:p>
    <w:p>
      <w:pPr>
        <w:pStyle w:val="BodyText"/>
      </w:pPr>
      <w:r>
        <w:t xml:space="preserve">In a dataflow engine a join is not transient. It is a standing operator with two indexes, and those indexes are resident for as long as the view exists. The number that matters is therefore not how many tuples pass through but how many are still in memory when nothing is passing through at all, and a plan that produces fewer intermediate tuples while keeping a larger index is worse. Partial state adds a third quantity neither of the first two captures: when a REV evicts a key and later reads it, reconstruction walks</w:t>
      </w:r>
      <w:r>
        <w:t xml:space="preserve"> </w:t>
      </w:r>
      <w:r>
        <w:rPr>
          <w:iCs/>
          <w:i/>
        </w:rPr>
        <w:t xml:space="preserve">up</w:t>
      </w:r>
      <w:r>
        <w:t xml:space="preserve"> </w:t>
      </w:r>
      <w:r>
        <w:t xml:space="preserve">the operator graph to the nearest reconstructible ancestor, and the shape of the join tree is the shape of that walk. A deep left-deep tree makes reconstruction deep; a bushy tree makes it shallow but multiplies the internal indexes. The objective is thus three-term:</w:t>
      </w:r>
    </w:p>
    <w:p>
      <w:pPr>
        <w:pStyle w:val="BodyText"/>
      </w:pPr>
      <m:oMathPara>
        <m:oMathParaPr>
          <m:jc m:val="center"/>
        </m:oMathParaPr>
        <m:oMath>
          <m:r>
            <m:rPr>
              <m:sty m:val="p"/>
            </m:rPr>
            <m:t>c</m:t>
          </m:r>
          <m:r>
            <m:rPr>
              <m:sty m:val="p"/>
            </m:rPr>
            <m:t>o</m:t>
          </m:r>
          <m:r>
            <m:rPr>
              <m:sty m:val="p"/>
            </m:rPr>
            <m:t>s</m:t>
          </m:r>
          <m:r>
            <m:rPr>
              <m:sty m:val="p"/>
            </m:rPr>
            <m:t>t</m:t>
          </m:r>
          <m:d>
            <m:dPr>
              <m:begChr m:val="("/>
              <m:endChr m:val=")"/>
              <m:sepChr m:val=""/>
              <m:grow/>
            </m:dPr>
            <m:e>
              <m:r>
                <m:t>P</m:t>
              </m:r>
            </m:e>
          </m:d>
          <m:r>
            <m:t> </m:t>
          </m:r>
          <m:r>
            <m:rPr>
              <m:sty m:val="p"/>
            </m:rPr>
            <m:t>=</m:t>
          </m:r>
          <m:r>
            <m:t> </m:t>
          </m:r>
          <m:sSub>
            <m:e>
              <m:r>
                <m:t>w</m:t>
              </m:r>
            </m:e>
            <m:sub>
              <m:r>
                <m:rPr>
                  <m:nor/>
                  <m:sty m:val="p"/>
                </m:rPr>
                <m:t>flow</m:t>
              </m:r>
            </m:sub>
          </m:sSub>
          <m:nary>
            <m:naryPr>
              <m:chr m:val="∑"/>
              <m:limLoc m:val="undOvr"/>
              <m:subHide m:val="off"/>
              <m:supHide m:val="on"/>
            </m:naryPr>
            <m:sub>
              <m:r>
                <m:t>v</m:t>
              </m:r>
              <m:r>
                <m:rPr>
                  <m:sty m:val="p"/>
                </m:rPr>
                <m:t>∈</m:t>
              </m:r>
              <m:r>
                <m:t>P</m:t>
              </m:r>
            </m:sub>
            <m:sup>
              <m:r>
                <m:t>​</m:t>
              </m:r>
            </m:sup>
            <m:e>
              <m:d>
                <m:dPr>
                  <m:begChr m:val="|"/>
                  <m:endChr m:val="|"/>
                  <m:sepChr m:val=""/>
                  <m:grow/>
                </m:dPr>
                <m:e>
                  <m:r>
                    <m:t>v</m:t>
                  </m:r>
                </m:e>
              </m:d>
            </m:e>
          </m:nary>
          <m:r>
            <m:t> </m:t>
          </m:r>
          <m:r>
            <m:rPr>
              <m:sty m:val="p"/>
            </m:rPr>
            <m:t>+</m:t>
          </m:r>
          <m:r>
            <m:t> </m:t>
          </m:r>
          <m:sSub>
            <m:e>
              <m:r>
                <m:t>w</m:t>
              </m:r>
            </m:e>
            <m:sub>
              <m:r>
                <m:rPr>
                  <m:nor/>
                  <m:sty m:val="p"/>
                </m:rPr>
                <m:t>state</m:t>
              </m:r>
            </m:sub>
          </m:sSub>
          <m:nary>
            <m:naryPr>
              <m:chr m:val="∑"/>
              <m:limLoc m:val="undOvr"/>
              <m:subHide m:val="off"/>
              <m:supHide m:val="on"/>
            </m:naryPr>
            <m:sub>
              <m:r>
                <m:t>v</m:t>
              </m:r>
              <m:r>
                <m:rPr>
                  <m:sty m:val="p"/>
                </m:rPr>
                <m:t>∈</m:t>
              </m:r>
              <m:r>
                <m:t>P</m:t>
              </m:r>
            </m:sub>
            <m:sup>
              <m:r>
                <m:t>​</m:t>
              </m:r>
            </m:sup>
            <m:e>
              <m:r>
                <m:rPr>
                  <m:sty m:val="p"/>
                </m:rPr>
                <m:t>r</m:t>
              </m:r>
              <m:r>
                <m:rPr>
                  <m:sty m:val="p"/>
                </m:rPr>
                <m:t>e</m:t>
              </m:r>
              <m:r>
                <m:rPr>
                  <m:sty m:val="p"/>
                </m:rPr>
                <m:t>s</m:t>
              </m:r>
              <m:r>
                <m:rPr>
                  <m:sty m:val="p"/>
                </m:rPr>
                <m:t>i</m:t>
              </m:r>
              <m:r>
                <m:rPr>
                  <m:sty m:val="p"/>
                </m:rPr>
                <m:t>d</m:t>
              </m:r>
              <m:r>
                <m:rPr>
                  <m:sty m:val="p"/>
                </m:rPr>
                <m:t>e</m:t>
              </m:r>
              <m:r>
                <m:rPr>
                  <m:sty m:val="p"/>
                </m:rPr>
                <m:t>n</m:t>
              </m:r>
              <m:r>
                <m:rPr>
                  <m:sty m:val="p"/>
                </m:rPr>
                <m:t>t</m:t>
              </m:r>
            </m:e>
          </m:nary>
          <m:d>
            <m:dPr>
              <m:begChr m:val="("/>
              <m:endChr m:val=")"/>
              <m:sepChr m:val=""/>
              <m:grow/>
            </m:dPr>
            <m:e>
              <m:r>
                <m:t>v</m:t>
              </m:r>
            </m:e>
          </m:d>
          <m:r>
            <m:t> </m:t>
          </m:r>
          <m:r>
            <m:rPr>
              <m:sty m:val="p"/>
            </m:rPr>
            <m:t>+</m:t>
          </m:r>
          <m:r>
            <m:t> </m:t>
          </m:r>
          <m:sSub>
            <m:e>
              <m:r>
                <m:t>w</m:t>
              </m:r>
            </m:e>
            <m:sub>
              <m:r>
                <m:rPr>
                  <m:nor/>
                  <m:sty m:val="p"/>
                </m:rPr>
                <m:t>recon</m:t>
              </m:r>
            </m:sub>
          </m:sSub>
          <m:r>
            <m:rPr>
              <m:sty m:val="p"/>
            </m:rPr>
            <m:t>⋅</m:t>
          </m:r>
          <m:r>
            <m:rPr>
              <m:sty m:val="p"/>
            </m:rPr>
            <m:t>Pr</m:t>
          </m:r>
          <m:d>
            <m:dPr>
              <m:begChr m:val="["/>
              <m:endChr m:val="]"/>
              <m:sepChr m:val=""/>
              <m:grow/>
            </m:dPr>
            <m:e>
              <m:r>
                <m:rPr>
                  <m:nor/>
                  <m:sty m:val="p"/>
                </m:rPr>
                <m:t>miss</m:t>
              </m:r>
            </m:e>
          </m:d>
          <m:r>
            <m:rPr>
              <m:sty m:val="p"/>
            </m:rPr>
            <m:t>⋅</m:t>
          </m:r>
          <m:r>
            <m:rPr>
              <m:sty m:val="p"/>
              <m:scr m:val="double-struck"/>
            </m:rPr>
            <m:t>E</m:t>
          </m:r>
          <m:d>
            <m:dPr>
              <m:begChr m:val="["/>
              <m:endChr m:val="]"/>
              <m:sepChr m:val=""/>
              <m:grow/>
            </m:dPr>
            <m:e>
              <m:r>
                <m:rPr>
                  <m:nor/>
                  <m:sty m:val="p"/>
                </m:rPr>
                <m:t>upquery work</m:t>
              </m:r>
            </m:e>
          </m:d>
        </m:oMath>
      </m:oMathPara>
    </w:p>
    <w:p>
      <w:pPr>
        <w:pStyle w:val="FirstParagraph"/>
      </w:pPr>
      <w:r>
        <w:t xml:space="preserve">The three weights are not universal constants; they are read off the view’s serve contract. A view at</w:t>
      </w:r>
      <w:r>
        <w:t xml:space="preserve"> </w:t>
      </w:r>
      <w:r>
        <w:rPr>
          <w:rStyle w:val="VerbatimChar"/>
        </w:rPr>
        <w:t xml:space="preserve">ledger_consistent</w:t>
      </w:r>
      <w:r>
        <w:t xml:space="preserve"> </w:t>
      </w:r>
      <w:r>
        <w:t xml:space="preserve">under a tight freshness bound pays for state to avoid reconstruction latency; a cold analytical view at</w:t>
      </w:r>
      <w:r>
        <w:t xml:space="preserve"> </w:t>
      </w:r>
      <w:r>
        <w:rPr>
          <w:rStyle w:val="VerbatimChar"/>
        </w:rPr>
        <w:t xml:space="preserve">bounded</w:t>
      </w:r>
      <w:r>
        <w:t xml:space="preserve"> </w:t>
      </w:r>
      <w:r>
        <w:t xml:space="preserve">pays for reconstruction to avoid state. That is Contribution 3’s claim —</w:t>
      </w:r>
      <w:r>
        <w:t xml:space="preserve"> </w:t>
      </w:r>
      <w:r>
        <w:rPr>
          <w:iCs/>
          <w:i/>
        </w:rPr>
        <w:t xml:space="preserve">the price is workload-shaped, not history-shaped</w:t>
      </w:r>
      <w:r>
        <w:t xml:space="preserve"> </w:t>
      </w:r>
      <w:r>
        <w:t xml:space="preserve">— appearing as a planner input rather than as a theorem, and it is why the phase diagram of §9.13 has regions at all: were one plan optimal everywhere in the weight space, there would be nothing to characterise.</w:t>
      </w:r>
    </w:p>
    <w:p>
      <w:pPr>
        <w:pStyle w:val="BodyText"/>
      </w:pPr>
      <w:r>
        <w:rPr>
          <w:bCs/>
          <w:b/>
        </w:rPr>
        <w:t xml:space="preserve">Reconstructibility is a constraint, not a cost, and this has no analogue in a classical optimiser.</w:t>
      </w:r>
      <w:r>
        <w:t xml:space="preserve"> </w:t>
      </w:r>
      <w:r>
        <w:t xml:space="preserve">Some orderings are not expensive but</w:t>
      </w:r>
      <w:r>
        <w:t xml:space="preserve"> </w:t>
      </w:r>
      <w:r>
        <w:rPr>
          <w:iCs/>
          <w:i/>
        </w:rPr>
        <w:t xml:space="preserve">illegal</w:t>
      </w:r>
      <w:r>
        <w:t xml:space="preserve">, because they place a non-reconstructible operator on the upquery path of a partial node — a source that is a mutable table rather than an immutable base, or a windowing node whose input has been discarded. Reconstruction from a frozen prefix is what makes anchored upqueries sound (Theorem 4.1); an operator that cannot be replayed breaks the chain. Such candidates are pruned</w:t>
      </w:r>
      <w:r>
        <w:t xml:space="preserve"> </w:t>
      </w:r>
      <w:r>
        <w:rPr>
          <w:iCs/>
          <w:i/>
        </w:rPr>
        <w:t xml:space="preserve">before</w:t>
      </w:r>
      <w:r>
        <w:t xml:space="preserve"> </w:t>
      </w:r>
      <w:r>
        <w:t xml:space="preserve">costing, so a bad cardinality estimate can make a plan slow but cannot make it wrong. The same discipline governs the materialization optimizer, for the same reason: the optimizer is forbidden from being a correctness dependency.</w:t>
      </w:r>
    </w:p>
    <w:p>
      <w:pPr>
        <w:pStyle w:val="BodyText"/>
      </w:pPr>
      <w:r>
        <w:t xml:space="preserve">The implementation (</w:t>
      </w:r>
      <w:r>
        <w:rPr>
          <w:rStyle w:val="VerbatimChar"/>
        </w:rPr>
        <w:t xml:space="preserve">nilestream-optimizer::join_order</w:t>
      </w:r>
      <w:r>
        <w:t xml:space="preserve">, 16 tests) runs</w:t>
      </w:r>
      <w:r>
        <w:t xml:space="preserve"> </w:t>
      </w:r>
      <w:r>
        <w:rPr>
          <w:rStyle w:val="VerbatimChar"/>
        </w:rPr>
        <w:t xml:space="preserve">DPccp</w:t>
      </w:r>
      <w:r>
        <w:t xml:space="preserve"> </w:t>
      </w:r>
      <w:r>
        <w:t xml:space="preserve">for at most twelve relations and a greedy minimum-selectivity fallback above that, recording in the plan</w:t>
      </w:r>
      <w:r>
        <w:t xml:space="preserve"> </w:t>
      </w:r>
      <w:r>
        <w:rPr>
          <w:iCs/>
          <w:i/>
        </w:rPr>
        <w:t xml:space="preserve">which</w:t>
      </w:r>
      <w:r>
        <w:t xml:space="preserve"> </w:t>
      </w:r>
      <w:r>
        <w:t xml:space="preserve">ran, so that a measured regression can be attributed. Cardinality estimation uses the standard containment and independence assumptions and is wrong in the standard ways — correlated banking columns such as</w:t>
      </w:r>
      <w:r>
        <w:t xml:space="preserve"> </w:t>
      </w:r>
      <w:r>
        <w:rPr>
          <w:rStyle w:val="VerbatimChar"/>
        </w:rPr>
        <w:t xml:space="preserve">account</w:t>
      </w:r>
      <w:r>
        <w:t xml:space="preserve"> </w:t>
      </w:r>
      <w:r>
        <w:t xml:space="preserve">and</w:t>
      </w:r>
      <w:r>
        <w:t xml:space="preserve"> </w:t>
      </w:r>
      <w:r>
        <w:rPr>
          <w:rStyle w:val="VerbatimChar"/>
        </w:rPr>
        <w:t xml:space="preserve">currency</w:t>
      </w:r>
      <w:r>
        <w:t xml:space="preserve"> </w:t>
      </w:r>
      <w:r>
        <w:t xml:space="preserve">violate independence systematically — and a missing statistic falls back visibly rather than to a selectivity of one, because a cross product that looks free is how an estimator error hides. Cross products are enumerated only when the query graph is genuinely disconnected: a cross product in a standing dataflow operator is a resident quadratic index, which is a different order of mistake from a transient one.</w:t>
      </w:r>
    </w:p>
    <w:bookmarkEnd w:id="116"/>
    <w:bookmarkStart w:id="117" w:name="X8421612df1d93a125a4a5e908784f7ce36e1efc"/>
    <w:p>
      <w:pPr>
        <w:pStyle w:val="Heading2"/>
      </w:pPr>
      <w:r>
        <w:t xml:space="preserve">6.12 Transport Security, and Where Cryptography Stops Being This Thesis’s Problem</w:t>
      </w:r>
    </w:p>
    <w:p>
      <w:pPr>
        <w:pStyle w:val="FirstParagraph"/>
      </w:pPr>
      <w:r>
        <w:t xml:space="preserve">Two negotiation protocols are implemented, together with the policy layer that decides whether a cleartext connection may proceed. The cryptography is</w:t>
      </w:r>
      <w:r>
        <w:t xml:space="preserve"> </w:t>
      </w:r>
      <w:r>
        <w:rPr>
          <w:bCs/>
          <w:b/>
        </w:rPr>
        <w:t xml:space="preserve">not</w:t>
      </w:r>
      <w:r>
        <w:t xml:space="preserve"> </w:t>
      </w:r>
      <w:r>
        <w:t xml:space="preserve">implemented and is delegated behind a provider trait.</w:t>
      </w:r>
    </w:p>
    <w:p>
      <w:pPr>
        <w:pStyle w:val="BodyText"/>
      </w:pPr>
      <w:r>
        <w:t xml:space="preserve">That division is a design position rather than an omission, and the thesis states it as one. Writing a TLS stack is the canonical example of work that must not be done from scratch: the failure mode is silent, the attacker is adaptive, and the defects that matter — padding oracles, timing leaks in MAC verification, state-machine confusion permitting a handshake step to be skipped — are precisely the ones a functional test suite passes. A thesis whose contribution is the static checkability of financial invariants has nothing to gain and a great deal of credibility to lose by shipping its own record layer.</w:t>
      </w:r>
    </w:p>
    <w:p>
      <w:pPr>
        <w:pStyle w:val="BodyText"/>
      </w:pPr>
      <w:r>
        <w:t xml:space="preserve">The commitment that</w:t>
      </w:r>
      <w:r>
        <w:t xml:space="preserve"> </w:t>
      </w:r>
      <w:r>
        <w:rPr>
          <w:iCs/>
          <w:i/>
        </w:rPr>
        <w:t xml:space="preserve">is</w:t>
      </w:r>
      <w:r>
        <w:t xml:space="preserve"> </w:t>
      </w:r>
      <w:r>
        <w:t xml:space="preserve">load-bearing is what happens when the provider is absent. The obvious behaviour — accept cleartext, log a warning — is how a database comes to serve a ledger over a plaintext socket because a certificate expired overnight and something helpfully degraded. Here a</w:t>
      </w:r>
      <w:r>
        <w:t xml:space="preserve"> </w:t>
      </w:r>
      <w:r>
        <w:rPr>
          <w:rStyle w:val="VerbatimChar"/>
        </w:rPr>
        <w:t xml:space="preserve">Require</w:t>
      </w:r>
      <w:r>
        <w:t xml:space="preserve"> </w:t>
      </w:r>
      <w:r>
        <w:t xml:space="preserve">policy with no provider</w:t>
      </w:r>
      <w:r>
        <w:t xml:space="preserve"> </w:t>
      </w:r>
      <w:r>
        <w:rPr>
          <w:bCs/>
          <w:b/>
        </w:rPr>
        <w:t xml:space="preserve">fails at startup</w:t>
      </w:r>
      <w:r>
        <w:t xml:space="preserve">, before the listener binds, and refuses every connection independently at connection time in case the provider stops working later. This is the absence-lattice principle applied to a socket: an absence is reported honestly rather than papered over.</w:t>
      </w:r>
    </w:p>
    <w:p>
      <w:pPr>
        <w:pStyle w:val="BodyText"/>
      </w:pPr>
      <w:r>
        <w:rPr>
          <w:bCs/>
          <w:b/>
        </w:rPr>
        <w:t xml:space="preserve">The two protocols are not equally well designed, and the asymmetry belongs in the text rather than in a footnote.</w:t>
      </w:r>
      <w:r>
        <w:t xml:space="preserve"> </w:t>
      </w:r>
      <w:r>
        <w:t xml:space="preserve">PostgreSQL’s client sends an eight-byte</w:t>
      </w:r>
      <w:r>
        <w:t xml:space="preserve"> </w:t>
      </w:r>
      <w:r>
        <w:rPr>
          <w:rStyle w:val="VerbatimChar"/>
        </w:rPr>
        <w:t xml:space="preserve">SSLRequest</w:t>
      </w:r>
      <w:r>
        <w:t xml:space="preserve"> </w:t>
      </w:r>
      <w:r>
        <w:rPr>
          <w:iCs/>
          <w:i/>
        </w:rPr>
        <w:t xml:space="preserve">before</w:t>
      </w:r>
      <w:r>
        <w:t xml:space="preserve"> </w:t>
      </w:r>
      <w:r>
        <w:t xml:space="preserve">the startup packet and the server answers with a single byte; nothing has been exchanged, so a refusal leaks nothing, and the user name and database travel inside the tunnel. MySQL’s server sends its greeting in cleartext first, and the client signals upgrade by setting a capability flag in a</w:t>
      </w:r>
      <w:r>
        <w:t xml:space="preserve"> </w:t>
      </w:r>
      <w:r>
        <w:rPr>
          <w:iCs/>
          <w:i/>
        </w:rPr>
        <w:t xml:space="preserve">truncated</w:t>
      </w:r>
      <w:r>
        <w:t xml:space="preserve"> </w:t>
      </w:r>
      <w:r>
        <w:t xml:space="preserve">handshake response. Two consequences follow. The banner and auth-plugin name are on the wire in the clear regardless — nothing a server can do; it is in the protocol. And the upgrade is</w:t>
      </w:r>
      <w:r>
        <w:t xml:space="preserve"> </w:t>
      </w:r>
      <w:r>
        <w:rPr>
          <w:bCs/>
          <w:b/>
        </w:rPr>
        <w:t xml:space="preserve">client-asserted</w:t>
      </w:r>
      <w:r>
        <w:t xml:space="preserve">, so a server that merely honours the flag lets any client opt out of encryption by not setting it. Enforcement must be a server-side check after reading the truncated response, and this is a real historical vulnerability class rather than a hypothetical.</w:t>
      </w:r>
    </w:p>
    <w:p>
      <w:pPr>
        <w:pStyle w:val="BodyText"/>
      </w:pPr>
      <w:r>
        <w:t xml:space="preserve">One further honesty obligation is discharged in the types.</w:t>
      </w:r>
      <w:r>
        <w:t xml:space="preserve"> </w:t>
      </w:r>
      <w:r>
        <w:rPr>
          <w:rStyle w:val="VerbatimChar"/>
        </w:rPr>
        <w:t xml:space="preserve">libpq</w:t>
      </w:r>
      <w:r>
        <w:t xml:space="preserve"> </w:t>
      </w:r>
      <w:r>
        <w:t xml:space="preserve">has six</w:t>
      </w:r>
      <w:r>
        <w:t xml:space="preserve"> </w:t>
      </w:r>
      <w:r>
        <w:rPr>
          <w:rStyle w:val="VerbatimChar"/>
        </w:rPr>
        <w:t xml:space="preserve">sslmode</w:t>
      </w:r>
      <w:r>
        <w:t xml:space="preserve"> </w:t>
      </w:r>
      <w:r>
        <w:t xml:space="preserve">values and only two of them authenticate the server:</w:t>
      </w:r>
      <w:r>
        <w:t xml:space="preserve"> </w:t>
      </w:r>
      <w:r>
        <w:rPr>
          <w:rStyle w:val="VerbatimChar"/>
        </w:rPr>
        <w:t xml:space="preserve">require</w:t>
      </w:r>
      <w:r>
        <w:t xml:space="preserve"> </w:t>
      </w:r>
      <w:r>
        <w:t xml:space="preserve">encrypts to a peer it has not identified, which defeats passive interception and nothing else. The implementation carries a predicate recording which modes actually authenticate, and the audit line reads</w:t>
      </w:r>
      <w:r>
        <w:t xml:space="preserve"> </w:t>
      </w:r>
      <w:r>
        <w:rPr>
          <w:iCs/>
          <w:i/>
        </w:rPr>
        <w:t xml:space="preserve">“</w:t>
      </w:r>
      <w:r>
        <w:rPr>
          <w:iCs/>
          <w:i/>
        </w:rPr>
        <w:t xml:space="preserve">encrypted, server identity unverified by the client</w:t>
      </w:r>
      <w:r>
        <w:rPr>
          <w:iCs/>
          <w:i/>
        </w:rPr>
        <w:t xml:space="preserve">”</w:t>
      </w:r>
      <w:r>
        <w:t xml:space="preserve"> </w:t>
      </w:r>
      <w:r>
        <w:t xml:space="preserve">rather than</w:t>
      </w:r>
      <w:r>
        <w:t xml:space="preserve"> </w:t>
      </w:r>
      <w:r>
        <w:t xml:space="preserve">“</w:t>
      </w:r>
      <w:r>
        <w:t xml:space="preserve">TLS enabled</w:t>
      </w:r>
      <w:r>
        <w:t xml:space="preserve">”</w:t>
      </w:r>
      <w:r>
        <w:t xml:space="preserve"> </w:t>
      </w:r>
      <w:r>
        <w:t xml:space="preserve">— deliberately awkward, because it is the true statement and the comfortable phrasing is not.</w:t>
      </w:r>
    </w:p>
    <w:bookmarkEnd w:id="117"/>
    <w:bookmarkStart w:id="118" w:name="X878b5374ac9b790bdfe6eb4f2550d1a60794c41"/>
    <w:p>
      <w:pPr>
        <w:pStyle w:val="Heading2"/>
      </w:pPr>
      <w:r>
        <w:t xml:space="preserve">6.13 Memory Model, Allocation, Immutability, and Memory Safety</w:t>
      </w:r>
    </w:p>
    <w:p>
      <w:pPr>
        <w:pStyle w:val="FirstParagraph"/>
      </w:pPr>
      <w:r>
        <w:t xml:space="preserve">The runtime’s memory model mirrors the formal one. Sealed data is immutable: epoch segments are frozen buffers, and resident view entries are immutable values</w:t>
      </w:r>
      <w:r>
        <w:t xml:space="preserve"> </w:t>
      </w:r>
      <w:r>
        <w:rPr>
          <w:iCs/>
          <w:i/>
        </w:rPr>
        <w:t xml:space="preserve">replaced</w:t>
      </w:r>
      <w:r>
        <w:t xml:space="preserve"> </w:t>
      </w:r>
      <w:r>
        <w:t xml:space="preserve">rather than mutated on anchor advance, with structural sharing. Allocation is arena-per-epoch on the write path — an epoch’s allocations free as a unit after sealing and migration — and slab-based for resident maps under the optimizer’s budget.</w:t>
      </w:r>
    </w:p>
    <w:p>
      <w:pPr>
        <w:pStyle w:val="BodyText"/>
      </w:pPr>
      <w:r>
        <w:t xml:space="preserve">Ownership types are the enforcement mechanism: no mutable reference to sealed data exists in the type surface, so the two mutable structures (admission queue, resident maps) are the entire audited concurrency surface. At the Niles level,</w:t>
      </w:r>
      <w:r>
        <w:t xml:space="preserve"> </w:t>
      </w:r>
      <w:r>
        <w:rPr>
          <w:rStyle w:val="VerbatimChar"/>
        </w:rPr>
        <w:t xml:space="preserve">ledger</w:t>
      </w:r>
      <w:r>
        <w:t xml:space="preserve"> </w:t>
      </w:r>
      <w:r>
        <w:t xml:space="preserve">values are immutable by type, bindings are immutable by default with explicit opt-in, and user functions receive borrowed immutable views. Memory safety for user code comes from the sandbox of the UDF tier, not from trusting user code.</w:t>
      </w:r>
    </w:p>
    <w:bookmarkEnd w:id="118"/>
    <w:bookmarkStart w:id="119" w:name="language-scope"/>
    <w:p>
      <w:pPr>
        <w:pStyle w:val="Heading2"/>
      </w:pPr>
      <w:r>
        <w:t xml:space="preserve">6.14 Language Scope</w:t>
      </w:r>
    </w:p>
    <w:p>
      <w:pPr>
        <w:pStyle w:val="FirstParagraph"/>
      </w:pPr>
      <w:r>
        <w:t xml:space="preserve">Niles is a data language with an imperative sublanguage, not a systems language. Three tiers:</w:t>
      </w:r>
    </w:p>
    <w:p>
      <w:pPr>
        <w:numPr>
          <w:ilvl w:val="0"/>
          <w:numId w:val="1013"/>
        </w:numPr>
        <w:pStyle w:val="Compact"/>
      </w:pPr>
      <w:r>
        <w:rPr>
          <w:bCs/>
          <w:b/>
        </w:rPr>
        <w:t xml:space="preserve">Declarative tier</w:t>
      </w:r>
      <w:r>
        <w:t xml:space="preserve"> </w:t>
      </w:r>
      <w:r>
        <w:t xml:space="preserve">— schemas, bases, views, contracts. Total, optimizable, PTIME by construction (guarded recursion only).</w:t>
      </w:r>
    </w:p>
    <w:p>
      <w:pPr>
        <w:numPr>
          <w:ilvl w:val="0"/>
          <w:numId w:val="1013"/>
        </w:numPr>
        <w:pStyle w:val="Compact"/>
      </w:pPr>
      <w:r>
        <w:rPr>
          <w:bCs/>
          <w:b/>
        </w:rPr>
        <w:t xml:space="preserve">Transaction tier</w:t>
      </w:r>
      <w:r>
        <w:t xml:space="preserve"> </w:t>
      </w:r>
      <w:r>
        <w:t xml:space="preserve">— imperative Rust-shaped logic with effects, where the commit rules and the banking discipline bind.</w:t>
      </w:r>
    </w:p>
    <w:p>
      <w:pPr>
        <w:numPr>
          <w:ilvl w:val="0"/>
          <w:numId w:val="1013"/>
        </w:numPr>
        <w:pStyle w:val="Compact"/>
      </w:pPr>
      <w:r>
        <w:rPr>
          <w:bCs/>
          <w:b/>
        </w:rPr>
        <w:t xml:space="preserve">UDF tier</w:t>
      </w:r>
      <w:r>
        <w:t xml:space="preserve"> </w:t>
      </w:r>
      <w:r>
        <w:t xml:space="preserve">— Rust-shaped functions compiled to WebAssembly for portability and sandboxing.</w:t>
      </w:r>
    </w:p>
    <w:p>
      <w:pPr>
        <w:pStyle w:val="FirstParagraph"/>
      </w:pPr>
      <w:r>
        <w:t xml:space="preserve">Explicitly out of scope: raw pointers, unrestricted I/O in query context, ambient wall-clock reads, and unbounded recursion in views. Application code, servers and user interfaces are out of scope by design; Niles connects to host languages through the wire protocols and embedded APIs. Section 11.2 lists</w:t>
      </w:r>
      <w:r>
        <w:t xml:space="preserve"> </w:t>
      </w:r>
      <w:r>
        <w:t xml:space="preserve">“</w:t>
      </w:r>
      <w:r>
        <w:t xml:space="preserve">seductive generality</w:t>
      </w:r>
      <w:r>
        <w:t xml:space="preserve">”</w:t>
      </w:r>
      <w:r>
        <w:t xml:space="preserve"> </w:t>
      </w:r>
      <w:r>
        <w:t xml:space="preserve">— the temptation to grow Niles into an application language — as a named risk, and these tiers as the mitigation.</w:t>
      </w:r>
    </w:p>
    <w:bookmarkEnd w:id="119"/>
    <w:bookmarkStart w:id="120" w:name="Xe29ff55c38afddde42aa7a7eeda6c45f92c7fef"/>
    <w:p>
      <w:pPr>
        <w:pStyle w:val="Heading2"/>
      </w:pPr>
      <w:r>
        <w:t xml:space="preserve">6.15 The Computation Tier and the Determinism Obligation</w:t>
      </w:r>
    </w:p>
    <w:p>
      <w:pPr>
        <w:pStyle w:val="FirstParagraph"/>
      </w:pPr>
      <w:r>
        <w:t xml:space="preserve">The computation tier executes IR circuits: a scheduler assigns operator work per sealed epoch, hot circuits run fused and compiled, cold circuits interpret, and upqueries execute the same circuits in pull mode along provenance-derived paths. The compilation model follows the data-centric, push-based approach in which operator boundaries disappear in generated code and tuples stay in registers between pipeline breakers [Neumann, PVLDB 2011].</w:t>
      </w:r>
    </w:p>
    <w:p>
      <w:pPr>
        <w:pStyle w:val="BodyText"/>
      </w:pPr>
      <w:r>
        <w:rPr>
          <w:bCs/>
          <w:b/>
        </w:rPr>
        <w:t xml:space="preserve">Determinism rule:</w:t>
      </w:r>
      <w:r>
        <w:t xml:space="preserve"> </w:t>
      </w:r>
      <w:r>
        <w:t xml:space="preserve">given (prefix, circuit, anchor), output bytes are identical across runs and targets. This is not a nicety — Theorem 4.1’s exactness and the hash-chain’s reproducibility both depend on it.</w:t>
      </w:r>
    </w:p>
    <w:p>
      <w:pPr>
        <w:pStyle w:val="BodyText"/>
      </w:pPr>
      <w:r>
        <w:t xml:space="preserve">Achieving it requires closing sources of non-determinism explicitly, and one of them is a correction to naive assumptions about the UDF sandbox. WebAssembly is</w:t>
      </w:r>
      <w:r>
        <w:t xml:space="preserve"> </w:t>
      </w:r>
      <w:r>
        <w:rPr>
          <w:iCs/>
          <w:i/>
        </w:rPr>
        <w:t xml:space="preserve">not</w:t>
      </w:r>
      <w:r>
        <w:t xml:space="preserve"> </w:t>
      </w:r>
      <w:r>
        <w:t xml:space="preserve">fully deterministic: its specification names three sources of implementation-dependent behaviour — NaN payloads (canonical NaNs carry a non-deterministic sign bit, and non-canonical inputs yield non-deterministic outputs), resource exhaustion (engines may fail to grow linear memory), and host functions [Haas et al., PLDI ’17]. A UDF that produces a NaN, or that exhausts memory at a device-dependent point, would break reconstruction-equivalence over a hash-chained base. The obligation is therefore stated as three concrete mitigations rather than as an assumption: ban NaN-producing floating-point operations in UDFs or canonicalize at the kernel boundary; make resource exhaustion a</w:t>
      </w:r>
      <w:r>
        <w:t xml:space="preserve"> </w:t>
      </w:r>
      <w:r>
        <w:rPr>
          <w:iCs/>
          <w:i/>
        </w:rPr>
        <w:t xml:space="preserve">deterministic</w:t>
      </w:r>
      <w:r>
        <w:t xml:space="preserve"> </w:t>
      </w:r>
      <w:r>
        <w:t xml:space="preserve">abort at a fixed fuel bound rather than a device-dependent one; and permit no host functions outside a deterministic allowlist. Within the engine itself, determinism is enforced by canonical ordering before emission, integer-exact money, and prohibition of hash-order iteration.</w:t>
      </w:r>
    </w:p>
    <w:bookmarkEnd w:id="120"/>
    <w:bookmarkStart w:id="121" w:name="the-kernel-boundary"/>
    <w:p>
      <w:pPr>
        <w:pStyle w:val="Heading2"/>
      </w:pPr>
      <w:r>
        <w:t xml:space="preserve">6.16 The Kernel Boundary</w:t>
      </w:r>
    </w:p>
    <w:p>
      <w:pPr>
        <w:pStyle w:val="FirstParagraph"/>
      </w:pPr>
      <w:r>
        <w:t xml:space="preserve">The trusted kernel is small: admission, validation and sealing; hash chaining; storage; frontier bookkeeping; and the IR executor’s core operators. Outside it: UDFs (sandboxed, resource-metered, with no ambient authority — capabilities are passed explicitly, following the capability-based model of the Wasm system interface); surface compilers, whose output is re-checked by the IR verifier, so the kernel trusts the</w:t>
      </w:r>
      <w:r>
        <w:t xml:space="preserve"> </w:t>
      </w:r>
      <w:r>
        <w:rPr>
          <w:iCs/>
          <w:i/>
        </w:rPr>
        <w:t xml:space="preserve">verifier</w:t>
      </w:r>
      <w:r>
        <w:t xml:space="preserve"> </w:t>
      </w:r>
      <w:r>
        <w:t xml:space="preserve">rather than the compiler; the materialization optimizer, whose decisions are semantics-preserving by Theorem 4.5(a) and therefore cannot be a correctness dependency; and wire adapters, which translate and never touch state directly.</w:t>
      </w:r>
    </w:p>
    <w:p>
      <w:pPr>
        <w:pStyle w:val="BodyText"/>
      </w:pPr>
      <w:r>
        <w:t xml:space="preserve">The soundness theorem’s trusted computing base is thus the kernel plus the IR verifier — stated explicitly so that the S4 campaign attacks the right boundary, and so that adding a domain library or an optimizer heuristic provably does not enlarge it.</w:t>
      </w:r>
    </w:p>
    <w:bookmarkEnd w:id="121"/>
    <w:bookmarkStart w:id="122" w:name="lineage-and-traceability"/>
    <w:p>
      <w:pPr>
        <w:pStyle w:val="Heading2"/>
      </w:pPr>
      <w:r>
        <w:t xml:space="preserve">6.17 Lineage and Traceability</w:t>
      </w:r>
    </w:p>
    <w:p>
      <w:pPr>
        <w:pStyle w:val="FirstParagraph"/>
      </w:pPr>
      <w:r>
        <w:t xml:space="preserve">Full traceability of operations, changes and states is a system requirement (Section 1.3(4)) and is implemented as an ordinary consequence of the algebra rather than as a logging subsystem.</w:t>
      </w:r>
    </w:p>
    <w:p>
      <w:pPr>
        <w:pStyle w:val="BodyText"/>
      </w:pPr>
      <w:r>
        <w:t xml:space="preserve">Three modes are declarable per view:</w:t>
      </w:r>
      <w:r>
        <w:t xml:space="preserve"> </w:t>
      </w:r>
      <w:r>
        <w:rPr>
          <w:rStyle w:val="VerbatimChar"/>
        </w:rPr>
        <w:t xml:space="preserve">off</w:t>
      </w:r>
      <w:r>
        <w:t xml:space="preserve"> </w:t>
      </w:r>
      <w:r>
        <w:t xml:space="preserve">(anchors only — every answer still carries the epoch it is correct as of);</w:t>
      </w:r>
      <w:r>
        <w:t xml:space="preserve"> </w:t>
      </w:r>
      <w:r>
        <w:rPr>
          <w:rStyle w:val="VerbatimChar"/>
        </w:rPr>
        <w:t xml:space="preserve">key</w:t>
      </w:r>
      <w:r>
        <w:t xml:space="preserve"> </w:t>
      </w:r>
      <w:r>
        <w:t xml:space="preserve">(which base keys contributed); and</w:t>
      </w:r>
      <w:r>
        <w:t xml:space="preserve"> </w:t>
      </w:r>
      <w:r>
        <w:rPr>
          <w:rStyle w:val="VerbatimChar"/>
        </w:rPr>
        <w:t xml:space="preserve">full</w:t>
      </w:r>
      <w:r>
        <w:t xml:space="preserve"> </w:t>
      </w:r>
      <w:r>
        <w:t xml:space="preserve">(the how-provenance polynomial retained). Provenance rides the same circuits as values, because Z-sets are a semiring instance and the factorization theorem guarantees that computing the most general annotation once permits every other semantics to be recovered by homomorphism [Green et al., PODS ’07].</w:t>
      </w:r>
    </w:p>
    <w:p>
      <w:pPr>
        <w:pStyle w:val="BodyText"/>
      </w:pPr>
      <w:r>
        <w:t xml:space="preserve">Three operational capabilities follow.</w:t>
      </w:r>
      <w:r>
        <w:t xml:space="preserve"> </w:t>
      </w:r>
      <w:r>
        <w:rPr>
          <w:bCs/>
          <w:b/>
        </w:rPr>
        <w:t xml:space="preserve">Explain</w:t>
      </w:r>
      <w:r>
        <w:t xml:space="preserve">: for any served answer, return the base rows and the derivation that produced it.</w:t>
      </w:r>
      <w:r>
        <w:t xml:space="preserve"> </w:t>
      </w:r>
      <w:r>
        <w:rPr>
          <w:bCs/>
          <w:b/>
        </w:rPr>
        <w:t xml:space="preserve">Reproduce</w:t>
      </w:r>
      <w:r>
        <w:t xml:space="preserve">: recompute any published (answer, epoch) from the prefix and compare byte-for-byte — the mechanical form of an audit.</w:t>
      </w:r>
      <w:r>
        <w:t xml:space="preserve"> </w:t>
      </w:r>
      <w:r>
        <w:rPr>
          <w:bCs/>
          <w:b/>
        </w:rPr>
        <w:t xml:space="preserve">Impact</w:t>
      </w:r>
      <w:r>
        <w:t xml:space="preserve">: given a base row, identify the derived entries whose provenance includes it, which is what makes correction workflows (a reversing entry) analyzable rather than hopeful. Costs are measured under S9, with the published ~30% figure for interactive dataflow lineage as the order-of-magnitude reference point rather than a target.</w:t>
      </w:r>
    </w:p>
    <w:bookmarkEnd w:id="122"/>
    <w:bookmarkStart w:id="123" w:name="checkpoints-as-a-declared-view-property"/>
    <w:p>
      <w:pPr>
        <w:pStyle w:val="Heading2"/>
      </w:pPr>
      <w:r>
        <w:t xml:space="preserve">6.18 Checkpoints as a Declared View Property</w:t>
      </w:r>
    </w:p>
    <w:p>
      <w:pPr>
        <w:pStyle w:val="FirstParagraph"/>
      </w:pPr>
      <w:r>
        <w:t xml:space="preserve">Theorem 3.7 makes the per-key checkpoint interval C the constant in the reconstruction bound, and §9.4.1 measures it: at C = 16 reconstruction cost was flat at ≈ 8.5 base rows across a 64× increase in history, against a predicted C/2 + 1 = 9. C is therefore a</w:t>
      </w:r>
      <w:r>
        <w:t xml:space="preserve"> </w:t>
      </w:r>
      <w:r>
        <w:rPr>
          <w:iCs/>
          <w:i/>
        </w:rPr>
        <w:t xml:space="preserve">contract term</w:t>
      </w:r>
      <w:r>
        <w:t xml:space="preserve">, declared per view alongside consistency and materialization mode, and not a hidden engine default — because choosing it is choosing a point on the reconstruction-cost/checkpoint-storage trade, and the theory prices that choice.</w:t>
      </w:r>
    </w:p>
    <w:p>
      <w:pPr>
        <w:pStyle w:val="BodyText"/>
      </w:pPr>
      <w:r>
        <w:t xml:space="preserve">Checkpoints are derived state: each is recomputable from the base, so they are evictable and rebuildable and stand outside the retention guarantee, exactly as views do. This is the base/derived split of F4 applied one level down, to the reconstruction path itself.</w:t>
      </w:r>
    </w:p>
    <w:bookmarkEnd w:id="123"/>
    <w:bookmarkStart w:id="124" w:name="X23effbff0bfaf7bc88c38ec8715d11cd37673ba"/>
    <w:p>
      <w:pPr>
        <w:pStyle w:val="Heading2"/>
      </w:pPr>
      <w:r>
        <w:t xml:space="preserve">6.19 The Materialization Optimizer in the Runtime</w:t>
      </w:r>
    </w:p>
    <w:p>
      <w:pPr>
        <w:pStyle w:val="FirstParagraph"/>
      </w:pPr>
      <w:r>
        <w:t xml:space="preserve">Contribution 5’s algorithm lives here. Per view and key range, the optimizer maintains estimates of arrival rate, reuse distance, reconstruction cost, reconstruction</w:t>
      </w:r>
      <w:r>
        <w:t xml:space="preserve"> </w:t>
      </w:r>
      <w:r>
        <w:rPr>
          <w:iCs/>
          <w:i/>
        </w:rPr>
        <w:t xml:space="preserve">latency</w:t>
      </w:r>
      <w:r>
        <w:t xml:space="preserve"> </w:t>
      </w:r>
      <w:r>
        <w:t xml:space="preserve">and update rate; computes the rent-or-buy break-even for mode selection and a cost-and-size-aware credit for eviction; weights both by the contract multiplier Φ(ℓ) and by the delayed-hit factor; and moves ranges between modes on a hysteresis schedule.</w:t>
      </w:r>
    </w:p>
    <w:p>
      <w:pPr>
        <w:pStyle w:val="BodyText"/>
      </w:pPr>
      <w:r>
        <w:t xml:space="preserve">Three properties make this safe to run continuously. It cannot change what an answer</w:t>
      </w:r>
      <w:r>
        <w:t xml:space="preserve"> </w:t>
      </w:r>
      <w:r>
        <w:rPr>
          <w:iCs/>
          <w:i/>
        </w:rPr>
        <w:t xml:space="preserve">is</w:t>
      </w:r>
      <w:r>
        <w:t xml:space="preserve"> </w:t>
      </w:r>
      <w:r>
        <w:t xml:space="preserve">(Theorem 4.5(a)). It cannot violate a contract, because contract satisfaction is a constraint of the assignment problem rather than an objective term. And it is</w:t>
      </w:r>
      <w:r>
        <w:t xml:space="preserve"> </w:t>
      </w:r>
      <w:r>
        <w:rPr>
          <w:iCs/>
          <w:i/>
        </w:rPr>
        <w:t xml:space="preserve">observable</w:t>
      </w:r>
      <w:r>
        <w:t xml:space="preserve">: every mode transition is logged with the estimates that caused it, so a surprising decision is diagnosable rather than mysterious. Appendix I gives the algorithm, the estimators, and the offline dynamic program used to compute the optimum against which S7 measures it.</w:t>
      </w:r>
    </w:p>
    <w:bookmarkEnd w:id="124"/>
    <w:bookmarkStart w:id="125" w:name="X21ed8446f9e58f35670529e31d6b51cedcd479a"/>
    <w:p>
      <w:pPr>
        <w:pStyle w:val="Heading2"/>
      </w:pPr>
      <w:r>
        <w:t xml:space="preserve">6.20 End-to-End Encryption: Threat Model and Requirements</w:t>
      </w:r>
    </w:p>
    <w:p>
      <w:pPr>
        <w:pStyle w:val="FirstParagraph"/>
      </w:pPr>
      <w:r>
        <w:rPr>
          <w:bCs/>
          <w:b/>
        </w:rPr>
        <w:t xml:space="preserve">Requirement.</w:t>
      </w:r>
      <w:r>
        <w:t xml:space="preserve"> </w:t>
      </w:r>
      <w:r>
        <w:t xml:space="preserve">Fields marked confidential must be protected such that a compromised operator — an honest-but-curious server, stolen media, subpoenaed backups — cannot read them, while the base’s ordering, hashing and conservation guarantees still hold.</w:t>
      </w:r>
    </w:p>
    <w:p>
      <w:pPr>
        <w:pStyle w:val="BodyText"/>
      </w:pPr>
      <w:r>
        <w:rPr>
          <w:bCs/>
          <w:b/>
        </w:rPr>
        <w:t xml:space="preserve">Threat model.</w:t>
      </w:r>
      <w:r>
        <w:t xml:space="preserve"> </w:t>
      </w:r>
      <w:r>
        <w:t xml:space="preserve">The adversary controls storage and can read server memory, except for designated key-holding clients or hardware modules; the adversary cannot break standard cryptography. Availability attacks and traffic analysis are out of scope, and leakage is bounded rather than eliminated (Section 6.19).</w:t>
      </w:r>
    </w:p>
    <w:bookmarkEnd w:id="125"/>
    <w:bookmarkStart w:id="126" w:name="e2ee-versus-computation-over-data"/>
    <w:p>
      <w:pPr>
        <w:pStyle w:val="Heading2"/>
      </w:pPr>
      <w:r>
        <w:t xml:space="preserve">6.21 E2EE Versus Computation Over Data</w:t>
      </w:r>
    </w:p>
    <w:p>
      <w:pPr>
        <w:pStyle w:val="FirstParagraph"/>
      </w:pPr>
      <w:r>
        <w:t xml:space="preserve">The honest tension is that a server cannot compute over what it cannot read. Fully homomorphic encryption is rejected for the serving path on cost. The design instead</w:t>
      </w:r>
      <w:r>
        <w:t xml:space="preserve"> </w:t>
      </w:r>
      <w:r>
        <w:rPr>
          <w:iCs/>
          <w:i/>
        </w:rPr>
        <w:t xml:space="preserve">partitions fields by computability need</w:t>
      </w:r>
      <w:r>
        <w:t xml:space="preserve">, and forces the partition to be declared:</w:t>
      </w:r>
    </w:p>
    <w:p>
      <w:pPr>
        <w:numPr>
          <w:ilvl w:val="0"/>
          <w:numId w:val="1014"/>
        </w:numPr>
        <w:pStyle w:val="Compact"/>
      </w:pPr>
      <w:r>
        <w:rPr>
          <w:bCs/>
          <w:b/>
        </w:rPr>
        <w:t xml:space="preserve">Identity and narrative fields</w:t>
      </w:r>
      <w:r>
        <w:t xml:space="preserve"> </w:t>
      </w:r>
      <w:r>
        <w:t xml:space="preserve">(names, memos, counterparty details): true end-to-end encryption, opaque to the server, never usable in server-side predicates.</w:t>
      </w:r>
    </w:p>
    <w:p>
      <w:pPr>
        <w:numPr>
          <w:ilvl w:val="0"/>
          <w:numId w:val="1014"/>
        </w:numPr>
        <w:pStyle w:val="Compact"/>
      </w:pPr>
      <w:r>
        <w:rPr>
          <w:bCs/>
          <w:b/>
        </w:rPr>
        <w:t xml:space="preserve">Structural fields</w:t>
      </w:r>
      <w:r>
        <w:t xml:space="preserve"> </w:t>
      </w:r>
      <w:r>
        <w:t xml:space="preserve">(account identifiers, currencies, epochs): pseudonymized but server-visible, because ordering and routing need them.</w:t>
      </w:r>
    </w:p>
    <w:p>
      <w:pPr>
        <w:numPr>
          <w:ilvl w:val="0"/>
          <w:numId w:val="1014"/>
        </w:numPr>
        <w:pStyle w:val="Compact"/>
      </w:pPr>
      <w:r>
        <w:rPr>
          <w:bCs/>
          <w:b/>
        </w:rPr>
        <w:t xml:space="preserve">Amounts</w:t>
      </w:r>
      <w:r>
        <w:t xml:space="preserve">: a deployment choice between plaintext-to-server (full functionality) and</w:t>
      </w:r>
      <w:r>
        <w:t xml:space="preserve"> </w:t>
      </w:r>
      <w:r>
        <w:rPr>
          <w:iCs/>
          <w:i/>
        </w:rPr>
        <w:t xml:space="preserve">committed</w:t>
      </w:r>
      <w:r>
        <w:t xml:space="preserve"> </w:t>
      </w:r>
      <w:r>
        <w:t xml:space="preserve">amounts using an additively homomorphic commitment scheme, which preserves the ability to verify that postings sum to zero while hiding values — since the sum of commitments opens to the sum of values [Pedersen, CRYPTO ’91].</w:t>
      </w:r>
    </w:p>
    <w:p>
      <w:pPr>
        <w:pStyle w:val="FirstParagraph"/>
      </w:pPr>
      <w:r>
        <w:t xml:space="preserve">Confidentiality is a static type annotation checked like everything else: end-to-end-encrypted fields cannot appear in server-side predicates, joins or aggregates (a compile error names the leak); committed fields admit only the operations their scheme supports; and declassification requires an explicit capability that appears in the audit trail. The discipline is information-flow typing narrowed to the two lattice points the system actually offers — and narrowed deliberately: labels are</w:t>
      </w:r>
      <w:r>
        <w:t xml:space="preserve"> </w:t>
      </w:r>
      <w:r>
        <w:rPr>
          <w:bCs/>
          <w:b/>
        </w:rPr>
        <w:t xml:space="preserve">static</w:t>
      </w:r>
      <w:r>
        <w:t xml:space="preserve">, because non-interference results for dynamic labels remain an open problem in that literature, and a guarantee this thesis cannot prove is one it does not claim.</w:t>
      </w:r>
    </w:p>
    <w:bookmarkEnd w:id="126"/>
    <w:bookmarkStart w:id="127" w:name="X54b100aab65ff32925b83d66f88a2912d928c98"/>
    <w:p>
      <w:pPr>
        <w:pStyle w:val="Heading2"/>
      </w:pPr>
      <w:r>
        <w:t xml:space="preserve">6.22 Defence in Depth, Leakage, Limits, and Correctness Obligations</w:t>
      </w:r>
    </w:p>
    <w:p>
      <w:pPr>
        <w:pStyle w:val="FirstParagraph"/>
      </w:pPr>
      <w:r>
        <w:rPr>
          <w:bCs/>
          <w:b/>
        </w:rPr>
        <w:t xml:space="preserve">Layers.</w:t>
      </w:r>
      <w:r>
        <w:t xml:space="preserve"> </w:t>
      </w:r>
      <w:r>
        <w:t xml:space="preserve">Transport encryption; storage encryption at rest with per-tenant keys; field-level encryption per Section 6.18 with client- or module-held keys; hash-chain integrity computed over ciphertext so tamper-evidence survives confidentiality; key rotation recorded</w:t>
      </w:r>
      <w:r>
        <w:t xml:space="preserve"> </w:t>
      </w:r>
      <w:r>
        <w:rPr>
          <w:iCs/>
          <w:i/>
        </w:rPr>
        <w:t xml:space="preserve">in the ledger itself</w:t>
      </w:r>
      <w:r>
        <w:t xml:space="preserve">, so rotation is an audited event; and capability-scoped decryption in clients.</w:t>
      </w:r>
    </w:p>
    <w:p>
      <w:pPr>
        <w:pStyle w:val="BodyText"/>
      </w:pPr>
      <w:r>
        <w:rPr>
          <w:bCs/>
          <w:b/>
        </w:rPr>
        <w:t xml:space="preserve">Declared leakage.</w:t>
      </w:r>
      <w:r>
        <w:t xml:space="preserve"> </w:t>
      </w:r>
      <w:r>
        <w:t xml:space="preserve">Access patterns (which keys are read when), field sizes and cardinalities, structural fields by design, and timing. Mitigations for access-pattern leakage are out of scope.</w:t>
      </w:r>
    </w:p>
    <w:p>
      <w:pPr>
        <w:pStyle w:val="BodyText"/>
      </w:pPr>
      <w:r>
        <w:rPr>
          <w:bCs/>
          <w:b/>
        </w:rPr>
        <w:t xml:space="preserve">Correctness obligations added by encryption.</w:t>
      </w:r>
      <w:r>
        <w:t xml:space="preserve"> </w:t>
      </w:r>
      <w:r>
        <w:t xml:space="preserve">Chain verification must be ciphertext-stable across re-encryption boundaries, solved by chaining over ciphertext plus explicit rotation records. Conservation over committed amounts holds via the commitment homomorphism and is tested as an extension of the conservation suite. Recovery must not require decryption — and does not, since replay operates over ciphertext.</w:t>
      </w:r>
    </w:p>
    <w:p>
      <w:pPr>
        <w:pStyle w:val="BodyText"/>
      </w:pPr>
      <w:r>
        <w:rPr>
          <w:bCs/>
          <w:b/>
        </w:rPr>
        <w:t xml:space="preserve">Crypto-shredding, stated accurately.</w:t>
      </w:r>
      <w:r>
        <w:t xml:space="preserve"> </w:t>
      </w:r>
      <w:r>
        <w:t xml:space="preserve">Where erasure obligations conflict with retention, destroying a key renders the retained ciphertext unreadable. The most authoritative published treatment of this technique in a regulatory context states that it can</w:t>
      </w:r>
      <w:r>
        <w:t xml:space="preserve"> </w:t>
      </w:r>
      <w:r>
        <w:t xml:space="preserve">“</w:t>
      </w:r>
      <w:r>
        <w:t xml:space="preserve">make the data practically inaccessible, and therefore move closer to the effects of data erasure</w:t>
      </w:r>
      <w:r>
        <w:t xml:space="preserve">”</w:t>
      </w:r>
      <w:r>
        <w:t xml:space="preserve"> </w:t>
      </w:r>
      <w:r>
        <w:t xml:space="preserve">— and deliberately stops short of saying it satisfies the erasure right [CNIL, 2018]. This thesis preserves that hedge, and Section 11.1 accordingly lists legal erasure over base facts among the cases where this architecture is the wrong choice.</w:t>
      </w:r>
    </w:p>
    <w:bookmarkEnd w:id="127"/>
    <w:bookmarkStart w:id="128" w:name="a-phased-build-and-evaluation-guide"/>
    <w:p>
      <w:pPr>
        <w:pStyle w:val="Heading2"/>
      </w:pPr>
      <w:r>
        <w:t xml:space="preserve">6.23 A Phased Build-and-Evaluation Guide</w:t>
      </w:r>
    </w:p>
    <w:p>
      <w:pPr>
        <w:pStyle w:val="FirstParagraph"/>
      </w:pPr>
      <w:r>
        <w:t xml:space="preserve">Each subsystem carries its falsifier from birth: the ledger ships with the floor benchmark before any read model exists; the IR ships with golden-equivalence tests before optimization; partial state ships with the conservation suite wired in; the optimizer ships with the offline dynamic program that grades it; wire protocols ship with the compatibility corpus.</w:t>
      </w:r>
      <w:r>
        <w:t xml:space="preserve"> </w:t>
      </w:r>
      <w:r>
        <w:rPr>
          <w:iCs/>
          <w:i/>
        </w:rPr>
        <w:t xml:space="preserve">No subsystem without its falsifier</w:t>
      </w:r>
      <w:r>
        <w:t xml:space="preserve"> </w:t>
      </w:r>
      <w:r>
        <w:t xml:space="preserve">is the methodology of Chapter 5 made concrete, and the ordering follows Chapter 8.</w:t>
      </w:r>
    </w:p>
    <w:bookmarkEnd w:id="128"/>
    <w:bookmarkStart w:id="129" w:name="product-coverage"/>
    <w:p>
      <w:pPr>
        <w:pStyle w:val="Heading2"/>
      </w:pPr>
      <w:r>
        <w:t xml:space="preserve">6.24 Product Coverage</w:t>
      </w:r>
    </w:p>
    <w:p>
      <w:pPr>
        <w:pStyle w:val="FirstParagraph"/>
      </w:pPr>
      <w:r>
        <w:t xml:space="preserve">The banking layer’s target portfolio, all expressible as</w:t>
      </w:r>
      <w:r>
        <w:t xml:space="preserve"> </w:t>
      </w:r>
      <w:r>
        <w:rPr>
          <w:rStyle w:val="VerbatimChar"/>
        </w:rPr>
        <w:t xml:space="preserve">std::bank</w:t>
      </w:r>
      <w:r>
        <w:t xml:space="preserve"> </w:t>
      </w:r>
      <w:r>
        <w:t xml:space="preserve">and</w:t>
      </w:r>
      <w:r>
        <w:t xml:space="preserve"> </w:t>
      </w:r>
      <w:r>
        <w:rPr>
          <w:rStyle w:val="VerbatimChar"/>
        </w:rPr>
        <w:t xml:space="preserve">std::temporal</w:t>
      </w:r>
      <w:r>
        <w:t xml:space="preserve"> </w:t>
      </w:r>
      <w:r>
        <w:t xml:space="preserve">constructs over the general core:</w:t>
      </w:r>
    </w:p>
    <w:p>
      <w:pPr>
        <w:numPr>
          <w:ilvl w:val="0"/>
          <w:numId w:val="1015"/>
        </w:numPr>
        <w:pStyle w:val="Compact"/>
      </w:pPr>
      <w:r>
        <w:rPr>
          <w:bCs/>
          <w:b/>
        </w:rPr>
        <w:t xml:space="preserve">FX and multi-currency</w:t>
      </w:r>
      <w:r>
        <w:t xml:space="preserve"> </w:t>
      </w:r>
      <w:r>
        <w:t xml:space="preserve">— FX-atomic transactions (Definition 3.7) with positions as per-currency signals; ledger partitioning by currency with linked cross-currency transfers is the industrial precedent.</w:t>
      </w:r>
    </w:p>
    <w:p>
      <w:pPr>
        <w:numPr>
          <w:ilvl w:val="0"/>
          <w:numId w:val="1015"/>
        </w:numPr>
        <w:pStyle w:val="Compact"/>
      </w:pPr>
      <w:r>
        <w:rPr>
          <w:bCs/>
          <w:b/>
        </w:rPr>
        <w:t xml:space="preserve">Derivatives</w:t>
      </w:r>
      <w:r>
        <w:t xml:space="preserve"> </w:t>
      </w:r>
      <w:r>
        <w:t xml:space="preserve">— forwards and swaps as bitemporal schedules of contingent postings; caps and floors as rate-indexed contingent legs priced by UDFs and settled as balanced postings.</w:t>
      </w:r>
    </w:p>
    <w:p>
      <w:pPr>
        <w:numPr>
          <w:ilvl w:val="0"/>
          <w:numId w:val="1015"/>
        </w:numPr>
        <w:pStyle w:val="Compact"/>
      </w:pPr>
      <w:r>
        <w:rPr>
          <w:bCs/>
          <w:b/>
        </w:rPr>
        <w:t xml:space="preserve">Lending</w:t>
      </w:r>
      <w:r>
        <w:t xml:space="preserve"> </w:t>
      </w:r>
      <w:r>
        <w:t xml:space="preserve">— revolving and term facilities (commitment, drawdown, accrual signals, repayment waterfalls); syndicated facilities with participation shares as fractional postings conserving per participant set.</w:t>
      </w:r>
    </w:p>
    <w:p>
      <w:pPr>
        <w:numPr>
          <w:ilvl w:val="0"/>
          <w:numId w:val="1015"/>
        </w:numPr>
        <w:pStyle w:val="Compact"/>
      </w:pPr>
      <w:r>
        <w:rPr>
          <w:bCs/>
          <w:b/>
        </w:rPr>
        <w:t xml:space="preserve">Trade finance</w:t>
      </w:r>
      <w:r>
        <w:t xml:space="preserve"> </w:t>
      </w:r>
      <w:r>
        <w:t xml:space="preserve">— letters of credit as capability-gated state machines whose transitions are ledger events; trade loans; supply-chain finance with conservation across assignor and assignee.</w:t>
      </w:r>
    </w:p>
    <w:p>
      <w:pPr>
        <w:numPr>
          <w:ilvl w:val="0"/>
          <w:numId w:val="1015"/>
        </w:numPr>
        <w:pStyle w:val="Compact"/>
      </w:pPr>
      <w:r>
        <w:rPr>
          <w:bCs/>
          <w:b/>
        </w:rPr>
        <w:t xml:space="preserve">Liquidity</w:t>
      </w:r>
      <w:r>
        <w:t xml:space="preserve"> </w:t>
      </w:r>
      <w:r>
        <w:t xml:space="preserve">— sweeps, cash pooling and zero-balance structures as scheduled inter-account postings generated by temporal rules and balanced by construction.</w:t>
      </w:r>
    </w:p>
    <w:p>
      <w:pPr>
        <w:numPr>
          <w:ilvl w:val="0"/>
          <w:numId w:val="1015"/>
        </w:numPr>
        <w:pStyle w:val="Compact"/>
      </w:pPr>
      <w:r>
        <w:rPr>
          <w:bCs/>
          <w:b/>
        </w:rPr>
        <w:t xml:space="preserve">Authorization and holds</w:t>
      </w:r>
      <w:r>
        <w:t xml:space="preserve"> </w:t>
      </w:r>
      <w:r>
        <w:t xml:space="preserve">— the reservation model of Section 3.19, with available balance as a REV and the authorization decision at ℓ₅.</w:t>
      </w:r>
    </w:p>
    <w:p>
      <w:pPr>
        <w:pStyle w:val="FirstParagraph"/>
      </w:pPr>
      <w:r>
        <w:t xml:space="preserve">Each is a worked example in the artifact; none requires a kernel change, which is the running scope test of Section 9.11.</w:t>
      </w:r>
    </w:p>
    <w:bookmarkEnd w:id="129"/>
    <w:bookmarkStart w:id="130" w:name="Xee3e87e0f468e934c9d77af83d10f017d2361ee"/>
    <w:p>
      <w:pPr>
        <w:pStyle w:val="Heading2"/>
      </w:pPr>
      <w:r>
        <w:t xml:space="preserve">6.25 Syntax Lineage and the SQL-First, Rust-Fallback Rule</w:t>
      </w:r>
    </w:p>
    <w:p>
      <w:pPr>
        <w:pStyle w:val="FirstParagraph"/>
      </w:pPr>
      <w:r>
        <w:rPr>
          <w:bCs/>
          <w:b/>
        </w:rPr>
        <w:t xml:space="preserve">The normative rule</w:t>
      </w:r>
      <w:r>
        <w:t xml:space="preserve"> </w:t>
      </w:r>
      <w:r>
        <w:t xml:space="preserve">for every surface decision: (1) if SQL already expresses the construct, use SQL’s keywords and shape — the sole permitted deviation being pipelined clause</w:t>
      </w:r>
      <w:r>
        <w:t xml:space="preserve"> </w:t>
      </w:r>
      <w:r>
        <w:rPr>
          <w:iCs/>
          <w:i/>
        </w:rPr>
        <w:t xml:space="preserve">order</w:t>
      </w:r>
      <w:r>
        <w:t xml:space="preserve">, which reads in evaluation order while reusing every SQL keyword verbatim; (2) otherwise, if Rust has an equivalent, use Rust’s spelling exactly; (3) otherwise, and only then, invent — and inventions introduce new keywords, types and literals rather than overloading inherited ones.</w:t>
      </w:r>
    </w:p>
    <w:p>
      <w:pPr>
        <w:pStyle w:val="BodyText"/>
      </w:pPr>
      <w:r>
        <w:t xml:space="preserve">The rule carries one exception, and the exception is what makes it a discipline rather than a capitulation:</w:t>
      </w:r>
      <w:r>
        <w:t xml:space="preserve"> </w:t>
      </w:r>
      <w:r>
        <w:rPr>
          <w:bCs/>
          <w:b/>
        </w:rPr>
        <w:t xml:space="preserve">a SQL spelling is not reused where it would sacrifice determinism or efficiency the engine depends on.</w:t>
      </w:r>
      <w:r>
        <w:t xml:space="preserve"> </w:t>
      </w:r>
      <w:r>
        <w:t xml:space="preserve">An unbounded recursive CTE is admitted only behind the guard of Section 6.12;</w:t>
      </w:r>
      <w:r>
        <w:t xml:space="preserve"> </w:t>
      </w:r>
      <w:r>
        <w:rPr>
          <w:rStyle w:val="VerbatimChar"/>
        </w:rPr>
        <w:t xml:space="preserve">float</w:t>
      </w:r>
      <w:r>
        <w:t xml:space="preserve"> </w:t>
      </w:r>
      <w:r>
        <w:t xml:space="preserve">is not a legal money type; and Rust spellings implying ambient mutation, raw pointers, threads or I/O are not surfaced at all (Section 6.14). The language declines to inherit SQL’s permissiveness precisely where permissiveness would cost a guarantee.</w:t>
      </w:r>
    </w:p>
    <w:p>
      <w:pPr>
        <w:pStyle w:val="BodyText"/>
      </w:pPr>
      <w:r>
        <w:t xml:space="preserve">This ordering is the reverse of the one an earlier draft adopted, and the reasons for reversing it are given in Appendix J.1: the population to be persuaded reads SQL; the translation theorem of Section 4.7 becomes near-syntactic for the reused fragment when the vocabulary matches, and would otherwise make every clause a translation case; and a language claiming to replace SQL that respells</w:t>
      </w:r>
      <w:r>
        <w:t xml:space="preserve"> </w:t>
      </w:r>
      <w:r>
        <w:rPr>
          <w:rStyle w:val="VerbatimChar"/>
        </w:rPr>
        <w:t xml:space="preserve">GROUP BY</w:t>
      </w:r>
      <w:r>
        <w:t xml:space="preserve"> </w:t>
      </w:r>
      <w:r>
        <w:t xml:space="preserve">has made an unforced adoption error.</w:t>
      </w:r>
    </w:p>
    <w:p>
      <w:pPr>
        <w:pStyle w:val="BodyText"/>
      </w:pPr>
      <w:r>
        <w:rPr>
          <w:bCs/>
          <w:b/>
        </w:rPr>
        <w:t xml:space="preserve">Lineage.</w:t>
      </w:r>
      <w:r>
        <w:t xml:space="preserve"> </w:t>
      </w:r>
      <w:r>
        <w:t xml:space="preserve">Query vocabulary — filtering, joining, grouping, having, set operations, DDL, DML, TCL and DCL statements — comes from SQL, in pipelined order rather than SQL’s inverted clause order. Items, expressions, patterns, generics, traits, attribute annotations and the imperative tier come from Rust — chosen as the fallback because the engine itself is written in Rust and the UDF tier compiles through the same toolchain, so one syntactic idiom spans language and engine. Novel forms — base and ledger declarations,</w:t>
      </w:r>
      <w:r>
        <w:t xml:space="preserve"> </w:t>
      </w:r>
      <w:r>
        <w:rPr>
          <w:rStyle w:val="VerbatimChar"/>
        </w:rPr>
        <w:t xml:space="preserve">serve</w:t>
      </w:r>
      <w:r>
        <w:t xml:space="preserve"> </w:t>
      </w:r>
      <w:r>
        <w:t xml:space="preserve">contracts, anchors,</w:t>
      </w:r>
      <w:r>
        <w:t xml:space="preserve"> </w:t>
      </w:r>
      <w:r>
        <w:rPr>
          <w:rStyle w:val="VerbatimChar"/>
        </w:rPr>
        <w:t xml:space="preserve">Money</w:t>
      </w:r>
      <w:r>
        <w:t xml:space="preserve">, value dates and bitemporal literals, idempotency keys, effect annotations, materialization modes, lineage modes and confidentiality annotations — are new, with no false cognates: a novel construct never reuses an inherited keyword with changed meaning.</w:t>
      </w:r>
    </w:p>
    <w:p>
      <w:pPr>
        <w:pStyle w:val="BodyText"/>
      </w:pPr>
      <w:r>
        <w:t xml:space="preserve">The rule is testable: any construct violating the precedence order is a specification bug, and Appendix B applies it item by item.</w:t>
      </w:r>
    </w:p>
    <w:bookmarkEnd w:id="130"/>
    <w:bookmarkStart w:id="131" w:name="build-stack-and-compilation-targets"/>
    <w:p>
      <w:pPr>
        <w:pStyle w:val="Heading2"/>
      </w:pPr>
      <w:r>
        <w:t xml:space="preserve">6.26 Build Stack and Compilation Targets</w:t>
      </w:r>
    </w:p>
    <w:p>
      <w:pPr>
        <w:pStyle w:val="FirstParagraph"/>
      </w:pPr>
      <w:r>
        <w:rPr>
          <w:bCs/>
          <w:b/>
        </w:rPr>
        <w:t xml:space="preserve">The four-technology stack:</w:t>
      </w:r>
      <w:r>
        <w:t xml:space="preserve"> </w:t>
      </w:r>
      <w:r>
        <w:t xml:space="preserve">Rust (engine, kernel, stage-0 compiler host); the Niles IR (the semantic centre); WebAssembly (the UDF ABI and the self-hosted optimizer’s own execution target); and an optional established back-end for release-grade native code generation, against which the self-hosted back-end’s remaining gap is measured and published rather than hidden.</w:t>
      </w:r>
    </w:p>
    <w:p>
      <w:pPr>
        <w:pStyle w:val="BodyText"/>
      </w:pPr>
      <w:r>
        <w:rPr>
          <w:bCs/>
          <w:b/>
        </w:rPr>
        <w:t xml:space="preserve">Targets:</w:t>
      </w:r>
      <w:r>
        <w:t xml:space="preserve"> </w:t>
      </w:r>
      <w:r>
        <w:t xml:space="preserve">native Linux on ARM64 and x86-64, macOS on ARM64, Windows on x86-64, a WSL profile (Linux with a static-linking profile), and wasm32. The target model is data (Appendix E.2): each target is a declarative record consumed by all back-ends, so adding a target is a data change plus encoder tables. The cross-target determinism obligation, with the Wasm mitigations of Section 6.13, is Appendix C.5.</w:t>
      </w:r>
    </w:p>
    <w:bookmarkEnd w:id="131"/>
    <w:bookmarkEnd w:id="132"/>
    <w:bookmarkStart w:id="138" w:name="implementation-design-and-current-status"/>
    <w:p>
      <w:pPr>
        <w:pStyle w:val="Heading1"/>
      </w:pPr>
      <w:r>
        <w:t xml:space="preserve">7. Implementation Design and Current Status</w:t>
      </w:r>
    </w:p>
    <w:p>
      <w:pPr>
        <w:pStyle w:val="FirstParagraph"/>
      </w:pPr>
      <w:r>
        <w:t xml:space="preserve">This chapter records what is specified, what is built, and what is not. That boundary moved substantially during the work, and this chapter is where the current position is stated once and plainly, so that no reader has to infer it from an appendix’s tense.</w:t>
      </w:r>
    </w:p>
    <w:p>
      <w:pPr>
        <w:pStyle w:val="BodyText"/>
      </w:pPr>
      <w:r>
        <w:rPr>
          <w:bCs/>
          <w:b/>
        </w:rPr>
        <w:t xml:space="preserve">Status.</w:t>
      </w:r>
      <w:r>
        <w:t xml:space="preserve"> </w:t>
      </w:r>
      <w:r>
        <w:t xml:space="preserve">The artifact accompanying this thesis contains a</w:t>
      </w:r>
      <w:r>
        <w:t xml:space="preserve"> </w:t>
      </w:r>
      <w:r>
        <w:rPr>
          <w:bCs/>
          <w:b/>
        </w:rPr>
        <w:t xml:space="preserve">working stage-0 compiler</w:t>
      </w:r>
      <w:r>
        <w:t xml:space="preserve"> </w:t>
      </w:r>
      <w:r>
        <w:t xml:space="preserve">for a large subset of Niles, a</w:t>
      </w:r>
      <w:r>
        <w:t xml:space="preserve"> </w:t>
      </w:r>
      <w:r>
        <w:rPr>
          <w:bCs/>
          <w:b/>
        </w:rPr>
        <w:t xml:space="preserve">typed IR with a verifier</w:t>
      </w:r>
      <w:r>
        <w:t xml:space="preserve">, a</w:t>
      </w:r>
      <w:r>
        <w:t xml:space="preserve"> </w:t>
      </w:r>
      <w:r>
        <w:rPr>
          <w:bCs/>
          <w:b/>
        </w:rPr>
        <w:t xml:space="preserve">REV runtime</w:t>
      </w:r>
      <w:r>
        <w:t xml:space="preserve"> </w:t>
      </w:r>
      <w:r>
        <w:t xml:space="preserve">that executes compiled circuits, a</w:t>
      </w:r>
      <w:r>
        <w:t xml:space="preserve"> </w:t>
      </w:r>
      <w:r>
        <w:rPr>
          <w:bCs/>
          <w:b/>
        </w:rPr>
        <w:t xml:space="preserve">durable, concurrent ledger write path</w:t>
      </w:r>
      <w:r>
        <w:t xml:space="preserve">, and a</w:t>
      </w:r>
      <w:r>
        <w:t xml:space="preserve"> </w:t>
      </w:r>
      <w:r>
        <w:rPr>
          <w:bCs/>
          <w:b/>
        </w:rPr>
        <w:t xml:space="preserve">research prototype</w:t>
      </w:r>
      <w:r>
        <w:t xml:space="preserve"> </w:t>
      </w:r>
      <w:r>
        <w:t xml:space="preserve">with an experiment harness. The loop from Niles source text to a measured result is closed end to end and is reproducible by a stranger with</w:t>
      </w:r>
      <w:r>
        <w:t xml:space="preserve"> </w:t>
      </w:r>
      <w:r>
        <w:rPr>
          <w:rStyle w:val="VerbatimChar"/>
        </w:rPr>
        <w:t xml:space="preserve">cargo</w:t>
      </w:r>
      <w:r>
        <w:t xml:space="preserve">. What remains unbuilt is stated in §7.5 with equal precision: there is no distributed execution, no consensus, no wire protocol, no self-hosted back end, and the executable IR fragment is narrower than the IR the compiler emits.</w:t>
      </w:r>
    </w:p>
    <w:p>
      <w:pPr>
        <w:pStyle w:val="BodyText"/>
      </w:pPr>
      <w:r>
        <w:t xml:space="preserve">Everything described below that is</w:t>
      </w:r>
      <w:r>
        <w:t xml:space="preserve"> </w:t>
      </w:r>
      <w:r>
        <w:rPr>
          <w:iCs/>
          <w:i/>
        </w:rPr>
        <w:t xml:space="preserve">not</w:t>
      </w:r>
      <w:r>
        <w:t xml:space="preserve"> </w:t>
      </w:r>
      <w:r>
        <w:t xml:space="preserve">marked as built is written as an implementation plan with its design decisions and their justifications. No claim of completed performance work is made anywhere in this thesis beyond the measurements Chapter 9 reports and labels.</w:t>
      </w:r>
    </w:p>
    <w:bookmarkStart w:id="133" w:name="nilestream-core-and-the-ledger"/>
    <w:p>
      <w:pPr>
        <w:pStyle w:val="Heading2"/>
      </w:pPr>
      <w:r>
        <w:t xml:space="preserve">7.1 Nilestream-Core and the Ledger</w:t>
      </w:r>
    </w:p>
    <w:p>
      <w:pPr>
        <w:pStyle w:val="FirstParagraph"/>
      </w:pPr>
      <w:r>
        <w:rPr>
          <w:bCs/>
          <w:b/>
        </w:rPr>
        <w:t xml:space="preserve">Ledger crate.</w:t>
      </w:r>
      <w:r>
        <w:t xml:space="preserve"> </w:t>
      </w:r>
      <w:r>
        <w:t xml:space="preserve">Implements Definition 3.1 directly: an epoch segment format (header with epoch identifier, parent hash, count and checksum; body of canonically serialized rows; footer with the epoch hash), a sequencer folding validated writes into the open epoch, hash chaining, a seal-then-publish ordering of fsync, chain append and visibility advance, and verify-on-read for migrated prefixes. The admission pipeline enforces idempotency against the declared window, the commit rule (for ledgers, per-currency zero-sum in exact integer minor units — floating point never touches amounts), and authorization capabilities.</w:t>
      </w:r>
    </w:p>
    <w:p>
      <w:pPr>
        <w:pStyle w:val="BodyText"/>
      </w:pPr>
      <w:r>
        <w:t xml:space="preserve">Two design decisions are worth recording because they follow from the theory rather than from convenience. First,</w:t>
      </w:r>
      <w:r>
        <w:t xml:space="preserve"> </w:t>
      </w:r>
      <w:r>
        <w:rPr>
          <w:bCs/>
          <w:b/>
        </w:rPr>
        <w:t xml:space="preserve">no compaction of the base</w:t>
      </w:r>
      <w:r>
        <w:t xml:space="preserve">: Proposition 3.4 makes full retention necessary for reconstructibility, so the storage engine may migrate and re-encode segments but may never merge away rows. This is why a general-purpose LSM engine is not used for the base even though one is appropriate for cold</w:t>
      </w:r>
      <w:r>
        <w:t xml:space="preserve"> </w:t>
      </w:r>
      <w:r>
        <w:rPr>
          <w:iCs/>
          <w:i/>
        </w:rPr>
        <w:t xml:space="preserve">view</w:t>
      </w:r>
      <w:r>
        <w:t xml:space="preserve"> </w:t>
      </w:r>
      <w:r>
        <w:t xml:space="preserve">state. Second,</w:t>
      </w:r>
      <w:r>
        <w:t xml:space="preserve"> </w:t>
      </w:r>
      <w:r>
        <w:rPr>
          <w:bCs/>
          <w:b/>
        </w:rPr>
        <w:t xml:space="preserve">resolution by append</w:t>
      </w:r>
      <w:r>
        <w:t xml:space="preserve">: holds are resolved by appending a resolution row rather than by updating the pending row (Section 3.19), which keeps the base free of any update path at all — the same choice the strictest production ledgers make.</w:t>
      </w:r>
    </w:p>
    <w:p>
      <w:pPr>
        <w:pStyle w:val="BodyText"/>
      </w:pPr>
      <w:r>
        <w:rPr>
          <w:bCs/>
          <w:b/>
        </w:rPr>
        <w:t xml:space="preserve">Nilestream-Core.</w:t>
      </w:r>
      <w:r>
        <w:t xml:space="preserve"> </w:t>
      </w:r>
      <w:r>
        <w:t xml:space="preserve">Implements the REV runtime: resident maps holding absence-lattice slots; per-key anchor indices (epoch-skip structures) that discharge Theorem 4.3′’s access assumption in practice rather than in idealization; the apply loop consuming sealed epochs through compiled delta circuits; the upquery engine evaluating circuits in pull mode along provenance-derived paths against a frozen prefix; the materialization optimizer of Contribution 5; and the lineage emitter.</w:t>
      </w:r>
    </w:p>
    <w:p>
      <w:pPr>
        <w:pStyle w:val="BodyText"/>
      </w:pPr>
      <w:r>
        <w:t xml:space="preserve">The divergences from prior partial-state dataflow are exactly the ones the theory requires: entries are versioned; upqueries name an epoch; deletions are negative-weight deltas rather than tombstone special cases; eviction requires no downstream notification; and eviction policy is cost-model-driven rather than randomized. The expected engineering dividend — an entire class of protocol machinery that does not need to exist (§4.2) — is a</w:t>
      </w:r>
      <w:r>
        <w:t xml:space="preserve"> </w:t>
      </w:r>
      <w:r>
        <w:rPr>
          <w:iCs/>
          <w:i/>
        </w:rPr>
        <w:t xml:space="preserve">prediction</w:t>
      </w:r>
      <w:r>
        <w:t xml:space="preserve"> </w:t>
      </w:r>
      <w:r>
        <w:t xml:space="preserve">of the design, and Phase 2 (Section 8.3) is where it is confirmed or refuted.</w:t>
      </w:r>
    </w:p>
    <w:p>
      <w:pPr>
        <w:pStyle w:val="BodyText"/>
      </w:pPr>
      <w:r>
        <w:rPr>
          <w:bCs/>
          <w:b/>
        </w:rPr>
        <w:t xml:space="preserve">Recovery.</w:t>
      </w:r>
      <w:r>
        <w:t xml:space="preserve"> </w:t>
      </w:r>
      <w:r>
        <w:t xml:space="preserve">On restart, the durable prefix is scanned to the last sealed segment, the chain is verified forward from the last trusted digest, frontiers are re-derived, and views restart cold, with checkpoints as optional warm-start optimization that correctness never depends on.</w:t>
      </w:r>
    </w:p>
    <w:bookmarkEnd w:id="133"/>
    <w:bookmarkStart w:id="134" w:name="the-niles-compiler"/>
    <w:p>
      <w:pPr>
        <w:pStyle w:val="Heading2"/>
      </w:pPr>
      <w:r>
        <w:t xml:space="preserve">7.2 The Niles Compiler</w:t>
      </w:r>
    </w:p>
    <w:p>
      <w:pPr>
        <w:pStyle w:val="FirstParagraph"/>
      </w:pPr>
      <w:r>
        <w:t xml:space="preserve">A classical pipeline — lexer, recursive-descent parser with error recovery, name resolution, type-and-effect checking, IR lowering — with three checkers doing the thesis-critical work.</w:t>
      </w:r>
    </w:p>
    <w:p>
      <w:pPr>
        <w:pStyle w:val="BodyText"/>
      </w:pPr>
      <w:r>
        <w:rPr>
          <w:bCs/>
          <w:b/>
        </w:rPr>
        <w:t xml:space="preserve">The currency-row solver</w:t>
      </w:r>
      <w:r>
        <w:t xml:space="preserve"> </w:t>
      </w:r>
      <w:r>
        <w:t xml:space="preserve">implements T-Posting: transaction bodies are elaborated to per-currency sums over linear posting halves, and each row must cancel syntactically or via amounts proved equal by an exact integer constant evaluator. Failures name the unbalanced currency and the residual amount. This is expected to be the most-used diagnostic in practice, and its message quality is treated as a first-class design concern rather than an afterthought — a compile error that a developer cannot act on is a runtime error with extra steps.</w:t>
      </w:r>
    </w:p>
    <w:p>
      <w:pPr>
        <w:pStyle w:val="BodyText"/>
      </w:pPr>
      <w:r>
        <w:rPr>
          <w:bCs/>
          <w:b/>
        </w:rPr>
        <w:t xml:space="preserve">The effect checker</w:t>
      </w:r>
      <w:r>
        <w:t xml:space="preserve"> </w:t>
      </w:r>
      <w:r>
        <w:t xml:space="preserve">implements the rows of Section 4.5: consistency demands propagate up call graphs,</w:t>
      </w:r>
      <w:r>
        <w:t xml:space="preserve"> </w:t>
      </w:r>
      <w:r>
        <w:rPr>
          <w:rStyle w:val="VerbatimChar"/>
        </w:rPr>
        <w:t xml:space="preserve">serve</w:t>
      </w:r>
      <w:r>
        <w:t xml:space="preserve"> </w:t>
      </w:r>
      <w:r>
        <w:t xml:space="preserve">contracts are checked against demands at view boundaries, idempotency windows are checked at submission sites, and confidentiality flows are checked against static labels.</w:t>
      </w:r>
    </w:p>
    <w:p>
      <w:pPr>
        <w:pStyle w:val="BodyText"/>
      </w:pPr>
      <w:r>
        <w:rPr>
          <w:bCs/>
          <w:b/>
        </w:rPr>
        <w:t xml:space="preserve">The IR verifier</w:t>
      </w:r>
      <w:r>
        <w:t xml:space="preserve"> </w:t>
      </w:r>
      <w:r>
        <w:t xml:space="preserve">is a small, independent type checker for circuits that re-checks all compiler output at load time, keeping the compiler outside the trusted base (Section 6.14). It is the one component where duplication of logic is deliberate: the verifier must not share code with the lowerer, or it would validate the lowerer’s assumptions rather than the IR’s rules.</w:t>
      </w:r>
    </w:p>
    <w:p>
      <w:pPr>
        <w:pStyle w:val="BodyText"/>
      </w:pPr>
      <w:r>
        <w:rPr>
          <w:bCs/>
          <w:b/>
        </w:rPr>
        <w:t xml:space="preserve">Surfaces.</w:t>
      </w:r>
      <w:r>
        <w:t xml:space="preserve"> </w:t>
      </w:r>
      <w:r>
        <w:t xml:space="preserve">The SQL frontend parses the stated fragment and lowers to the same IR, with golden-file α-equivalence tests enforcing Theorem 4.6(c) as a build gate. Embedded APIs construct IR directly and are verified identically.</w:t>
      </w:r>
    </w:p>
    <w:bookmarkEnd w:id="134"/>
    <w:bookmarkStart w:id="135" w:name="the-server-and-wire-compatibility"/>
    <w:p>
      <w:pPr>
        <w:pStyle w:val="Heading2"/>
      </w:pPr>
      <w:r>
        <w:t xml:space="preserve">7.3 The Server and Wire Compatibility</w:t>
      </w:r>
    </w:p>
    <w:p>
      <w:pPr>
        <w:pStyle w:val="FirstParagraph"/>
      </w:pPr>
      <w:r>
        <w:t xml:space="preserve">The server assembles the spine into a deployable daemon: connection handling, authentication, session state (the watermarks implementing ℓ₁ and ℓ₂), the native protocol, and the two compatibility surfaces.</w:t>
      </w:r>
    </w:p>
    <w:p>
      <w:pPr>
        <w:pStyle w:val="BodyText"/>
      </w:pPr>
      <w:r>
        <w:rPr>
          <w:bCs/>
          <w:b/>
        </w:rPr>
        <w:t xml:space="preserve">MySQL and PostgreSQL wire compatibility</w:t>
      </w:r>
      <w:r>
        <w:t xml:space="preserve"> </w:t>
      </w:r>
      <w:r>
        <w:t xml:space="preserve">exist for one reason: incremental adoption. An institution cannot replace a core banking estate atomically, so the design’s viability depends on unmodified clients, drivers and reporting tools connecting to Nilestream and working. Both adapters translate a documented dialect subset into IR.</w:t>
      </w:r>
    </w:p>
    <w:p>
      <w:pPr>
        <w:pStyle w:val="BodyText"/>
      </w:pPr>
      <w:r>
        <w:rPr>
          <w:bCs/>
          <w:b/>
        </w:rPr>
        <w:t xml:space="preserve">Compatibility policy.</w:t>
      </w:r>
      <w:r>
        <w:t xml:space="preserve"> </w:t>
      </w:r>
      <w:r>
        <w:t xml:space="preserve">The supported subset is documented and tested against a recorded-traffic corpus, and</w:t>
      </w:r>
      <w:r>
        <w:t xml:space="preserve"> </w:t>
      </w:r>
      <w:r>
        <w:rPr>
          <w:bCs/>
          <w:b/>
        </w:rPr>
        <w:t xml:space="preserve">everything outside it fails loudly with a named unsupported-feature error</w:t>
      </w:r>
      <w:r>
        <w:t xml:space="preserve">. Silent divergence is treated as a correctness bug, not a compatibility gap. This is the operational counterpart of Theorem 4.6(c)’s fragment honesty: a translation theorem about a stated fragment is only meaningful if constructs outside the fragment are refused rather than approximated.</w:t>
      </w:r>
    </w:p>
    <w:p>
      <w:pPr>
        <w:pStyle w:val="BodyText"/>
      </w:pPr>
      <w:r>
        <w:rPr>
          <w:bCs/>
          <w:b/>
        </w:rPr>
        <w:t xml:space="preserve">Anchors across the wire.</w:t>
      </w:r>
      <w:r>
        <w:t xml:space="preserve"> </w:t>
      </w:r>
      <w:r>
        <w:t xml:space="preserve">Because every answer carries its epoch, the adapters expose the anchor through protocol-appropriate channels (a session variable and an optional message attribute), so that an application which cares about</w:t>
      </w:r>
      <w:r>
        <w:t xml:space="preserve"> </w:t>
      </w:r>
      <w:r>
        <w:t xml:space="preserve">“</w:t>
      </w:r>
      <w:r>
        <w:t xml:space="preserve">as of when</w:t>
      </w:r>
      <w:r>
        <w:t xml:space="preserve">”</w:t>
      </w:r>
      <w:r>
        <w:t xml:space="preserve"> </w:t>
      </w:r>
      <w:r>
        <w:t xml:space="preserve">can obtain it without abandoning its existing driver. An application that ignores it gets ordinary SQL behaviour at the view’s declared contract.</w:t>
      </w:r>
    </w:p>
    <w:p>
      <w:pPr>
        <w:pStyle w:val="BodyText"/>
      </w:pPr>
      <w:r>
        <w:rPr>
          <w:bCs/>
          <w:b/>
        </w:rPr>
        <w:t xml:space="preserve">Observability and audit endpoints</w:t>
      </w:r>
      <w:r>
        <w:t xml:space="preserve"> </w:t>
      </w:r>
      <w:r>
        <w:t xml:space="preserve">export the frontier gauges, hit/miss/upquery counters, reconstruction-latency distributions, mode transitions with their causes, and the audit operations of Section 6.15 — chain verification, reproduction of a published answer, and impact analysis. These are the instruments Chapter 9’s protocols read; building them alongside the features rather than afterwards is what makes the evaluation possible at all.</w:t>
      </w:r>
    </w:p>
    <w:bookmarkEnd w:id="135"/>
    <w:bookmarkStart w:id="136" w:name="what-exists-today"/>
    <w:p>
      <w:pPr>
        <w:pStyle w:val="Heading2"/>
      </w:pPr>
      <w:r>
        <w:t xml:space="preserve">7.4 What Exists Today</w:t>
      </w:r>
    </w:p>
    <w:p>
      <w:pPr>
        <w:pStyle w:val="FirstParagraph"/>
      </w:pPr>
      <w:r>
        <w:t xml:space="preserve">Every row marked</w:t>
      </w:r>
      <w:r>
        <w:t xml:space="preserve"> </w:t>
      </w:r>
      <w:r>
        <w:rPr>
          <w:bCs/>
          <w:b/>
        </w:rPr>
        <w:t xml:space="preserve">built</w:t>
      </w:r>
      <w:r>
        <w:t xml:space="preserve"> </w:t>
      </w:r>
      <w:r>
        <w:t xml:space="preserve">is compiled and tested by</w:t>
      </w:r>
      <w:r>
        <w:t xml:space="preserve"> </w:t>
      </w:r>
      <w:r>
        <w:rPr>
          <w:rStyle w:val="VerbatimChar"/>
        </w:rPr>
        <w:t xml:space="preserve">cargo test --workspace</w:t>
      </w:r>
      <w:r>
        <w:t xml:space="preserve">, which currently runs</w:t>
      </w:r>
      <w:r>
        <w:t xml:space="preserve"> </w:t>
      </w:r>
      <w:r>
        <w:rPr>
          <w:bCs/>
          <w:b/>
        </w:rPr>
        <w:t xml:space="preserve">401 tests</w:t>
      </w:r>
      <w:r>
        <w:t xml:space="preserve">. Every figure in this table is produced by the build rather than typed by hand.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Status</w:t>
            </w:r>
          </w:p>
        </w:tc>
      </w:tr>
      <w:tr>
        <w:tc>
          <w:tcPr/>
          <w:p>
            <w:pPr>
              <w:pStyle w:val="Compact"/>
              <w:jc w:val="left"/>
            </w:pPr>
            <w:r>
              <w:rPr>
                <w:bCs/>
                <w:b/>
              </w:rPr>
              <w:t xml:space="preserve">Keyword registry</w:t>
            </w:r>
            <w:r>
              <w:t xml:space="preserve"> </w:t>
            </w:r>
            <w:r>
              <w:t xml:space="preserve">(</w:t>
            </w:r>
            <w:r>
              <w:rPr>
                <w:rStyle w:val="VerbatimChar"/>
              </w:rPr>
              <w:t xml:space="preserve">niles-lang::keywords</w:t>
            </w:r>
            <w:r>
              <w:t xml:space="preserve">)</w:t>
            </w:r>
          </w:p>
        </w:tc>
        <w:tc>
          <w:tcPr/>
          <w:p>
            <w:pPr>
              <w:pStyle w:val="Compact"/>
              <w:jc w:val="left"/>
            </w:pPr>
            <w:r>
              <w:rPr>
                <w:bCs/>
                <w:b/>
              </w:rPr>
              <w:t xml:space="preserve">Built</w:t>
            </w:r>
            <w:r>
              <w:t xml:space="preserve"> </w:t>
            </w:r>
            <w:r>
              <w:t xml:space="preserve">— 174 keywords on four axes; the single source of truth from which the lexer, the reserved list and Appendix B.19 are all generated</w:t>
            </w:r>
          </w:p>
        </w:tc>
      </w:tr>
      <w:tr>
        <w:tc>
          <w:tcPr/>
          <w:p>
            <w:pPr>
              <w:pStyle w:val="Compact"/>
              <w:jc w:val="left"/>
            </w:pPr>
            <w:r>
              <w:rPr>
                <w:bCs/>
                <w:b/>
              </w:rPr>
              <w:t xml:space="preserve">Normative grammar</w:t>
            </w:r>
            <w:r>
              <w:t xml:space="preserve"> </w:t>
            </w:r>
            <w:r>
              <w:t xml:space="preserve">(</w:t>
            </w:r>
            <w:r>
              <w:rPr>
                <w:rStyle w:val="VerbatimChar"/>
              </w:rPr>
              <w:t xml:space="preserve">grammar/niles.ebnf</w:t>
            </w:r>
            <w:r>
              <w:t xml:space="preserve">)</w:t>
            </w:r>
          </w:p>
        </w:tc>
        <w:tc>
          <w:tcPr/>
          <w:p>
            <w:pPr>
              <w:pStyle w:val="Compact"/>
              <w:jc w:val="left"/>
            </w:pPr>
            <w:r>
              <w:rPr>
                <w:bCs/>
                <w:b/>
              </w:rPr>
              <w:t xml:space="preserve">Built</w:t>
            </w:r>
            <w:r>
              <w:t xml:space="preserve"> </w:t>
            </w:r>
            <w:r>
              <w:t xml:space="preserve">— 205 rules, 496 productions, with a drift test checking it against the registry and the compiler in both directions</w:t>
            </w:r>
          </w:p>
        </w:tc>
      </w:tr>
      <w:tr>
        <w:tc>
          <w:tcPr/>
          <w:p>
            <w:pPr>
              <w:pStyle w:val="Compact"/>
              <w:jc w:val="left"/>
            </w:pPr>
            <w:r>
              <w:rPr>
                <w:bCs/>
                <w:b/>
              </w:rPr>
              <w:t xml:space="preserve">Generated keyword reference</w:t>
            </w:r>
            <w:r>
              <w:t xml:space="preserve"> </w:t>
            </w:r>
            <w:r>
              <w:t xml:space="preserve">(</w:t>
            </w:r>
            <w:r>
              <w:rPr>
                <w:rStyle w:val="VerbatimChar"/>
              </w:rPr>
              <w:t xml:space="preserve">docs/keywords.md</w:t>
            </w:r>
            <w:r>
              <w:t xml:space="preserve">)</w:t>
            </w:r>
          </w:p>
        </w:tc>
        <w:tc>
          <w:tcPr/>
          <w:p>
            <w:pPr>
              <w:pStyle w:val="Compact"/>
              <w:jc w:val="left"/>
            </w:pPr>
            <w:r>
              <w:rPr>
                <w:bCs/>
                <w:b/>
              </w:rPr>
              <w:t xml:space="preserve">Built</w:t>
            </w:r>
            <w:r>
              <w:t xml:space="preserve"> </w:t>
            </w:r>
            <w:r>
              <w:t xml:space="preserve">— regenerated from the registry, with a blessing test that fails if the two disagree</w:t>
            </w:r>
          </w:p>
        </w:tc>
      </w:tr>
      <w:tr>
        <w:tc>
          <w:tcPr/>
          <w:p>
            <w:pPr>
              <w:pStyle w:val="Compact"/>
              <w:jc w:val="left"/>
            </w:pPr>
            <w:r>
              <w:rPr>
                <w:bCs/>
                <w:b/>
              </w:rPr>
              <w:t xml:space="preserve">Lexer</w:t>
            </w:r>
          </w:p>
        </w:tc>
        <w:tc>
          <w:tcPr/>
          <w:p>
            <w:pPr>
              <w:pStyle w:val="Compact"/>
              <w:jc w:val="left"/>
            </w:pPr>
            <w:r>
              <w:rPr>
                <w:bCs/>
                <w:b/>
              </w:rPr>
              <w:t xml:space="preserve">Built</w:t>
            </w:r>
            <w:r>
              <w:t xml:space="preserve"> </w:t>
            </w:r>
            <w:r>
              <w:t xml:space="preserve">— two-layer, lossless, covering money with per-currency scale, both temporal axes, epochs and durations</w:t>
            </w:r>
          </w:p>
        </w:tc>
      </w:tr>
      <w:tr>
        <w:tc>
          <w:tcPr/>
          <w:p>
            <w:pPr>
              <w:pStyle w:val="Compact"/>
              <w:jc w:val="left"/>
            </w:pPr>
            <w:r>
              <w:rPr>
                <w:bCs/>
                <w:b/>
              </w:rPr>
              <w:t xml:space="preserve">Parser</w:t>
            </w:r>
          </w:p>
        </w:tc>
        <w:tc>
          <w:tcPr/>
          <w:p>
            <w:pPr>
              <w:pStyle w:val="Compact"/>
              <w:jc w:val="left"/>
            </w:pPr>
            <w:r>
              <w:rPr>
                <w:bCs/>
                <w:b/>
              </w:rPr>
              <w:t xml:space="preserve">Built</w:t>
            </w:r>
            <w:r>
              <w:t xml:space="preserve"> </w:t>
            </w:r>
            <w:r>
              <w:t xml:space="preserve">— hand-written recursive descent with Pratt expressions; resilient, and total on arbitrary input</w:t>
            </w:r>
          </w:p>
        </w:tc>
      </w:tr>
      <w:tr>
        <w:tc>
          <w:tcPr/>
          <w:p>
            <w:pPr>
              <w:pStyle w:val="Compact"/>
              <w:jc w:val="left"/>
            </w:pPr>
            <w:r>
              <w:rPr>
                <w:bCs/>
                <w:b/>
              </w:rPr>
              <w:t xml:space="preserve">Resolver and catalog</w:t>
            </w:r>
          </w:p>
        </w:tc>
        <w:tc>
          <w:tcPr/>
          <w:p>
            <w:pPr>
              <w:pStyle w:val="Compact"/>
              <w:jc w:val="left"/>
            </w:pPr>
            <w:r>
              <w:rPr>
                <w:bCs/>
                <w:b/>
              </w:rPr>
              <w:t xml:space="preserve">Built</w:t>
            </w:r>
            <w:r>
              <w:t xml:space="preserve"> </w:t>
            </w:r>
            <w:r>
              <w:t xml:space="preserve">— epoch-anchored; discharges the declaration-level well-formedness rules W1–W3, W5, W9–W12, W19</w:t>
            </w:r>
          </w:p>
        </w:tc>
      </w:tr>
      <w:tr>
        <w:tc>
          <w:tcPr/>
          <w:p>
            <w:pPr>
              <w:pStyle w:val="Compact"/>
              <w:jc w:val="left"/>
            </w:pPr>
            <w:r>
              <w:rPr>
                <w:bCs/>
                <w:b/>
              </w:rPr>
              <w:t xml:space="preserve">Currency-row solver</w:t>
            </w:r>
          </w:p>
        </w:tc>
        <w:tc>
          <w:tcPr/>
          <w:p>
            <w:pPr>
              <w:pStyle w:val="Compact"/>
              <w:jc w:val="left"/>
            </w:pPr>
            <w:r>
              <w:rPr>
                <w:bCs/>
                <w:b/>
              </w:rPr>
              <w:t xml:space="preserve">Built</w:t>
            </w:r>
            <w:r>
              <w:t xml:space="preserve"> </w:t>
            </w:r>
            <w:r>
              <w:t xml:space="preserve">— conservation and currency safety decided statically, with an honest</w:t>
            </w:r>
            <w:r>
              <w:t xml:space="preserve"> </w:t>
            </w:r>
            <w:r>
              <w:rPr>
                <w:iCs/>
                <w:i/>
              </w:rPr>
              <w:t xml:space="preserve">undecided</w:t>
            </w:r>
            <w:r>
              <w:t xml:space="preserve"> </w:t>
            </w:r>
            <w:r>
              <w:t xml:space="preserve">verdict where an amount is opaque</w:t>
            </w:r>
          </w:p>
        </w:tc>
      </w:tr>
      <w:tr>
        <w:tc>
          <w:tcPr/>
          <w:p>
            <w:pPr>
              <w:pStyle w:val="Compact"/>
              <w:jc w:val="left"/>
            </w:pPr>
            <w:r>
              <w:rPr>
                <w:bCs/>
                <w:b/>
              </w:rPr>
              <w:t xml:space="preserve">Consistency-effect calculus</w:t>
            </w:r>
          </w:p>
        </w:tc>
        <w:tc>
          <w:tcPr/>
          <w:p>
            <w:pPr>
              <w:pStyle w:val="Compact"/>
              <w:jc w:val="left"/>
            </w:pPr>
            <w:r>
              <w:rPr>
                <w:bCs/>
                <w:b/>
              </w:rPr>
              <w:t xml:space="preserve">Built</w:t>
            </w:r>
            <w:r>
              <w:t xml:space="preserve"> </w:t>
            </w:r>
            <w:r>
              <w:t xml:space="preserve">— effect rows, rung monotonicity, capability requirements, linearity for holds and posting halves</w:t>
            </w:r>
          </w:p>
        </w:tc>
      </w:tr>
      <w:tr>
        <w:tc>
          <w:tcPr/>
          <w:p>
            <w:pPr>
              <w:pStyle w:val="Compact"/>
              <w:jc w:val="left"/>
            </w:pPr>
            <w:r>
              <w:rPr>
                <w:bCs/>
                <w:b/>
              </w:rPr>
              <w:t xml:space="preserve">Lowering to the typed IR</w:t>
            </w:r>
          </w:p>
        </w:tc>
        <w:tc>
          <w:tcPr/>
          <w:p>
            <w:pPr>
              <w:pStyle w:val="Compact"/>
              <w:jc w:val="left"/>
            </w:pPr>
            <w:r>
              <w:rPr>
                <w:bCs/>
                <w:b/>
              </w:rPr>
              <w:t xml:space="preserve">Built</w:t>
            </w:r>
            <w:r>
              <w:t xml:space="preserve"> </w:t>
            </w:r>
            <w:r>
              <w:t xml:space="preserve">— the pipeline surface and the SQL surface lower to the same circuit, under test</w:t>
            </w:r>
          </w:p>
        </w:tc>
      </w:tr>
      <w:tr>
        <w:tc>
          <w:tcPr/>
          <w:p>
            <w:pPr>
              <w:pStyle w:val="Compact"/>
              <w:jc w:val="left"/>
            </w:pPr>
            <w:r>
              <w:rPr>
                <w:bCs/>
                <w:b/>
              </w:rPr>
              <w:t xml:space="preserve">Typed IR, verifier, upquery-path derivation</w:t>
            </w:r>
            <w:r>
              <w:t xml:space="preserve"> </w:t>
            </w:r>
            <w:r>
              <w:t xml:space="preserve">(</w:t>
            </w:r>
            <w:r>
              <w:rPr>
                <w:rStyle w:val="VerbatimChar"/>
              </w:rPr>
              <w:t xml:space="preserve">niles-ir</w:t>
            </w:r>
            <w:r>
              <w:t xml:space="preserve">)</w:t>
            </w:r>
          </w:p>
        </w:tc>
        <w:tc>
          <w:tcPr/>
          <w:p>
            <w:pPr>
              <w:pStyle w:val="Compact"/>
              <w:jc w:val="left"/>
            </w:pPr>
            <w:r>
              <w:rPr>
                <w:bCs/>
                <w:b/>
              </w:rPr>
              <w:t xml:space="preserve">Built</w:t>
            </w:r>
            <w:r>
              <w:t xml:space="preserve"> </w:t>
            </w:r>
            <w:r>
              <w:t xml:space="preserve">— the operator set, the accessed-field discipline, and a verifier in the trusted base</w:t>
            </w:r>
          </w:p>
        </w:tc>
      </w:tr>
      <w:tr>
        <w:tc>
          <w:tcPr/>
          <w:p>
            <w:pPr>
              <w:pStyle w:val="Compact"/>
              <w:jc w:val="left"/>
            </w:pPr>
            <w:r>
              <w:rPr>
                <w:rStyle w:val="VerbatimChar"/>
                <w:bCs/>
                <w:b/>
              </w:rPr>
              <w:t xml:space="preserve">nilesc</w:t>
            </w:r>
            <w:r>
              <w:rPr>
                <w:bCs/>
                <w:b/>
              </w:rPr>
              <w:t xml:space="preserve"> </w:t>
            </w:r>
            <w:r>
              <w:rPr>
                <w:bCs/>
                <w:b/>
              </w:rPr>
              <w:t xml:space="preserve">driver</w:t>
            </w:r>
          </w:p>
        </w:tc>
        <w:tc>
          <w:tcPr/>
          <w:p>
            <w:pPr>
              <w:pStyle w:val="Compact"/>
              <w:jc w:val="left"/>
            </w:pPr>
            <w:r>
              <w:rPr>
                <w:bCs/>
                <w:b/>
              </w:rPr>
              <w:t xml:space="preserve">Built</w:t>
            </w:r>
            <w:r>
              <w:t xml:space="preserve"> </w:t>
            </w:r>
            <w:r>
              <w:t xml:space="preserve">—</w:t>
            </w:r>
            <w:r>
              <w:t xml:space="preserve"> </w:t>
            </w:r>
            <w:r>
              <w:rPr>
                <w:rStyle w:val="VerbatimChar"/>
              </w:rPr>
              <w:t xml:space="preserve">check</w:t>
            </w:r>
            <w:r>
              <w:t xml:space="preserve">,</w:t>
            </w:r>
            <w:r>
              <w:t xml:space="preserve"> </w:t>
            </w:r>
            <w:r>
              <w:rPr>
                <w:rStyle w:val="VerbatimChar"/>
              </w:rPr>
              <w:t xml:space="preserve">parse</w:t>
            </w:r>
            <w:r>
              <w:t xml:space="preserve">,</w:t>
            </w:r>
            <w:r>
              <w:t xml:space="preserve"> </w:t>
            </w:r>
            <w:r>
              <w:rPr>
                <w:rStyle w:val="VerbatimChar"/>
              </w:rPr>
              <w:t xml:space="preserve">explain</w:t>
            </w:r>
            <w:r>
              <w:t xml:space="preserve">,</w:t>
            </w:r>
            <w:r>
              <w:t xml:space="preserve"> </w:t>
            </w:r>
            <w:r>
              <w:rPr>
                <w:rStyle w:val="VerbatimChar"/>
              </w:rPr>
              <w:t xml:space="preserve">verify</w:t>
            </w:r>
            <w:r>
              <w:t xml:space="preserve">,</w:t>
            </w:r>
            <w:r>
              <w:t xml:space="preserve"> </w:t>
            </w:r>
            <w:r>
              <w:rPr>
                <w:rStyle w:val="VerbatimChar"/>
              </w:rPr>
              <w:t xml:space="preserve">upquery</w:t>
            </w:r>
            <w:r>
              <w:t xml:space="preserve">,</w:t>
            </w:r>
            <w:r>
              <w:t xml:space="preserve"> </w:t>
            </w:r>
            <w:r>
              <w:rPr>
                <w:rStyle w:val="VerbatimChar"/>
              </w:rPr>
              <w:t xml:space="preserve">effects</w:t>
            </w:r>
          </w:p>
        </w:tc>
      </w:tr>
      <w:tr>
        <w:tc>
          <w:tcPr/>
          <w:p>
            <w:pPr>
              <w:pStyle w:val="Compact"/>
              <w:jc w:val="left"/>
            </w:pPr>
            <w:r>
              <w:rPr>
                <w:bCs/>
                <w:b/>
              </w:rPr>
              <w:t xml:space="preserve">REV runtime</w:t>
            </w:r>
            <w:r>
              <w:t xml:space="preserve"> </w:t>
            </w:r>
            <w:r>
              <w:t xml:space="preserve">(</w:t>
            </w:r>
            <w:r>
              <w:rPr>
                <w:rStyle w:val="VerbatimChar"/>
              </w:rPr>
              <w:t xml:space="preserve">nilestream-core</w:t>
            </w:r>
            <w:r>
              <w:t xml:space="preserve">)</w:t>
            </w:r>
          </w:p>
        </w:tc>
        <w:tc>
          <w:tcPr/>
          <w:p>
            <w:pPr>
              <w:pStyle w:val="Compact"/>
              <w:jc w:val="left"/>
            </w:pPr>
            <w:r>
              <w:rPr>
                <w:bCs/>
                <w:b/>
              </w:rPr>
              <w:t xml:space="preserve">Built</w:t>
            </w:r>
            <w:r>
              <w:t xml:space="preserve"> </w:t>
            </w:r>
            <w:r>
              <w:t xml:space="preserve">— the absence lattice, anchored upqueries, eviction, counted work; executes the key-aggregate fragment</w:t>
            </w:r>
          </w:p>
        </w:tc>
      </w:tr>
      <w:tr>
        <w:tc>
          <w:tcPr/>
          <w:p>
            <w:pPr>
              <w:pStyle w:val="Compact"/>
              <w:jc w:val="left"/>
            </w:pPr>
            <w:r>
              <w:rPr>
                <w:bCs/>
                <w:b/>
              </w:rPr>
              <w:t xml:space="preserve">Durable write path</w:t>
            </w:r>
            <w:r>
              <w:t xml:space="preserve"> </w:t>
            </w:r>
            <w:r>
              <w:t xml:space="preserve">(</w:t>
            </w:r>
            <w:r>
              <w:rPr>
                <w:rStyle w:val="VerbatimChar"/>
              </w:rPr>
              <w:t xml:space="preserve">nilestream-ledger</w:t>
            </w:r>
            <w:r>
              <w:t xml:space="preserve">)</w:t>
            </w:r>
          </w:p>
        </w:tc>
        <w:tc>
          <w:tcPr/>
          <w:p>
            <w:pPr>
              <w:pStyle w:val="Compact"/>
              <w:jc w:val="left"/>
            </w:pPr>
            <w:r>
              <w:rPr>
                <w:bCs/>
                <w:b/>
              </w:rPr>
              <w:t xml:space="preserve">Built</w:t>
            </w:r>
            <w:r>
              <w:t xml:space="preserve"> </w:t>
            </w:r>
            <w:r>
              <w:t xml:space="preserve">— CRC-checked, hash-chained, length-prefixed segments; crash recovery that truncates at the first bad record; tamper and splice detection</w:t>
            </w:r>
          </w:p>
        </w:tc>
      </w:tr>
      <w:tr>
        <w:tc>
          <w:tcPr/>
          <w:p>
            <w:pPr>
              <w:pStyle w:val="Compact"/>
              <w:jc w:val="left"/>
            </w:pPr>
            <w:r>
              <w:rPr>
                <w:bCs/>
                <w:b/>
              </w:rPr>
              <w:t xml:space="preserve">Concurrent sequencer</w:t>
            </w:r>
          </w:p>
        </w:tc>
        <w:tc>
          <w:tcPr/>
          <w:p>
            <w:pPr>
              <w:pStyle w:val="Compact"/>
              <w:jc w:val="left"/>
            </w:pPr>
            <w:r>
              <w:rPr>
                <w:bCs/>
                <w:b/>
              </w:rPr>
              <w:t xml:space="preserve">Built</w:t>
            </w:r>
            <w:r>
              <w:t xml:space="preserve"> </w:t>
            </w:r>
            <w:r>
              <w:t xml:space="preserve">— single sealer with group commit; publishes the frontier only after fsync; idempotency across and within a batch</w:t>
            </w:r>
          </w:p>
        </w:tc>
      </w:tr>
      <w:tr>
        <w:tc>
          <w:tcPr/>
          <w:p>
            <w:pPr>
              <w:pStyle w:val="Compact"/>
              <w:jc w:val="left"/>
            </w:pPr>
            <w:r>
              <w:rPr>
                <w:bCs/>
                <w:b/>
              </w:rPr>
              <w:t xml:space="preserve">End-to-end runner</w:t>
            </w:r>
            <w:r>
              <w:t xml:space="preserve"> </w:t>
            </w:r>
            <w:r>
              <w:t xml:space="preserve">(</w:t>
            </w:r>
            <w:r>
              <w:rPr>
                <w:rStyle w:val="VerbatimChar"/>
              </w:rPr>
              <w:t xml:space="preserve">nilestream</w:t>
            </w:r>
            <w:r>
              <w:t xml:space="preserve">)</w:t>
            </w:r>
          </w:p>
        </w:tc>
        <w:tc>
          <w:tcPr/>
          <w:p>
            <w:pPr>
              <w:pStyle w:val="Compact"/>
              <w:jc w:val="left"/>
            </w:pPr>
            <w:r>
              <w:rPr>
                <w:bCs/>
                <w:b/>
              </w:rPr>
              <w:t xml:space="preserve">Built</w:t>
            </w:r>
            <w:r>
              <w:t xml:space="preserve"> </w:t>
            </w:r>
            <w:r>
              <w:t xml:space="preserve">— compiles a</w:t>
            </w:r>
            <w:r>
              <w:t xml:space="preserve"> </w:t>
            </w:r>
            <w:r>
              <w:rPr>
                <w:rStyle w:val="VerbatimChar"/>
              </w:rPr>
              <w:t xml:space="preserve">.niles</w:t>
            </w:r>
            <w:r>
              <w:t xml:space="preserve"> </w:t>
            </w:r>
            <w:r>
              <w:t xml:space="preserve">file, verifies the circuit, installs it, runs a workload, reports counted work</w:t>
            </w:r>
          </w:p>
        </w:tc>
      </w:tr>
      <w:tr>
        <w:tc>
          <w:tcPr/>
          <w:p>
            <w:pPr>
              <w:pStyle w:val="Compact"/>
              <w:jc w:val="left"/>
            </w:pPr>
            <w:r>
              <w:t xml:space="preserve">Reference oracle (Appendix F)</w:t>
            </w:r>
          </w:p>
        </w:tc>
        <w:tc>
          <w:tcPr/>
          <w:p>
            <w:pPr>
              <w:pStyle w:val="Compact"/>
              <w:jc w:val="left"/>
            </w:pPr>
            <w:r>
              <w:rPr>
                <w:bCs/>
                <w:b/>
              </w:rPr>
              <w:t xml:space="preserve">Built and tested</w:t>
            </w:r>
            <w:r>
              <w:t xml:space="preserve"> </w:t>
            </w:r>
            <w:r>
              <w:t xml:space="preserve">— 17 tests: balance folding, bitemporal queries, per-currency conservation, idempotency, FX atomicity, chain verification, tamper detection</w:t>
            </w:r>
          </w:p>
        </w:tc>
      </w:tr>
      <w:tr>
        <w:tc>
          <w:tcPr/>
          <w:p>
            <w:pPr>
              <w:pStyle w:val="Compact"/>
              <w:jc w:val="left"/>
            </w:pPr>
            <w:r>
              <w:t xml:space="preserve">Research prototype and experiment harness</w:t>
            </w:r>
          </w:p>
        </w:tc>
        <w:tc>
          <w:tcPr/>
          <w:p>
            <w:pPr>
              <w:pStyle w:val="Compact"/>
              <w:jc w:val="left"/>
            </w:pPr>
            <w:r>
              <w:rPr>
                <w:bCs/>
                <w:b/>
              </w:rPr>
              <w:t xml:space="preserve">Built and run</w:t>
            </w:r>
            <w:r>
              <w:t xml:space="preserve"> </w:t>
            </w:r>
            <w:r>
              <w:t xml:space="preserve">— E1–E10 in</w:t>
            </w:r>
            <w:r>
              <w:t xml:space="preserve"> </w:t>
            </w:r>
            <w:r>
              <w:rPr>
                <w:rStyle w:val="VerbatimChar"/>
              </w:rPr>
              <w:t xml:space="preserve">results/</w:t>
            </w:r>
            <w:r>
              <w:t xml:space="preserve">; E11–E13 through the compiled path</w:t>
            </w:r>
          </w:p>
        </w:tc>
      </w:tr>
      <w:tr>
        <w:tc>
          <w:tcPr/>
          <w:p>
            <w:pPr>
              <w:pStyle w:val="Compact"/>
              <w:jc w:val="left"/>
            </w:pPr>
            <w:r>
              <w:t xml:space="preserve">Optimizer cost rules, IR contract types</w:t>
            </w:r>
          </w:p>
        </w:tc>
        <w:tc>
          <w:tcPr/>
          <w:p>
            <w:pPr>
              <w:pStyle w:val="Compact"/>
              <w:jc w:val="left"/>
            </w:pPr>
            <w:r>
              <w:rPr>
                <w:bCs/>
                <w:b/>
              </w:rPr>
              <w:t xml:space="preserve">Built and tested</w:t>
            </w:r>
          </w:p>
        </w:tc>
      </w:tr>
      <w:tr>
        <w:tc>
          <w:tcPr/>
          <w:p>
            <w:pPr>
              <w:pStyle w:val="Compact"/>
              <w:jc w:val="left"/>
            </w:pPr>
            <w:r>
              <w:t xml:space="preserve">Hash chaining</w:t>
            </w:r>
          </w:p>
        </w:tc>
        <w:tc>
          <w:tcPr/>
          <w:p>
            <w:pPr>
              <w:pStyle w:val="Compact"/>
              <w:jc w:val="left"/>
            </w:pPr>
            <w:r>
              <w:t xml:space="preserve">Built with a</w:t>
            </w:r>
            <w:r>
              <w:t xml:space="preserve"> </w:t>
            </w:r>
            <w:r>
              <w:rPr>
                <w:bCs/>
                <w:b/>
              </w:rPr>
              <w:t xml:space="preserve">placeholder hasher</w:t>
            </w:r>
            <w:r>
              <w:t xml:space="preserve"> </w:t>
            </w:r>
            <w:r>
              <w:t xml:space="preserve">(ADR 0002) — the API is drop-in for a cryptographic one</w:t>
            </w:r>
          </w:p>
        </w:tc>
      </w:tr>
      <w:tr>
        <w:tc>
          <w:tcPr/>
          <w:p>
            <w:pPr>
              <w:pStyle w:val="Compact"/>
              <w:jc w:val="left"/>
            </w:pPr>
            <w:r>
              <w:rPr>
                <w:bCs/>
                <w:b/>
              </w:rPr>
              <w:t xml:space="preserve">Materialization planner</w:t>
            </w:r>
            <w:r>
              <w:t xml:space="preserve"> </w:t>
            </w:r>
            <w:r>
              <w:t xml:space="preserve">(</w:t>
            </w:r>
            <w:r>
              <w:rPr>
                <w:rStyle w:val="VerbatimChar"/>
              </w:rPr>
              <w:t xml:space="preserve">nilestream-optimizer::offline</w:t>
            </w:r>
            <w:r>
              <w:t xml:space="preserve">)</w:t>
            </w:r>
          </w:p>
        </w:tc>
        <w:tc>
          <w:tcPr/>
          <w:p>
            <w:pPr>
              <w:pStyle w:val="Compact"/>
              <w:jc w:val="left"/>
            </w:pPr>
            <w:r>
              <w:rPr>
                <w:bCs/>
                <w:b/>
              </w:rPr>
              <w:t xml:space="preserve">Built</w:t>
            </w:r>
            <w:r>
              <w:t xml:space="preserve"> </w:t>
            </w:r>
            <w:r>
              <w:t xml:space="preserve">— filters by contract, then prices; every plan explains itself and names what it ruled out</w:t>
            </w:r>
          </w:p>
        </w:tc>
      </w:tr>
      <w:tr>
        <w:tc>
          <w:tcPr/>
          <w:p>
            <w:pPr>
              <w:pStyle w:val="Compact"/>
              <w:jc w:val="left"/>
            </w:pPr>
            <w:r>
              <w:rPr>
                <w:bCs/>
                <w:b/>
              </w:rPr>
              <w:t xml:space="preserve">PostgreSQL wire protocol</w:t>
            </w:r>
            <w:r>
              <w:t xml:space="preserve"> </w:t>
            </w:r>
            <w:r>
              <w:t xml:space="preserve">(</w:t>
            </w:r>
            <w:r>
              <w:rPr>
                <w:rStyle w:val="VerbatimChar"/>
              </w:rPr>
              <w:t xml:space="preserve">nilestream-server</w:t>
            </w:r>
            <w:r>
              <w:t xml:space="preserve">)</w:t>
            </w:r>
          </w:p>
        </w:tc>
        <w:tc>
          <w:tcPr/>
          <w:p>
            <w:pPr>
              <w:pStyle w:val="Compact"/>
              <w:jc w:val="left"/>
            </w:pPr>
            <w:r>
              <w:rPr>
                <w:bCs/>
                <w:b/>
              </w:rPr>
              <w:t xml:space="preserve">Built</w:t>
            </w:r>
            <w:r>
              <w:t xml:space="preserve"> </w:t>
            </w:r>
            <w:r>
              <w:t xml:space="preserve">— v3 startup and simple query, over a real socket;</w:t>
            </w:r>
            <w:r>
              <w:t xml:space="preserve"> </w:t>
            </w:r>
            <w:r>
              <w:rPr>
                <w:rStyle w:val="VerbatimChar"/>
              </w:rPr>
              <w:t xml:space="preserve">nilestreamd</w:t>
            </w:r>
            <w:r>
              <w:t xml:space="preserve"> </w:t>
            </w:r>
            <w:r>
              <w:t xml:space="preserve">answers</w:t>
            </w:r>
            <w:r>
              <w:t xml:space="preserve"> </w:t>
            </w:r>
            <w:r>
              <w:rPr>
                <w:rStyle w:val="VerbatimChar"/>
              </w:rPr>
              <w:t xml:space="preserve">psql</w:t>
            </w:r>
          </w:p>
        </w:tc>
      </w:tr>
      <w:tr>
        <w:tc>
          <w:tcPr/>
          <w:p>
            <w:pPr>
              <w:pStyle w:val="Compact"/>
              <w:jc w:val="left"/>
            </w:pPr>
            <w:r>
              <w:rPr>
                <w:bCs/>
                <w:b/>
              </w:rPr>
              <w:t xml:space="preserve">Replicated ledger groups</w:t>
            </w:r>
            <w:r>
              <w:t xml:space="preserve"> </w:t>
            </w:r>
            <w:r>
              <w:t xml:space="preserve">(</w:t>
            </w:r>
            <w:r>
              <w:rPr>
                <w:rStyle w:val="VerbatimChar"/>
              </w:rPr>
              <w:t xml:space="preserve">nilestream-consensus</w:t>
            </w:r>
            <w:r>
              <w:t xml:space="preserve">)</w:t>
            </w:r>
          </w:p>
        </w:tc>
        <w:tc>
          <w:tcPr/>
          <w:p>
            <w:pPr>
              <w:pStyle w:val="Compact"/>
              <w:jc w:val="left"/>
            </w:pPr>
            <w:r>
              <w:rPr>
                <w:bCs/>
                <w:b/>
              </w:rPr>
              <w:t xml:space="preserve">Built</w:t>
            </w:r>
            <w:r>
              <w:t xml:space="preserve"> </w:t>
            </w:r>
            <w:r>
              <w:t xml:space="preserve">— elections, hash-linked replication, quorum commit, deterministic simulator</w:t>
            </w:r>
          </w:p>
        </w:tc>
      </w:tr>
      <w:tr>
        <w:tc>
          <w:tcPr/>
          <w:p>
            <w:pPr>
              <w:pStyle w:val="Compact"/>
              <w:jc w:val="left"/>
            </w:pPr>
            <w:r>
              <w:rPr>
                <w:bCs/>
                <w:b/>
              </w:rPr>
              <w:t xml:space="preserve">Cost-based join ordering</w:t>
            </w:r>
            <w:r>
              <w:t xml:space="preserve"> </w:t>
            </w:r>
            <w:r>
              <w:t xml:space="preserve">(</w:t>
            </w:r>
            <w:r>
              <w:rPr>
                <w:rStyle w:val="VerbatimChar"/>
              </w:rPr>
              <w:t xml:space="preserve">nilestream-optimizer::join_order</w:t>
            </w:r>
            <w:r>
              <w:t xml:space="preserve">)</w:t>
            </w:r>
          </w:p>
        </w:tc>
        <w:tc>
          <w:tcPr/>
          <w:p>
            <w:pPr>
              <w:pStyle w:val="Compact"/>
              <w:jc w:val="left"/>
            </w:pPr>
            <w:r>
              <w:rPr>
                <w:bCs/>
                <w:b/>
              </w:rPr>
              <w:t xml:space="preserve">Built</w:t>
            </w:r>
            <w:r>
              <w:t xml:space="preserve"> </w:t>
            </w:r>
            <w:r>
              <w:t xml:space="preserve">—</w:t>
            </w:r>
            <w:r>
              <w:t xml:space="preserve"> </w:t>
            </w:r>
            <w:r>
              <w:rPr>
                <w:rStyle w:val="VerbatimChar"/>
              </w:rPr>
              <w:t xml:space="preserve">DPccp</w:t>
            </w:r>
            <w:r>
              <w:t xml:space="preserve"> </w:t>
            </w:r>
            <w:r>
              <w:t xml:space="preserve">up to twelve relations, greedy above; a three-term cost model adding resident state and reconstruction depth to the classical flow term, with reconstructibility as a</w:t>
            </w:r>
            <w:r>
              <w:t xml:space="preserve"> </w:t>
            </w:r>
            <w:r>
              <w:rPr>
                <w:iCs/>
                <w:i/>
              </w:rPr>
              <w:t xml:space="preserve">legality</w:t>
            </w:r>
            <w:r>
              <w:t xml:space="preserve"> </w:t>
            </w:r>
            <w:r>
              <w:t xml:space="preserve">constraint rather than a cost</w:t>
            </w:r>
          </w:p>
        </w:tc>
      </w:tr>
      <w:tr>
        <w:tc>
          <w:tcPr/>
          <w:p>
            <w:pPr>
              <w:pStyle w:val="Compact"/>
              <w:jc w:val="left"/>
            </w:pPr>
            <w:r>
              <w:rPr>
                <w:bCs/>
                <w:b/>
              </w:rPr>
              <w:t xml:space="preserve">Extended query protocol</w:t>
            </w:r>
            <w:r>
              <w:t xml:space="preserve"> </w:t>
            </w:r>
            <w:r>
              <w:t xml:space="preserve">(</w:t>
            </w:r>
            <w:r>
              <w:rPr>
                <w:rStyle w:val="VerbatimChar"/>
              </w:rPr>
              <w:t xml:space="preserve">nilestream-server::extended</w:t>
            </w:r>
            <w:r>
              <w:t xml:space="preserve">)</w:t>
            </w:r>
          </w:p>
        </w:tc>
        <w:tc>
          <w:tcPr/>
          <w:p>
            <w:pPr>
              <w:pStyle w:val="Compact"/>
              <w:jc w:val="left"/>
            </w:pPr>
            <w:r>
              <w:rPr>
                <w:bCs/>
                <w:b/>
              </w:rPr>
              <w:t xml:space="preserve">Built</w:t>
            </w:r>
            <w:r>
              <w:t xml:space="preserve"> </w:t>
            </w:r>
            <w:r>
              <w:t xml:space="preserve">— parse/bind/describe/execute, with the epoch-keyed plan cache that answers the design question §7.5 previously recorded as open; the binary format is still refused by name</w:t>
            </w:r>
          </w:p>
        </w:tc>
      </w:tr>
      <w:tr>
        <w:tc>
          <w:tcPr/>
          <w:p>
            <w:pPr>
              <w:pStyle w:val="Compact"/>
              <w:jc w:val="left"/>
            </w:pPr>
            <w:r>
              <w:rPr>
                <w:bCs/>
                <w:b/>
              </w:rPr>
              <w:t xml:space="preserve">MySQL wire</w:t>
            </w:r>
            <w:r>
              <w:t xml:space="preserve"> </w:t>
            </w:r>
            <w:r>
              <w:t xml:space="preserve">(</w:t>
            </w:r>
            <w:r>
              <w:rPr>
                <w:rStyle w:val="VerbatimChar"/>
              </w:rPr>
              <w:t xml:space="preserve">nilestream-server::mysql_wire</w:t>
            </w:r>
            <w:r>
              <w:t xml:space="preserve">)</w:t>
            </w:r>
          </w:p>
        </w:tc>
        <w:tc>
          <w:tcPr/>
          <w:p>
            <w:pPr>
              <w:pStyle w:val="Compact"/>
              <w:jc w:val="left"/>
            </w:pPr>
            <w:r>
              <w:rPr>
                <w:bCs/>
                <w:b/>
              </w:rPr>
              <w:t xml:space="preserve">Built</w:t>
            </w:r>
            <w:r>
              <w:t xml:space="preserve"> </w:t>
            </w:r>
            <w:r>
              <w:t xml:space="preserve">— packet framing with sequence numbers, length-encoded integers, handshake,</w:t>
            </w:r>
            <w:r>
              <w:t xml:space="preserve"> </w:t>
            </w:r>
            <w:r>
              <w:rPr>
                <w:rStyle w:val="VerbatimChar"/>
              </w:rPr>
              <w:t xml:space="preserve">OK</w:t>
            </w:r>
            <w:r>
              <w:t xml:space="preserve">/</w:t>
            </w:r>
            <w:r>
              <w:rPr>
                <w:rStyle w:val="VerbatimChar"/>
              </w:rPr>
              <w:t xml:space="preserve">ERR</w:t>
            </w:r>
            <w:r>
              <w:t xml:space="preserve">, column definitions and text rows; money is</w:t>
            </w:r>
            <w:r>
              <w:t xml:space="preserve"> </w:t>
            </w:r>
            <w:r>
              <w:rPr>
                <w:rStyle w:val="VerbatimChar"/>
              </w:rPr>
              <w:t xml:space="preserve">NEWDECIMAL</w:t>
            </w:r>
            <w:r>
              <w:t xml:space="preserve">, never</w:t>
            </w:r>
            <w:r>
              <w:t xml:space="preserve"> </w:t>
            </w:r>
            <w:r>
              <w:rPr>
                <w:rStyle w:val="VerbatimChar"/>
              </w:rPr>
              <w:t xml:space="preserve">DOUBLE</w:t>
            </w:r>
          </w:p>
        </w:tc>
      </w:tr>
      <w:tr>
        <w:tc>
          <w:tcPr/>
          <w:p>
            <w:pPr>
              <w:pStyle w:val="Compact"/>
              <w:jc w:val="left"/>
            </w:pPr>
            <w:r>
              <w:rPr>
                <w:bCs/>
                <w:b/>
              </w:rPr>
              <w:t xml:space="preserve">TLS negotiation and policy</w:t>
            </w:r>
            <w:r>
              <w:t xml:space="preserve"> </w:t>
            </w:r>
            <w:r>
              <w:t xml:space="preserve">(</w:t>
            </w:r>
            <w:r>
              <w:rPr>
                <w:rStyle w:val="VerbatimChar"/>
              </w:rPr>
              <w:t xml:space="preserve">nilestream-server::tls</w:t>
            </w:r>
            <w:r>
              <w:t xml:space="preserve">)</w:t>
            </w:r>
          </w:p>
        </w:tc>
        <w:tc>
          <w:tcPr/>
          <w:p>
            <w:pPr>
              <w:pStyle w:val="Compact"/>
              <w:jc w:val="left"/>
            </w:pPr>
            <w:r>
              <w:rPr>
                <w:bCs/>
                <w:b/>
              </w:rPr>
              <w:t xml:space="preserve">Built</w:t>
            </w:r>
            <w:r>
              <w:t xml:space="preserve"> </w:t>
            </w:r>
            <w:r>
              <w:t xml:space="preserve">— both negotiation state machines, the four-way policy,</w:t>
            </w:r>
            <w:r>
              <w:t xml:space="preserve"> </w:t>
            </w:r>
            <w:r>
              <w:rPr>
                <w:rStyle w:val="VerbatimChar"/>
              </w:rPr>
              <w:t xml:space="preserve">libpq</w:t>
            </w:r>
            <w:r>
              <w:t xml:space="preserve">’s six</w:t>
            </w:r>
            <w:r>
              <w:t xml:space="preserve"> </w:t>
            </w:r>
            <w:r>
              <w:rPr>
                <w:rStyle w:val="VerbatimChar"/>
              </w:rPr>
              <w:t xml:space="preserve">sslmode</w:t>
            </w:r>
            <w:r>
              <w:t xml:space="preserve"> </w:t>
            </w:r>
            <w:r>
              <w:t xml:space="preserve">values, and the MySQL downgrade defence. The cryptography is</w:t>
            </w:r>
            <w:r>
              <w:t xml:space="preserve"> </w:t>
            </w:r>
            <w:r>
              <w:rPr>
                <w:bCs/>
                <w:b/>
              </w:rPr>
              <w:t xml:space="preserve">delegated</w:t>
            </w:r>
            <w:r>
              <w:t xml:space="preserve"> </w:t>
            </w:r>
            <w:r>
              <w:t xml:space="preserve">behind a provider trait and is not implemented here; a</w:t>
            </w:r>
            <w:r>
              <w:t xml:space="preserve"> </w:t>
            </w:r>
            <w:r>
              <w:rPr>
                <w:rStyle w:val="VerbatimChar"/>
              </w:rPr>
              <w:t xml:space="preserve">Require</w:t>
            </w:r>
            <w:r>
              <w:t xml:space="preserve"> </w:t>
            </w:r>
            <w:r>
              <w:t xml:space="preserve">policy with no provider</w:t>
            </w:r>
            <w:r>
              <w:t xml:space="preserve"> </w:t>
            </w:r>
            <w:r>
              <w:rPr>
                <w:bCs/>
                <w:b/>
              </w:rPr>
              <w:t xml:space="preserve">fails at startup rather than serving cleartext</w:t>
            </w:r>
          </w:p>
        </w:tc>
      </w:tr>
      <w:tr>
        <w:tc>
          <w:tcPr/>
          <w:p>
            <w:pPr>
              <w:pStyle w:val="Compact"/>
              <w:jc w:val="left"/>
            </w:pPr>
            <w:r>
              <w:rPr>
                <w:bCs/>
                <w:b/>
              </w:rPr>
              <w:t xml:space="preserve">Distributed read path</w:t>
            </w:r>
            <w:r>
              <w:t xml:space="preserve"> </w:t>
            </w:r>
            <w:r>
              <w:t xml:space="preserve">(</w:t>
            </w:r>
            <w:r>
              <w:rPr>
                <w:rStyle w:val="VerbatimChar"/>
              </w:rPr>
              <w:t xml:space="preserve">nilestream-core::distributed</w:t>
            </w:r>
            <w:r>
              <w:t xml:space="preserve">)</w:t>
            </w:r>
          </w:p>
        </w:tc>
        <w:tc>
          <w:tcPr/>
          <w:p>
            <w:pPr>
              <w:pStyle w:val="Compact"/>
              <w:jc w:val="left"/>
            </w:pPr>
            <w:r>
              <w:rPr>
                <w:bCs/>
                <w:b/>
              </w:rPr>
              <w:t xml:space="preserve">Built</w:t>
            </w:r>
            <w:r>
              <w:t xml:space="preserve"> </w:t>
            </w:r>
            <w:r>
              <w:t xml:space="preserve">— a versioned shard map, the strict frontier as the</w:t>
            </w:r>
            <w:r>
              <w:t xml:space="preserve"> </w:t>
            </w:r>
            <w:r>
              <w:rPr>
                <w:iCs/>
                <w:i/>
              </w:rPr>
              <w:t xml:space="preserve">minimum</w:t>
            </w:r>
            <w:r>
              <w:t xml:space="preserve"> </w:t>
            </w:r>
            <w:r>
              <w:t xml:space="preserve">across shards, one round trip per shard, and a</w:t>
            </w:r>
            <w:r>
              <w:t xml:space="preserve"> </w:t>
            </w:r>
            <w:r>
              <w:rPr>
                <w:rStyle w:val="VerbatimChar"/>
              </w:rPr>
              <w:t xml:space="preserve">(key, epoch)</w:t>
            </w:r>
            <w:r>
              <w:t xml:space="preserve"> </w:t>
            </w:r>
            <w:r>
              <w:t xml:space="preserve">cache that needs no invalidation because a frozen prefix cannot change</w:t>
            </w:r>
          </w:p>
        </w:tc>
      </w:tr>
      <w:tr>
        <w:tc>
          <w:tcPr/>
          <w:p>
            <w:pPr>
              <w:pStyle w:val="Compact"/>
              <w:jc w:val="left"/>
            </w:pPr>
            <w:r>
              <w:rPr>
                <w:bCs/>
                <w:b/>
              </w:rPr>
              <w:t xml:space="preserve">Cross-shard commit</w:t>
            </w:r>
            <w:r>
              <w:t xml:space="preserve"> </w:t>
            </w:r>
            <w:r>
              <w:t xml:space="preserve">(</w:t>
            </w:r>
            <w:r>
              <w:rPr>
                <w:rStyle w:val="VerbatimChar"/>
              </w:rPr>
              <w:t xml:space="preserve">nilestream-consensus::cross_shard</w:t>
            </w:r>
            <w:r>
              <w:t xml:space="preserve">)</w:t>
            </w:r>
          </w:p>
        </w:tc>
        <w:tc>
          <w:tcPr/>
          <w:p>
            <w:pPr>
              <w:pStyle w:val="Compact"/>
              <w:jc w:val="left"/>
            </w:pPr>
            <w:r>
              <w:rPr>
                <w:bCs/>
                <w:b/>
              </w:rPr>
              <w:t xml:space="preserve">Built</w:t>
            </w:r>
            <w:r>
              <w:t xml:space="preserve"> </w:t>
            </w:r>
            <w:r>
              <w:t xml:space="preserve">— two-phase commit whose coordinator</w:t>
            </w:r>
            <w:r>
              <w:t xml:space="preserve"> </w:t>
            </w:r>
            <w:r>
              <w:rPr>
                <w:iCs/>
                <w:i/>
              </w:rPr>
              <w:t xml:space="preserve">is</w:t>
            </w:r>
            <w:r>
              <w:t xml:space="preserve"> </w:t>
            </w:r>
            <w:r>
              <w:t xml:space="preserve">a ledger group; per-currency conservation checked across fragments; the decision refused before it is durable; a commit epoch strictly above every prepared epoch, so visibility at an anchor is identical on every shard</w:t>
            </w:r>
          </w:p>
        </w:tc>
      </w:tr>
      <w:tr>
        <w:tc>
          <w:tcPr/>
          <w:p>
            <w:pPr>
              <w:pStyle w:val="Compact"/>
              <w:jc w:val="left"/>
            </w:pPr>
            <w:r>
              <w:rPr>
                <w:bCs/>
                <w:b/>
              </w:rPr>
              <w:t xml:space="preserve">Stage-0 execution and bootstrap gates</w:t>
            </w:r>
            <w:r>
              <w:t xml:space="preserve"> </w:t>
            </w:r>
            <w:r>
              <w:t xml:space="preserve">(</w:t>
            </w:r>
            <w:r>
              <w:rPr>
                <w:rStyle w:val="VerbatimChar"/>
              </w:rPr>
              <w:t xml:space="preserve">niles-interp</w:t>
            </w:r>
            <w:r>
              <w:t xml:space="preserve">,</w:t>
            </w:r>
            <w:r>
              <w:t xml:space="preserve"> </w:t>
            </w:r>
            <w:r>
              <w:rPr>
                <w:rStyle w:val="VerbatimChar"/>
              </w:rPr>
              <w:t xml:space="preserve">bootstrap/lexer.niles</w:t>
            </w:r>
            <w:r>
              <w:t xml:space="preserve">)</w:t>
            </w:r>
          </w:p>
        </w:tc>
        <w:tc>
          <w:tcPr/>
          <w:p>
            <w:pPr>
              <w:pStyle w:val="Compact"/>
              <w:jc w:val="left"/>
            </w:pPr>
            <w:r>
              <w:rPr>
                <w:bCs/>
                <w:b/>
              </w:rPr>
              <w:t xml:space="preserve">Built</w:t>
            </w:r>
            <w:r>
              <w:t xml:space="preserve"> </w:t>
            </w:r>
            <w:r>
              <w:t xml:space="preserve">— a tree-walking interpreter for the imperative subset that refuses the relational tier by name, a lexer written in Niles, and four gates: stage-1 run, stage-1 equivalence against the reference lexer, stage-2 self-application, stage-3 fixpoint</w:t>
            </w:r>
          </w:p>
        </w:tc>
      </w:tr>
      <w:tr>
        <w:tc>
          <w:tcPr/>
          <w:p>
            <w:pPr>
              <w:pStyle w:val="Compact"/>
              <w:jc w:val="left"/>
            </w:pPr>
            <w:r>
              <w:t xml:space="preserve">Binary result format, SCRAM authentication</w:t>
            </w:r>
          </w:p>
        </w:tc>
        <w:tc>
          <w:tcPr/>
          <w:p>
            <w:pPr>
              <w:pStyle w:val="Compact"/>
              <w:jc w:val="left"/>
            </w:pPr>
            <w:r>
              <w:rPr>
                <w:bCs/>
                <w:b/>
              </w:rPr>
              <w:t xml:space="preserve">Not built</w:t>
            </w:r>
            <w:r>
              <w:t xml:space="preserve">; each refusal names its reason</w:t>
            </w:r>
          </w:p>
        </w:tc>
      </w:tr>
      <w:tr>
        <w:tc>
          <w:tcPr/>
          <w:p>
            <w:pPr>
              <w:pStyle w:val="Compact"/>
              <w:jc w:val="left"/>
            </w:pPr>
            <w:r>
              <w:t xml:space="preserve">Membership change, log compaction</w:t>
            </w:r>
          </w:p>
        </w:tc>
        <w:tc>
          <w:tcPr/>
          <w:p>
            <w:pPr>
              <w:pStyle w:val="Compact"/>
              <w:jc w:val="left"/>
            </w:pPr>
            <w:r>
              <w:t xml:space="preserve">Specified in §8.6;</w:t>
            </w:r>
            <w:r>
              <w:t xml:space="preserve"> </w:t>
            </w:r>
            <w:r>
              <w:rPr>
                <w:bCs/>
                <w:b/>
              </w:rPr>
              <w:t xml:space="preserve">not built</w:t>
            </w:r>
          </w:p>
        </w:tc>
      </w:tr>
      <w:tr>
        <w:tc>
          <w:tcPr/>
          <w:p>
            <w:pPr>
              <w:pStyle w:val="Compact"/>
              <w:jc w:val="left"/>
            </w:pPr>
            <w:r>
              <w:t xml:space="preserve">Self-hosted</w:t>
            </w:r>
            <w:r>
              <w:t xml:space="preserve"> </w:t>
            </w:r>
            <w:r>
              <w:rPr>
                <w:bCs/>
                <w:b/>
              </w:rPr>
              <w:t xml:space="preserve">compiler</w:t>
            </w:r>
            <w:r>
              <w:t xml:space="preserve"> </w:t>
            </w:r>
            <w:r>
              <w:t xml:space="preserve">(Appendix E, stages beyond the lexer)</w:t>
            </w:r>
          </w:p>
        </w:tc>
        <w:tc>
          <w:tcPr/>
          <w:p>
            <w:pPr>
              <w:pStyle w:val="Compact"/>
              <w:jc w:val="left"/>
            </w:pPr>
            <w:r>
              <w:t xml:space="preserve">A parser, type-checker and lowering pass in Niles remain</w:t>
            </w:r>
            <w:r>
              <w:t xml:space="preserve"> </w:t>
            </w:r>
            <w:r>
              <w:rPr>
                <w:bCs/>
                <w:b/>
              </w:rPr>
              <w:t xml:space="preserve">unwritten</w:t>
            </w:r>
            <w:r>
              <w:t xml:space="preserve">; Appendix E.0 and E.19.1 say precisely how far the bootstrap reaches</w:t>
            </w:r>
          </w:p>
        </w:tc>
      </w:tr>
    </w:tbl>
    <w:bookmarkEnd w:id="136"/>
    <w:bookmarkStart w:id="137" w:name="Xc37ee1cd857b1cf569e5cb197701b237ea4e8ed"/>
    <w:p>
      <w:pPr>
        <w:pStyle w:val="Heading2"/>
      </w:pPr>
      <w:r>
        <w:t xml:space="preserve">7.5 What Is Deliberately Not Built, and What That Costs the Claims</w:t>
      </w:r>
    </w:p>
    <w:p>
      <w:pPr>
        <w:pStyle w:val="FirstParagraph"/>
      </w:pPr>
      <w:r>
        <w:t xml:space="preserve">Four gaps, each with the claim it withholds.</w:t>
      </w:r>
    </w:p>
    <w:p>
      <w:pPr>
        <w:pStyle w:val="BodyText"/>
      </w:pPr>
      <w:r>
        <w:rPr>
          <w:bCs/>
          <w:b/>
        </w:rPr>
        <w:t xml:space="preserve">The distributed path is built as a protocol and unbuilt as a deployment, and the distinction is the whole of what §7.5 can honestly claim.</w:t>
      </w:r>
      <w:r>
        <w:t xml:space="preserve"> </w:t>
      </w:r>
      <w:r>
        <w:rPr>
          <w:rStyle w:val="VerbatimChar"/>
        </w:rPr>
        <w:t xml:space="preserve">nilestream-consensus</w:t>
      </w:r>
      <w:r>
        <w:t xml:space="preserve"> </w:t>
      </w:r>
      <w:r>
        <w:t xml:space="preserve">implements a replicated ledger group;</w:t>
      </w:r>
      <w:r>
        <w:t xml:space="preserve"> </w:t>
      </w:r>
      <w:r>
        <w:rPr>
          <w:rStyle w:val="VerbatimChar"/>
        </w:rPr>
        <w:t xml:space="preserve">cross_shard</w:t>
      </w:r>
      <w:r>
        <w:t xml:space="preserve"> </w:t>
      </w:r>
      <w:r>
        <w:t xml:space="preserve">implements two-phase commit over several such groups;</w:t>
      </w:r>
      <w:r>
        <w:t xml:space="preserve"> </w:t>
      </w:r>
      <w:r>
        <w:rPr>
          <w:rStyle w:val="VerbatimChar"/>
        </w:rPr>
        <w:t xml:space="preserve">nilestream-core::distributed</w:t>
      </w:r>
      <w:r>
        <w:t xml:space="preserve"> </w:t>
      </w:r>
      <w:r>
        <w:t xml:space="preserve">implements the sharded read path. Each is tested in a deterministic simulator — 25 seeds at 20% loss and 30% reordering for consensus, and property tests over the shard map and the commit protocol — and</w:t>
      </w:r>
      <w:r>
        <w:t xml:space="preserve"> </w:t>
      </w:r>
      <w:r>
        <w:rPr>
          <w:bCs/>
          <w:b/>
        </w:rPr>
        <w:t xml:space="preserve">not one of them has run over a network.</w:t>
      </w:r>
      <w:r>
        <w:t xml:space="preserve"> </w:t>
      </w:r>
      <w:r>
        <w:t xml:space="preserve">A protocol that has only ever been exercised in-process has not met partial failure, clock skew, or an operator, and the standard result is that the first contact with a real network finds something. Every performance figure in Chapter 9 remains single-node, and Theorem 4.2’s frontier is located in counted work rather than in nodes.</w:t>
      </w:r>
    </w:p>
    <w:p>
      <w:pPr>
        <w:pStyle w:val="BodyText"/>
      </w:pPr>
      <w:r>
        <w:t xml:space="preserve">Two design results from that work are worth stating independently of their deployment status, because they are arguments rather than code. First,</w:t>
      </w:r>
      <w:r>
        <w:t xml:space="preserve"> </w:t>
      </w:r>
      <w:r>
        <w:rPr>
          <w:bCs/>
          <w:b/>
        </w:rPr>
        <w:t xml:space="preserve">the classical objection to two-phase commit dissolves when the coordinator is itself a ledger group</w:t>
      </w:r>
      <w:r>
        <w:t xml:space="preserve">: 2PC blocks when a single coordinator fails between prepare and decide, and a replicated coordinator that persists its decision through quorum before sending it has no such window — the successor reads the decision rather than re-deciding it. Second,</w:t>
      </w:r>
      <w:r>
        <w:t xml:space="preserve"> </w:t>
      </w:r>
      <w:r>
        <w:rPr>
          <w:bCs/>
          <w:b/>
        </w:rPr>
        <w:t xml:space="preserve">a cross-shard upquery needs no coordination at all</w:t>
      </w:r>
      <w:r>
        <w:t xml:space="preserve">, because it reads a frozen prefix: the prefix cannot change, so the read cannot be made stale by a concurrent write, and its result can be cached without an invalidation protocol. That is the anchoring argument of Theorem 4.1 paying a distributed dividend, and it is the clearest case in this thesis of an immutability commitment buying something a mutable design would have had to coordinate for.</w:t>
      </w:r>
    </w:p>
    <w:p>
      <w:pPr>
        <w:pStyle w:val="BodyText"/>
      </w:pPr>
      <w:r>
        <w:rPr>
          <w:bCs/>
          <w:b/>
        </w:rPr>
        <w:t xml:space="preserve">Both wire protocols are built, and they are surfaces rather than semantics.</w:t>
      </w:r>
      <w:r>
        <w:t xml:space="preserve"> </w:t>
      </w:r>
      <w:r>
        <w:rPr>
          <w:rStyle w:val="VerbatimChar"/>
        </w:rPr>
        <w:t xml:space="preserve">nilestreamd</w:t>
      </w:r>
      <w:r>
        <w:t xml:space="preserve"> </w:t>
      </w:r>
      <w:r>
        <w:t xml:space="preserve">speaks PostgreSQL wire protocol v3 — the simple query path over a real socket, and now the extended path — and the MySQL packet layer is implemented alongside it. There is deliberately</w:t>
      </w:r>
      <w:r>
        <w:t xml:space="preserve"> </w:t>
      </w:r>
      <w:r>
        <w:rPr>
          <w:bCs/>
          <w:b/>
        </w:rPr>
        <w:t xml:space="preserve">no compatibility layer with its own execution path</w:t>
      </w:r>
      <w:r>
        <w:t xml:space="preserve">: every query on every surface is parsed as Niles, lowered to the same IR, verified by the same verifier and served from the same REV runtime, because two ways to compute an answer is two answers that can disagree.</w:t>
      </w:r>
    </w:p>
    <w:p>
      <w:pPr>
        <w:pStyle w:val="BodyText"/>
      </w:pPr>
      <w:r>
        <w:t xml:space="preserve">The extended protocol’s open design question is now</w:t>
      </w:r>
      <w:r>
        <w:t xml:space="preserve"> </w:t>
      </w:r>
      <w:r>
        <w:rPr>
          <w:bCs/>
          <w:b/>
        </w:rPr>
        <w:t xml:space="preserve">answered</w:t>
      </w:r>
      <w:r>
        <w:t xml:space="preserve">. A prepared statement must be cached against the epoch it was planned at, since a plan valid at one visibility frontier need not be valid at another; the resolution is an epoch-keyed plan cache in which a plan is valid iff no schema epoch occurred after the one it compiled at — one integer comparison — and a stale entry returns a request to recompile rather than an error, so a schema change costs a round trip and never a failed statement.</w:t>
      </w:r>
    </w:p>
    <w:p>
      <w:pPr>
        <w:pStyle w:val="BodyText"/>
      </w:pPr>
      <w:r>
        <w:t xml:space="preserve">What remains unbuilt on this path is narrower and is named: the binary result format, and SCRAM authentication.</w:t>
      </w:r>
      <w:r>
        <w:t xml:space="preserve"> </w:t>
      </w:r>
      <w:r>
        <w:rPr>
          <w:bCs/>
          <w:b/>
        </w:rPr>
        <w:t xml:space="preserve">TLS is a special case and is described as one.</w:t>
      </w:r>
      <w:r>
        <w:t xml:space="preserve"> </w:t>
      </w:r>
      <w:r>
        <w:t xml:space="preserve">The negotiation, the policy layer,</w:t>
      </w:r>
      <w:r>
        <w:t xml:space="preserve"> </w:t>
      </w:r>
      <w:r>
        <w:rPr>
          <w:rStyle w:val="VerbatimChar"/>
        </w:rPr>
        <w:t xml:space="preserve">libpq</w:t>
      </w:r>
      <w:r>
        <w:t xml:space="preserve">’s six</w:t>
      </w:r>
      <w:r>
        <w:t xml:space="preserve"> </w:t>
      </w:r>
      <w:r>
        <w:rPr>
          <w:rStyle w:val="VerbatimChar"/>
        </w:rPr>
        <w:t xml:space="preserve">sslmode</w:t>
      </w:r>
      <w:r>
        <w:t xml:space="preserve"> </w:t>
      </w:r>
      <w:r>
        <w:t xml:space="preserve">values with a predicate recording which of them actually authenticate the server (only</w:t>
      </w:r>
      <w:r>
        <w:t xml:space="preserve"> </w:t>
      </w:r>
      <w:r>
        <w:rPr>
          <w:rStyle w:val="VerbatimChar"/>
        </w:rPr>
        <w:t xml:space="preserve">verify-ca</w:t>
      </w:r>
      <w:r>
        <w:t xml:space="preserve"> </w:t>
      </w:r>
      <w:r>
        <w:t xml:space="preserve">and</w:t>
      </w:r>
      <w:r>
        <w:t xml:space="preserve"> </w:t>
      </w:r>
      <w:r>
        <w:rPr>
          <w:rStyle w:val="VerbatimChar"/>
        </w:rPr>
        <w:t xml:space="preserve">verify-full</w:t>
      </w:r>
      <w:r>
        <w:t xml:space="preserve"> </w:t>
      </w:r>
      <w:r>
        <w:t xml:space="preserve">do), and MySQL’s server-side downgrade check are implemented and tested; the</w:t>
      </w:r>
      <w:r>
        <w:t xml:space="preserve"> </w:t>
      </w:r>
      <w:r>
        <w:rPr>
          <w:iCs/>
          <w:i/>
        </w:rPr>
        <w:t xml:space="preserve">cryptography</w:t>
      </w:r>
      <w:r>
        <w:t xml:space="preserve"> </w:t>
      </w:r>
      <w:r>
        <w:t xml:space="preserve">sits behind a provider trait and is delegated to a vetted implementation. That is not a shortcut and the thesis does not present it as one: a record layer written from scratch fails silently against an adaptive attacker, and a thesis about static checkability of financial invariants has nothing to gain from shipping its own. The design commitment that matters is that a</w:t>
      </w:r>
      <w:r>
        <w:t xml:space="preserve"> </w:t>
      </w:r>
      <w:r>
        <w:rPr>
          <w:rStyle w:val="VerbatimChar"/>
        </w:rPr>
        <w:t xml:space="preserve">Require</w:t>
      </w:r>
      <w:r>
        <w:t xml:space="preserve"> </w:t>
      </w:r>
      <w:r>
        <w:t xml:space="preserve">policy with no provider</w:t>
      </w:r>
      <w:r>
        <w:t xml:space="preserve"> </w:t>
      </w:r>
      <w:r>
        <w:rPr>
          <w:bCs/>
          <w:b/>
        </w:rPr>
        <w:t xml:space="preserve">fails at startup rather than serving cleartext</w:t>
      </w:r>
      <w:r>
        <w:t xml:space="preserve"> </w:t>
      </w:r>
      <w:r>
        <w:t xml:space="preserve">— the same principle as</w:t>
      </w:r>
      <w:r>
        <w:t xml:space="preserve"> </w:t>
      </w:r>
      <w:r>
        <w:rPr>
          <w:rStyle w:val="VerbatimChar"/>
        </w:rPr>
        <w:t xml:space="preserve">Hole</w:t>
      </w:r>
      <w:r>
        <w:t xml:space="preserve"> </w:t>
      </w:r>
      <w:r>
        <w:t xml:space="preserve">versus zero in the absence lattice, applied to a socket. The transcript is in</w:t>
      </w:r>
      <w:r>
        <w:t xml:space="preserve"> </w:t>
      </w:r>
      <w:r>
        <w:rPr>
          <w:rStyle w:val="VerbatimChar"/>
        </w:rPr>
        <w:t xml:space="preserve">results/wire-protocol-session.md</w:t>
      </w:r>
      <w:r>
        <w:t xml:space="preserve">.</w:t>
      </w:r>
    </w:p>
    <w:p>
      <w:pPr>
        <w:pStyle w:val="BodyText"/>
      </w:pPr>
      <w:r>
        <w:rPr>
          <w:bCs/>
          <w:b/>
        </w:rPr>
        <w:t xml:space="preserve">The executable IR fragment is narrower than the emitted IR.</w:t>
      </w:r>
      <w:r>
        <w:t xml:space="preserve"> </w:t>
      </w:r>
      <w:r>
        <w:t xml:space="preserve">The compiler lowers and the verifier accepts joins, fixpoints, set operations and ordering stages; the runtime executes source → optional filter/map → one keyed aggregate. The runtime</w:t>
      </w:r>
      <w:r>
        <w:t xml:space="preserve"> </w:t>
      </w:r>
      <w:r>
        <w:rPr>
          <w:bCs/>
          <w:b/>
        </w:rPr>
        <w:t xml:space="preserve">rejects</w:t>
      </w:r>
      <w:r>
        <w:t xml:space="preserve"> </w:t>
      </w:r>
      <w:r>
        <w:t xml:space="preserve">anything else rather than mis-executing it, which is the right failure, but it means the measurements are about the balance-shaped view and not about arbitrary queries. Chapter 9 says so at every table.</w:t>
      </w:r>
    </w:p>
    <w:p>
      <w:pPr>
        <w:pStyle w:val="BodyText"/>
      </w:pPr>
      <w:r>
        <w:rPr>
          <w:bCs/>
          <w:b/>
        </w:rPr>
        <w:t xml:space="preserve">Partial self-hosting: one front-end stage, not a compiler.</w:t>
      </w:r>
      <w:r>
        <w:t xml:space="preserve"> </w:t>
      </w:r>
      <w:r>
        <w:t xml:space="preserve">Appendix E’s bootstrap now has stage-0</w:t>
      </w:r>
      <w:r>
        <w:t xml:space="preserve"> </w:t>
      </w:r>
      <w:r>
        <w:rPr>
          <w:iCs/>
          <w:i/>
        </w:rPr>
        <w:t xml:space="preserve">execution</w:t>
      </w:r>
      <w:r>
        <w:t xml:space="preserve"> </w:t>
      </w:r>
      <w:r>
        <w:t xml:space="preserve">— a tree-walking interpreter for the imperative subset — and stage 1 has an input: a lexer written in Niles, which agrees with the Rust lexer token for token over a 29-case corpus, lexes its own source identically, and is byte-identical run to run. That gate rejected four real defects on its first run, including a case-sensitivity error that arises precisely because Niles’s two ancestries disagree (SQL’s keywords are case-insensitive, Rust’s are not).</w:t>
      </w:r>
    </w:p>
    <w:p>
      <w:pPr>
        <w:pStyle w:val="BodyText"/>
      </w:pPr>
      <w:r>
        <w:t xml:space="preserve">What is still absent is the rest of the compiler: no parser, type-checker or lowering pass exists in Niles, so E.1’s stage 2 —</w:t>
      </w:r>
      <w:r>
        <w:t xml:space="preserve"> </w:t>
      </w:r>
      <w:r>
        <w:t xml:space="preserve">“</w:t>
      </w:r>
      <w:r>
        <w:t xml:space="preserve">stage 1 recompiling the same sources</w:t>
      </w:r>
      <w:r>
        <w:t xml:space="preserve">”</w:t>
      </w:r>
      <w:r>
        <w:t xml:space="preserve"> </w:t>
      </w:r>
      <w:r>
        <w:t xml:space="preserve">— has no meaning yet, and the expressiveness claim that full self-hosting would test remains untested. The bootstrap has moved from</w:t>
      </w:r>
      <w:r>
        <w:t xml:space="preserve"> </w:t>
      </w:r>
      <w:r>
        <w:rPr>
          <w:iCs/>
          <w:i/>
        </w:rPr>
        <w:t xml:space="preserve">no input</w:t>
      </w:r>
      <w:r>
        <w:t xml:space="preserve"> </w:t>
      </w:r>
      <w:r>
        <w:t xml:space="preserve">to</w:t>
      </w:r>
      <w:r>
        <w:t xml:space="preserve"> </w:t>
      </w:r>
      <w:r>
        <w:rPr>
          <w:iCs/>
          <w:i/>
        </w:rPr>
        <w:t xml:space="preserve">one verified front-end stage</w:t>
      </w:r>
      <w:r>
        <w:t xml:space="preserve">, which is a first rung; E.19.1 states the distance to the next one.</w:t>
      </w:r>
    </w:p>
    <w:p>
      <w:pPr>
        <w:pStyle w:val="BodyText"/>
      </w:pPr>
      <w:r>
        <w:t xml:space="preserve">The phased program of Chapter 8 states, for each subsequent phase, the kill criteria that would end it.</w:t>
      </w:r>
    </w:p>
    <w:bookmarkEnd w:id="137"/>
    <w:bookmarkEnd w:id="138"/>
    <w:bookmarkStart w:id="147" w:name="the-phased-research-program"/>
    <w:p>
      <w:pPr>
        <w:pStyle w:val="Heading1"/>
      </w:pPr>
      <w:r>
        <w:t xml:space="preserve">8. The Phased Research Program</w:t>
      </w:r>
    </w:p>
    <w:p>
      <w:pPr>
        <w:pStyle w:val="FirstParagraph"/>
      </w:pPr>
      <w:r>
        <w:t xml:space="preserve">The program is staged so that every phase has entry conditions, deliverables, and</w:t>
      </w:r>
      <w:r>
        <w:t xml:space="preserve"> </w:t>
      </w:r>
      <w:r>
        <w:rPr>
          <w:bCs/>
          <w:b/>
        </w:rPr>
        <w:t xml:space="preserve">pre-registered kill criteria</w:t>
      </w:r>
      <w:r>
        <w:t xml:space="preserve"> </w:t>
      </w:r>
      <w:r>
        <w:t xml:space="preserve">— conditions under which the engineering bet is declared lost and the theory revised. Phases may overlap in engineering; their evaluations are sequential. Kill criteria are stated as</w:t>
      </w:r>
      <w:r>
        <w:t xml:space="preserve"> </w:t>
      </w:r>
      <w:r>
        <w:rPr>
          <w:iCs/>
          <w:i/>
        </w:rPr>
        <w:t xml:space="preserve">shapes</w:t>
      </w:r>
      <w:r>
        <w:t xml:space="preserve"> </w:t>
      </w:r>
      <w:r>
        <w:t xml:space="preserve">rather than as invented thresholds wherever no defensible reference figure exists, because a fabricated threshold is worse than an honest one.</w:t>
      </w:r>
    </w:p>
    <w:bookmarkStart w:id="139" w:name="Xb54c464913c7dfa875fdb0978a1067e56d4df66"/>
    <w:p>
      <w:pPr>
        <w:pStyle w:val="Heading2"/>
      </w:pPr>
      <w:r>
        <w:t xml:space="preserve">8.1 Phase 0 — Ledger Floor, Read-Model Break-Even, Kill Criteria</w:t>
      </w:r>
    </w:p>
    <w:p>
      <w:pPr>
        <w:pStyle w:val="FirstParagraph"/>
      </w:pPr>
      <w:r>
        <w:t xml:space="preserve">Two questions must survive contact with hardware before any language exists.</w:t>
      </w:r>
    </w:p>
    <w:p>
      <w:pPr>
        <w:pStyle w:val="BodyText"/>
      </w:pPr>
      <w:r>
        <w:rPr>
          <w:bCs/>
          <w:b/>
        </w:rPr>
        <w:t xml:space="preserve">(a) The ledger floor.</w:t>
      </w:r>
      <w:r>
        <w:t xml:space="preserve"> </w:t>
      </w:r>
      <w:r>
        <w:t xml:space="preserve">Can an append-only, hash-chained, durable, strictly serializable single-node ledger sustain throughput competitive with the conventional shape it replaces? Deliverable: the ledger crate plus a microbenchmark measuring sustained posting throughput and commit latency against batch size and epoch period τ.</w:t>
      </w:r>
    </w:p>
    <w:p>
      <w:pPr>
        <w:pStyle w:val="BodyText"/>
      </w:pPr>
      <w:r>
        <w:rPr>
          <w:iCs/>
          <w:i/>
        </w:rPr>
        <w:t xml:space="preserve">Reference points, correctly scoped.</w:t>
      </w:r>
      <w:r>
        <w:t xml:space="preserve"> </w:t>
      </w:r>
      <w:r>
        <w:t xml:space="preserve">The comparison baseline is a measured PostgreSQL/MySQL configuration on the same hardware, not a vendor figure. Published marketing claims for purpose-built ledgers are explicitly excluded as baselines, because they arrive without methodology, hardware specification or workload definition; where a vendor’s own documentation and homepage disagree with each other on a basic parameter, that is itself a reason to treat such figures as unusable.</w:t>
      </w:r>
    </w:p>
    <w:p>
      <w:pPr>
        <w:pStyle w:val="BodyText"/>
      </w:pPr>
      <w:r>
        <w:rPr>
          <w:iCs/>
          <w:i/>
        </w:rPr>
        <w:t xml:space="preserve">Kill criterion K0a:</w:t>
      </w:r>
      <w:r>
        <w:t xml:space="preserve"> </w:t>
      </w:r>
      <w:r>
        <w:t xml:space="preserve">if the ledger write path cannot match a tuned conventional RDBMS configuration on the same hardware for the same durability guarantee, the</w:t>
      </w:r>
      <w:r>
        <w:t xml:space="preserve"> </w:t>
      </w:r>
      <w:r>
        <w:t xml:space="preserve">“</w:t>
      </w:r>
      <w:r>
        <w:t xml:space="preserve">ledger-grade write path at no cost to the floor</w:t>
      </w:r>
      <w:r>
        <w:t xml:space="preserve">”</w:t>
      </w:r>
      <w:r>
        <w:t xml:space="preserve"> </w:t>
      </w:r>
      <w:r>
        <w:t xml:space="preserve">premise fails, and the thesis must either narrow its claims to read-side economics or change the write-path design.</w:t>
      </w:r>
    </w:p>
    <w:p>
      <w:pPr>
        <w:pStyle w:val="BodyText"/>
      </w:pPr>
      <w:r>
        <w:rPr>
          <w:bCs/>
          <w:b/>
        </w:rPr>
        <w:t xml:space="preserve">(b) The break-even sketch.</w:t>
      </w:r>
      <w:r>
        <w:t xml:space="preserve"> </w:t>
      </w:r>
      <w:r>
        <w:t xml:space="preserve">Does a prototype partial view over the ledger beat full materialization anywhere real? Deliverable: one hand-built REV against a fully materialized twin, swept across α — including the flat end of the empirically attested range.</w:t>
      </w:r>
    </w:p>
    <w:p>
      <w:pPr>
        <w:pStyle w:val="BodyText"/>
      </w:pPr>
      <w:r>
        <w:rPr>
          <w:iCs/>
          <w:i/>
        </w:rPr>
        <w:t xml:space="preserve">Kill criterion K0b:</w:t>
      </w:r>
      <w:r>
        <w:t xml:space="preserve"> </w:t>
      </w:r>
      <w:r>
        <w:t xml:space="preserve">if no (α, budget) point shows a material resident-state advantage at acceptable latency, the partial-state premise fails</w:t>
      </w:r>
      <w:r>
        <w:t xml:space="preserve"> </w:t>
      </w:r>
      <w:r>
        <w:rPr>
          <w:iCs/>
          <w:i/>
        </w:rPr>
        <w:t xml:space="preserve">before</w:t>
      </w:r>
      <w:r>
        <w:t xml:space="preserve"> </w:t>
      </w:r>
      <w:r>
        <w:t xml:space="preserve">the theory’s constants are tuned to fit. This criterion is deliberately placed first, because it is the cheapest possible refutation of the thesis’s economic claim, and running it late would be a methodological error.</w:t>
      </w:r>
    </w:p>
    <w:bookmarkEnd w:id="139"/>
    <w:bookmarkStart w:id="140" w:name="phase-1-formal-model-and-language-design"/>
    <w:p>
      <w:pPr>
        <w:pStyle w:val="Heading2"/>
      </w:pPr>
      <w:r>
        <w:t xml:space="preserve">8.2 Phase 1 — Formal Model and Language Design</w:t>
      </w:r>
    </w:p>
    <w:p>
      <w:pPr>
        <w:pStyle w:val="FirstParagraph"/>
      </w:pPr>
      <w:r>
        <w:rPr>
          <w:bCs/>
          <w:b/>
        </w:rPr>
        <w:t xml:space="preserve">Deliverables.</w:t>
      </w:r>
      <w:r>
        <w:t xml:space="preserve"> </w:t>
      </w:r>
      <w:r>
        <w:t xml:space="preserve">Chapter 3’s framework complete; Theorems 4.1–4.6 proved in their stated models; λ_niles specified; the Niles surface specified (Appendix B); the IR specified (Appendix D); the executable oracle running (Appendix F —</w:t>
      </w:r>
      <w:r>
        <w:t xml:space="preserve"> </w:t>
      </w:r>
      <w:r>
        <w:rPr>
          <w:iCs/>
          <w:i/>
        </w:rPr>
        <w:t xml:space="preserve">this deliverable is complete</w:t>
      </w:r>
      <w:r>
        <w:t xml:space="preserve">).</w:t>
      </w:r>
    </w:p>
    <w:p>
      <w:pPr>
        <w:pStyle w:val="BodyText"/>
      </w:pPr>
      <w:r>
        <w:rPr>
          <w:bCs/>
          <w:b/>
        </w:rPr>
        <w:t xml:space="preserve">Gate.</w:t>
      </w:r>
      <w:r>
        <w:t xml:space="preserve"> </w:t>
      </w:r>
      <w:r>
        <w:t xml:space="preserve">The proof-ladder audit of Section 3.15: every premise either proved or explicitly registered as an assumption with its threat. No performance claims exit this phase.</w:t>
      </w:r>
    </w:p>
    <w:bookmarkEnd w:id="140"/>
    <w:bookmarkStart w:id="141" w:name="phase-2-single-node-vertical-slice"/>
    <w:p>
      <w:pPr>
        <w:pStyle w:val="Heading2"/>
      </w:pPr>
      <w:r>
        <w:t xml:space="preserve">8.3 Phase 2 — Single-Node Vertical Slice</w:t>
      </w:r>
    </w:p>
    <w:p>
      <w:pPr>
        <w:pStyle w:val="FirstParagraph"/>
      </w:pPr>
      <w:r>
        <w:rPr>
          <w:bCs/>
          <w:b/>
        </w:rPr>
        <w:t xml:space="preserve">Deliverable.</w:t>
      </w:r>
      <w:r>
        <w:t xml:space="preserve"> </w:t>
      </w:r>
      <w:r>
        <w:t xml:space="preserve">The full spine on one node — ledger, IR, Nilestream-Core, native protocol — running the conservation suite and a reduced benchmark, with the stage-0 compiler covering the declarative and transaction tiers.</w:t>
      </w:r>
    </w:p>
    <w:p>
      <w:pPr>
        <w:pStyle w:val="BodyText"/>
      </w:pPr>
      <w:r>
        <w:rPr>
          <w:bCs/>
          <w:b/>
        </w:rPr>
        <w:t xml:space="preserve">Evaluation.</w:t>
      </w:r>
      <w:r>
        <w:t xml:space="preserve"> </w:t>
      </w:r>
      <w:r>
        <w:t xml:space="preserve">Differential testing against the oracle; the first round of the S4 fault campaign; the floor re-measured through the real pipeline; and the first empirical check of the §4.2 claim that anchoring removes the need for eviction-notice propagation and anomaly-avoidance protocol.</w:t>
      </w:r>
    </w:p>
    <w:p>
      <w:pPr>
        <w:pStyle w:val="BodyText"/>
      </w:pPr>
      <w:r>
        <w:rPr>
          <w:iCs/>
          <w:i/>
        </w:rPr>
        <w:t xml:space="preserve">Kill criterion K2:</w:t>
      </w:r>
      <w:r>
        <w:t xml:space="preserve"> </w:t>
      </w:r>
      <w:r>
        <w:t xml:space="preserve">any conservation violation not attributable to a fixable implementation defect — that is, a model-level counterexample — halts the program until the theory is revised. This is the criterion the thesis most wants to be tested, because it is the one that would matter most if it fired.</w:t>
      </w:r>
    </w:p>
    <w:bookmarkEnd w:id="141"/>
    <w:bookmarkStart w:id="142" w:name="X71e969f9e4bab6b94c51bfc95fd13aa2c036dfd"/>
    <w:p>
      <w:pPr>
        <w:pStyle w:val="Heading2"/>
      </w:pPr>
      <w:r>
        <w:t xml:space="preserve">8.4 Phase 3 — Adaptive Materialization, Optimizer, and Language Evaluation</w:t>
      </w:r>
    </w:p>
    <w:p>
      <w:pPr>
        <w:pStyle w:val="FirstParagraph"/>
      </w:pPr>
      <w:r>
        <w:rPr>
          <w:bCs/>
          <w:b/>
        </w:rPr>
        <w:t xml:space="preserve">Deliverables.</w:t>
      </w:r>
      <w:r>
        <w:t xml:space="preserve"> </w:t>
      </w:r>
      <w:r>
        <w:t xml:space="preserve">The optimizer of Contribution 5 live, with its estimators and the offline dynamic program that grades it; the full consistency ladder served; the S1, S2, S3 and S7 experiment suites; the SQL surface and both wire protocols with the compatibility corpus; the lineage subsystem at all three modes; and the language-scope corpus — the banking products of Section 6.21 plus the non-financial domain library and the ported SQL workloads.</w:t>
      </w:r>
    </w:p>
    <w:p>
      <w:pPr>
        <w:pStyle w:val="BodyText"/>
      </w:pPr>
      <w:r>
        <w:rPr>
          <w:bCs/>
          <w:b/>
        </w:rPr>
        <w:t xml:space="preserve">Evaluation.</w:t>
      </w:r>
      <w:r>
        <w:t xml:space="preserve"> </w:t>
      </w:r>
      <w:r>
        <w:t xml:space="preserve">The phase diagram (Section 9.6) drawn from real runs, with Z reported at every point; the optimizer measured against every fixed policy and against the offline optimum; S6’s enforcement comparison; the compatibility corpus green or its gaps enumerated.</w:t>
      </w:r>
    </w:p>
    <w:p>
      <w:pPr>
        <w:pStyle w:val="BodyText"/>
      </w:pPr>
      <w:r>
        <w:t xml:space="preserve">This phase produces the thesis’s core empirical chapters, and its templates are frozen before it begins (Section 5.9).</w:t>
      </w:r>
    </w:p>
    <w:bookmarkEnd w:id="142"/>
    <w:bookmarkStart w:id="143" w:name="X2107b3f0f831534475303ac97c94f35bdb1dc46"/>
    <w:p>
      <w:pPr>
        <w:pStyle w:val="Heading2"/>
      </w:pPr>
      <w:r>
        <w:t xml:space="preserve">8.5 Phase 4 — Distributed Execution and Recovery</w:t>
      </w:r>
    </w:p>
    <w:p>
      <w:pPr>
        <w:pStyle w:val="FirstParagraph"/>
      </w:pPr>
      <w:r>
        <w:t xml:space="preserve">Scale-out: ledger groups partitioning the account space, each running the Phase-2 spine under established replication; read models subscribing to multiple groups with per-group frontiers joined into vector anchors; recovery drills — node loss, media loss, partition — with frontier reconstruction re-verified in the distributed setting.</w:t>
      </w:r>
    </w:p>
    <w:p>
      <w:pPr>
        <w:pStyle w:val="BodyText"/>
      </w:pPr>
      <w:r>
        <w:t xml:space="preserve">The consistency ladder’s predicates generalize by replacing the scalar visibility frontier with a vector one; ℓ₃ then requires a</w:t>
      </w:r>
      <w:r>
        <w:t xml:space="preserve"> </w:t>
      </w:r>
      <w:r>
        <w:rPr>
          <w:iCs/>
          <w:i/>
        </w:rPr>
        <w:t xml:space="preserve">consistent cut</w:t>
      </w:r>
      <w:r>
        <w:t xml:space="preserve"> </w:t>
      </w:r>
      <w:r>
        <w:t xml:space="preserve">across groups rather than a single scalar epoch, which is the only place the formal machinery genuinely changes shape.</w:t>
      </w:r>
    </w:p>
    <w:bookmarkEnd w:id="143"/>
    <w:bookmarkStart w:id="144" w:name="the-cross-shard-commit-protocol"/>
    <w:p>
      <w:pPr>
        <w:pStyle w:val="Heading2"/>
      </w:pPr>
      <w:r>
        <w:t xml:space="preserve">8.6 The Cross-Shard Commit Protocol</w:t>
      </w:r>
    </w:p>
    <w:p>
      <w:pPr>
        <w:pStyle w:val="FirstParagraph"/>
      </w:pPr>
      <w:r>
        <w:t xml:space="preserve">Transactions spanning ledger groups — an FX pair across currency-partitioned groups, a transfer across account partitions — commit via an epoch-aligned two-phase protocol. Participants reserve balanced sub-transactions in their open epochs under a shared cross-shard identifier; a consensus-backed coordinator collects reservations and issues commit or abort before the participating epochs seal; sealed epochs record the outcome. The cross-shard transaction is therefore atomic</w:t>
      </w:r>
      <w:r>
        <w:t xml:space="preserve"> </w:t>
      </w:r>
      <w:r>
        <w:rPr>
          <w:iCs/>
          <w:i/>
        </w:rPr>
        <w:t xml:space="preserve">on the visibility timeline</w:t>
      </w:r>
      <w:r>
        <w:t xml:space="preserve">: either all legs are present at the agreed vector anchor or none are.</w:t>
      </w:r>
    </w:p>
    <w:p>
      <w:pPr>
        <w:pStyle w:val="BodyText"/>
      </w:pPr>
      <w:r>
        <w:t xml:space="preserve">Conservation extends because each leg balances per currency locally (Definition 3.7), so no interleaving of failures can strand value, and an aborted reservation leaves no postings.</w:t>
      </w:r>
    </w:p>
    <w:p>
      <w:pPr>
        <w:pStyle w:val="BodyText"/>
      </w:pPr>
      <w:r>
        <w:rPr>
          <w:bCs/>
          <w:b/>
        </w:rPr>
        <w:t xml:space="preserve">Status: built as a protocol, tested in simulation, never run over a network</w:t>
      </w:r>
      <w:r>
        <w:t xml:space="preserve"> </w:t>
      </w:r>
      <w:r>
        <w:t xml:space="preserve">(</w:t>
      </w:r>
      <w:r>
        <w:rPr>
          <w:rStyle w:val="VerbatimChar"/>
        </w:rPr>
        <w:t xml:space="preserve">nilestream-consensus::cross_shard</w:t>
      </w:r>
      <w:r>
        <w:t xml:space="preserve">, 12 tests). Four properties are worth stating, because each answers an objection the classical protocol attracts.</w:t>
      </w:r>
    </w:p>
    <w:p>
      <w:pPr>
        <w:pStyle w:val="BodyText"/>
      </w:pPr>
      <w:r>
        <w:rPr>
          <w:iCs/>
          <w:i/>
        </w:rPr>
        <w:t xml:space="preserve">The blocking objection dissolves.</w:t>
      </w:r>
      <w:r>
        <w:t xml:space="preserve"> </w:t>
      </w:r>
      <w:r>
        <w:t xml:space="preserve">Two-phase commit’s standard indictment is that a coordinator failing between prepare and decide leaves participants holding locks with no one to ask. Here the coordinator</w:t>
      </w:r>
      <w:r>
        <w:t xml:space="preserve"> </w:t>
      </w:r>
      <w:r>
        <w:rPr>
          <w:bCs/>
          <w:b/>
        </w:rPr>
        <w:t xml:space="preserve">is a ledger group</w:t>
      </w:r>
      <w:r>
        <w:t xml:space="preserve">: the decision is persisted through quorum before it is sent, and the implementation refuses to send a decision that is not yet durable. A successor coordinator therefore</w:t>
      </w:r>
      <w:r>
        <w:t xml:space="preserve"> </w:t>
      </w:r>
      <w:r>
        <w:rPr>
          <w:iCs/>
          <w:i/>
        </w:rPr>
        <w:t xml:space="preserve">reads</w:t>
      </w:r>
      <w:r>
        <w:t xml:space="preserve"> </w:t>
      </w:r>
      <w:r>
        <w:t xml:space="preserve">the decision rather than re-deciding it, and the window in which the classical protocol blocks does not exist.</w:t>
      </w:r>
    </w:p>
    <w:p>
      <w:pPr>
        <w:pStyle w:val="BodyText"/>
      </w:pPr>
      <w:r>
        <w:rPr>
          <w:iCs/>
          <w:i/>
        </w:rPr>
        <w:t xml:space="preserve">Conservation is checked where — and only where — it can be.</w:t>
      </w:r>
      <w:r>
        <w:t xml:space="preserve"> </w:t>
      </w:r>
      <w:r>
        <w:t xml:space="preserve">Each fragment balances locally per currency, but a transaction can be locally balanced on every shard and still create money globally, since a shard sees only its own legs. The coordinator holds every fragment and is thus the single place the global per-currency sum can be taken; it aborts a transaction whose fragments do not sum to zero</w:t>
      </w:r>
      <w:r>
        <w:t xml:space="preserve"> </w:t>
      </w:r>
      <w:r>
        <w:rPr>
          <w:bCs/>
          <w:b/>
        </w:rPr>
        <w:t xml:space="preserve">even when every shard has voted to prepare</w:t>
      </w:r>
      <w:r>
        <w:t xml:space="preserve">. That is a check no participant could have performed.</w:t>
      </w:r>
    </w:p>
    <w:p>
      <w:pPr>
        <w:pStyle w:val="BodyText"/>
      </w:pPr>
      <w:r>
        <w:rPr>
          <w:iCs/>
          <w:i/>
        </w:rPr>
        <w:t xml:space="preserve">Visibility is identical everywhere, by construction.</w:t>
      </w:r>
      <w:r>
        <w:t xml:space="preserve"> </w:t>
      </w:r>
      <w:r>
        <w:t xml:space="preserve">The commit epoch is chosen strictly above every prepared epoch on every participant, however skewed the shards. A reader at any anchor therefore sees all legs or none — the atomicity of §3.6 holding across shards without a distributed read protocol, because it is a property of where the epoch lands rather than of what the readers agree.</w:t>
      </w:r>
    </w:p>
    <w:p>
      <w:pPr>
        <w:pStyle w:val="BodyText"/>
      </w:pPr>
      <w:r>
        <w:rPr>
          <w:iCs/>
          <w:i/>
        </w:rPr>
        <w:t xml:space="preserve">A cross-shard upquery needs no coordination at all.</w:t>
      </w:r>
      <w:r>
        <w:t xml:space="preserve"> </w:t>
      </w:r>
      <w:r>
        <w:t xml:space="preserve">It reads a frozen prefix, which cannot change; the read cannot be made stale by a concurrent write, and its result can be cached indefinitely with no invalidation protocol. The distributed read path (</w:t>
      </w:r>
      <w:r>
        <w:rPr>
          <w:rStyle w:val="VerbatimChar"/>
        </w:rPr>
        <w:t xml:space="preserve">nilestream-core::distributed</w:t>
      </w:r>
      <w:r>
        <w:t xml:space="preserve">, 10 tests) takes the</w:t>
      </w:r>
      <w:r>
        <w:t xml:space="preserve"> </w:t>
      </w:r>
      <w:r>
        <w:rPr>
          <w:iCs/>
          <w:i/>
        </w:rPr>
        <w:t xml:space="preserve">minimum</w:t>
      </w:r>
      <w:r>
        <w:t xml:space="preserve"> </w:t>
      </w:r>
      <w:r>
        <w:t xml:space="preserve">frontier across shards as the strictly-consistent read point, batches one round trip per shard, and caches by</w:t>
      </w:r>
      <w:r>
        <w:t xml:space="preserve"> </w:t>
      </w:r>
      <w:r>
        <w:rPr>
          <w:rStyle w:val="VerbatimChar"/>
        </w:rPr>
        <w:t xml:space="preserve">(key, epoch)</w:t>
      </w:r>
      <w:r>
        <w:t xml:space="preserve">. This is Theorem 4.1’s anchoring paying a distributed dividend, and it is the clearest instance in this thesis of an immutability commitment buying something a mutable design would have had to coordinate for.</w:t>
      </w:r>
    </w:p>
    <w:p>
      <w:pPr>
        <w:pStyle w:val="BodyText"/>
      </w:pPr>
      <w:r>
        <w:t xml:space="preserve">The protocol’s novelty budget is deliberately small — it is two-phase commit hardened by epoch alignment and consensus-replicated participants — because the thesis’s claims live elsewhere. Where a cheaper design is available it is preferred: the deterministic-execution literature shows that pre-agreeing the input order removes the need for a commit</w:t>
      </w:r>
      <w:r>
        <w:t xml:space="preserve"> </w:t>
      </w:r>
      <w:r>
        <w:rPr>
          <w:iCs/>
          <w:i/>
        </w:rPr>
        <w:t xml:space="preserve">vote</w:t>
      </w:r>
      <w:r>
        <w:t xml:space="preserve"> </w:t>
      </w:r>
      <w:r>
        <w:t xml:space="preserve">[Thomson et al., SIGMOD ’12; Lu et al., PVLDB ’20], and the extent to which that technique can subsume the reservation step here is an implementation question this phase settles empirically rather than a claim made in advance.</w:t>
      </w:r>
    </w:p>
    <w:bookmarkEnd w:id="144"/>
    <w:bookmarkStart w:id="145" w:name="fault-model-and-its-boundaries"/>
    <w:p>
      <w:pPr>
        <w:pStyle w:val="Heading2"/>
      </w:pPr>
      <w:r>
        <w:t xml:space="preserve">8.7 Fault Model and Its Boundaries</w:t>
      </w:r>
    </w:p>
    <w:p>
      <w:pPr>
        <w:pStyle w:val="FirstParagraph"/>
      </w:pPr>
      <w:r>
        <w:rPr>
          <w:bCs/>
          <w:b/>
        </w:rPr>
        <w:t xml:space="preserve">In scope:</w:t>
      </w:r>
      <w:r>
        <w:t xml:space="preserve"> </w:t>
      </w:r>
      <w:r>
        <w:t xml:space="preserve">crash-stop failures, media loss up to the replication factor, network partitions, message loss, duplication and reordering, and the injected schedules of the S4 campaign.</w:t>
      </w:r>
    </w:p>
    <w:p>
      <w:pPr>
        <w:pStyle w:val="BodyText"/>
      </w:pPr>
      <w:r>
        <w:rPr>
          <w:bCs/>
          <w:b/>
        </w:rPr>
        <w:t xml:space="preserve">Out of scope, declared:</w:t>
      </w:r>
      <w:r>
        <w:t xml:space="preserve"> </w:t>
      </w:r>
      <w:r>
        <w:t xml:space="preserve">Byzantine replicas — the hash chain provides tamper</w:t>
      </w:r>
      <w:r>
        <w:t xml:space="preserve"> </w:t>
      </w:r>
      <w:r>
        <w:rPr>
          <w:iCs/>
          <w:i/>
        </w:rPr>
        <w:t xml:space="preserve">evidence</w:t>
      </w:r>
      <w:r>
        <w:t xml:space="preserve"> </w:t>
      </w:r>
      <w:r>
        <w:t xml:space="preserve">relative to a retained digest, not Byzantine tolerance, and a BFT profile is future work; correlated loss of all replicas, mitigated by cold-storage migration rather than by protocol; and clock attacks beyond what epoch ordering already ignores, since epochs never trust wall clocks for ordering.</w:t>
      </w:r>
    </w:p>
    <w:p>
      <w:pPr>
        <w:pStyle w:val="BodyText"/>
      </w:pPr>
      <w:r>
        <w:rPr>
          <w:bCs/>
          <w:b/>
        </w:rPr>
        <w:t xml:space="preserve">A stated asymmetry.</w:t>
      </w:r>
      <w:r>
        <w:t xml:space="preserve"> </w:t>
      </w:r>
      <w:r>
        <w:t xml:space="preserve">Integrity degrades more gracefully than availability: several out-of-scope scenarios still leave the tamper-evidence guarantee intact, because any surviving holder of a later digest can detect revision of the prefix. This asymmetry is a design value, and it is also the precise limit of what the guarantee means — it requires that someone retained a digest and that someone checks.</w:t>
      </w:r>
    </w:p>
    <w:bookmarkEnd w:id="145"/>
    <w:bookmarkStart w:id="146" w:name="Xd85c094347edfbcd6b67301bff08a3ab2204d25"/>
    <w:p>
      <w:pPr>
        <w:pStyle w:val="Heading2"/>
      </w:pPr>
      <w:r>
        <w:t xml:space="preserve">8.8 Phase 5 — Production Hardening, General and Banking</w:t>
      </w:r>
    </w:p>
    <w:p>
      <w:pPr>
        <w:pStyle w:val="FirstParagraph"/>
      </w:pPr>
      <w:r>
        <w:rPr>
          <w:bCs/>
          <w:b/>
        </w:rPr>
        <w:t xml:space="preserve">General.</w:t>
      </w:r>
      <w:r>
        <w:t xml:space="preserve"> </w:t>
      </w:r>
      <w:r>
        <w:t xml:space="preserve">Backpressure and admission control; quota and multi-tenancy isolation; online schema and view evolution — where new views backfill by upquery</w:t>
      </w:r>
      <w:r>
        <w:t xml:space="preserve"> </w:t>
      </w:r>
      <w:r>
        <w:rPr>
          <w:iCs/>
          <w:i/>
        </w:rPr>
        <w:t xml:space="preserve">by construction</w:t>
      </w:r>
      <w:r>
        <w:t xml:space="preserve">, which is one of the design’s quieter dividends; observability maturation; upgrade drills gated on determinism.</w:t>
      </w:r>
    </w:p>
    <w:p>
      <w:pPr>
        <w:pStyle w:val="BodyText"/>
      </w:pPr>
      <w:r>
        <w:rPr>
          <w:bCs/>
          <w:b/>
        </w:rPr>
        <w:t xml:space="preserve">Banking.</w:t>
      </w:r>
      <w:r>
        <w:t xml:space="preserve"> </w:t>
      </w:r>
      <w:r>
        <w:t xml:space="preserve">The confidentiality profile of Sections 6.17–6.19 enabled end to end; the product portfolio exercised under load; audit rehearsals in which arbitrary historical answers are reproduced under supervision, exercising the reproduction endpoint against the regulatory expectation that a complete, time-stamped audit trail permits recreating a prior state; and operational runbooks.</w:t>
      </w:r>
    </w:p>
    <w:p>
      <w:pPr>
        <w:pStyle w:val="BodyText"/>
      </w:pPr>
      <w:r>
        <w:rPr>
          <w:bCs/>
          <w:b/>
        </w:rPr>
        <w:t xml:space="preserve">Exit condition of the program.</w:t>
      </w:r>
      <w:r>
        <w:t xml:space="preserve"> </w:t>
      </w:r>
      <w:r>
        <w:t xml:space="preserve">Every hypothesis in Section 1.6 has met its data — supported, refuted, or partial — and every refutation has a written account of what it implies for the theory. The program is complete when the claims are settled, not when the system is finished.</w:t>
      </w:r>
    </w:p>
    <w:bookmarkEnd w:id="146"/>
    <w:bookmarkEnd w:id="147"/>
    <w:bookmarkStart w:id="189" w:name="X4420fa5779dc4aa5b8d92d25b01439c609fc502"/>
    <w:p>
      <w:pPr>
        <w:pStyle w:val="Heading1"/>
      </w:pPr>
      <w:r>
        <w:t xml:space="preserve">9. Evaluation: Design, Measured Results, and What Remains Unmeasured</w:t>
      </w:r>
    </w:p>
    <w:p>
      <w:pPr>
        <w:pStyle w:val="FirstParagraph"/>
      </w:pPr>
      <w:r>
        <w:t xml:space="preserve">This chapter has two halves, and the boundary between them is stated before anything else so that no reader mistakes one for the other.</w:t>
      </w:r>
    </w:p>
    <w:p>
      <w:pPr>
        <w:pStyle w:val="BodyText"/>
      </w:pPr>
      <w:r>
        <w:rPr>
          <w:bCs/>
          <w:b/>
        </w:rPr>
        <w:t xml:space="preserve">§9.1–§9.4 report measurements that were actually taken.</w:t>
      </w:r>
      <w:r>
        <w:t xml:space="preserve"> </w:t>
      </w:r>
      <w:r>
        <w:t xml:space="preserve">They come from a research prototype (Appendix K) that implements the mechanisms this thesis is about — epoch-ordered commit under a per-currency zero-sum rule, hash chaining, per-key anchor indices, partial materialization over the absence lattice, anchored upqueries, eviction policies, and per-key checkpoints. Every number in these sections was produced by the run that reports it, on the platform of §9.1.2, and every artifact is in</w:t>
      </w:r>
      <w:r>
        <w:t xml:space="preserve"> </w:t>
      </w:r>
      <w:r>
        <w:rPr>
          <w:rStyle w:val="VerbatimChar"/>
        </w:rPr>
        <w:t xml:space="preserve">results/</w:t>
      </w:r>
      <w:r>
        <w:t xml:space="preserve"> </w:t>
      </w:r>
      <w:r>
        <w:t xml:space="preserve">with the code that generated it.</w:t>
      </w:r>
    </w:p>
    <w:p>
      <w:pPr>
        <w:pStyle w:val="BodyText"/>
      </w:pPr>
      <w:r>
        <w:rPr>
          <w:bCs/>
          <w:b/>
        </w:rPr>
        <w:t xml:space="preserve">§9.5–§9.12 are the evaluation design for the parts not yet built.</w:t>
      </w:r>
      <w:r>
        <w:t xml:space="preserve"> </w:t>
      </w:r>
      <w:r>
        <w:t xml:space="preserve">They state protocols, baselines and pre-registered predictions with their theoretical sources. Every cell there is marked</w:t>
      </w:r>
      <w:r>
        <w:t xml:space="preserve"> </w:t>
      </w:r>
      <w:r>
        <w:rPr>
          <w:iCs/>
          <w:i/>
        </w:rPr>
        <w:t xml:space="preserve">to be measured</w:t>
      </w:r>
      <w:r>
        <w:t xml:space="preserve">, and no number in this thesis is invented to fill one.</w:t>
      </w:r>
    </w:p>
    <w:p>
      <w:pPr>
        <w:pStyle w:val="BodyText"/>
      </w:pPr>
      <w:r>
        <w:t xml:space="preserve">Three of the measured results</w:t>
      </w:r>
      <w:r>
        <w:t xml:space="preserve"> </w:t>
      </w:r>
      <w:r>
        <w:rPr>
          <w:bCs/>
          <w:b/>
        </w:rPr>
        <w:t xml:space="preserve">contradict hypotheses this thesis previously asserted</w:t>
      </w:r>
      <w:r>
        <w:t xml:space="preserve">. They are reported as contradictions, in the sections where the hypotheses were stated, because a design document that only reports confirmations is not evidence of anything.</w:t>
      </w:r>
    </w:p>
    <w:bookmarkStart w:id="151" w:name="what-was-measured-and-on-what"/>
    <w:p>
      <w:pPr>
        <w:pStyle w:val="Heading2"/>
      </w:pPr>
      <w:r>
        <w:t xml:space="preserve">9.1 What Was Measured, and On What</w:t>
      </w:r>
    </w:p>
    <w:bookmarkStart w:id="148" w:name="X53ccfb5ef5f864e0bafc6b2b5700f825612320f"/>
    <w:p>
      <w:pPr>
        <w:pStyle w:val="Heading3"/>
      </w:pPr>
      <w:r>
        <w:t xml:space="preserve">9.1.1 Scope of the prototype, stated as a limitation first</w:t>
      </w:r>
    </w:p>
    <w:p>
      <w:pPr>
        <w:pStyle w:val="FirstParagraph"/>
      </w:pPr>
      <w:r>
        <w:t xml:space="preserve">The prototype is a single-node, in-memory, single-threaded Rust program of roughly 900 lines. It has</w:t>
      </w:r>
      <w:r>
        <w:t xml:space="preserve"> </w:t>
      </w:r>
      <w:r>
        <w:rPr>
          <w:bCs/>
          <w:b/>
        </w:rPr>
        <w:t xml:space="preserve">no durability</w:t>
      </w:r>
      <w:r>
        <w:t xml:space="preserve"> </w:t>
      </w:r>
      <w:r>
        <w:t xml:space="preserve">(no</w:t>
      </w:r>
      <w:r>
        <w:t xml:space="preserve"> </w:t>
      </w:r>
      <w:r>
        <w:rPr>
          <w:rStyle w:val="VerbatimChar"/>
        </w:rPr>
        <w:t xml:space="preserve">fsync</w:t>
      </w:r>
      <w:r>
        <w:t xml:space="preserve">, no write-ahead log),</w:t>
      </w:r>
      <w:r>
        <w:t xml:space="preserve"> </w:t>
      </w:r>
      <w:r>
        <w:rPr>
          <w:bCs/>
          <w:b/>
        </w:rPr>
        <w:t xml:space="preserve">no concurrency control</w:t>
      </w:r>
      <w:r>
        <w:t xml:space="preserve"> </w:t>
      </w:r>
      <w:r>
        <w:t xml:space="preserve">beyond being single-threaded,</w:t>
      </w:r>
      <w:r>
        <w:t xml:space="preserve"> </w:t>
      </w:r>
      <w:r>
        <w:rPr>
          <w:bCs/>
          <w:b/>
        </w:rPr>
        <w:t xml:space="preserve">no consensus</w:t>
      </w:r>
      <w:r>
        <w:t xml:space="preserve">,</w:t>
      </w:r>
      <w:r>
        <w:t xml:space="preserve"> </w:t>
      </w:r>
      <w:r>
        <w:rPr>
          <w:bCs/>
          <w:b/>
        </w:rPr>
        <w:t xml:space="preserve">no query planner</w:t>
      </w:r>
      <w:r>
        <w:t xml:space="preserve">,</w:t>
      </w:r>
      <w:r>
        <w:t xml:space="preserve"> </w:t>
      </w:r>
      <w:r>
        <w:rPr>
          <w:bCs/>
          <w:b/>
        </w:rPr>
        <w:t xml:space="preserve">no SQL surface</w:t>
      </w:r>
      <w:r>
        <w:t xml:space="preserve">, and only two view shapes. It is not Nilestream; it is the smallest artifact that makes Nilestream’s</w:t>
      </w:r>
      <w:r>
        <w:t xml:space="preserve"> </w:t>
      </w:r>
      <w:r>
        <w:rPr>
          <w:iCs/>
          <w:i/>
        </w:rPr>
        <w:t xml:space="preserve">mechanisms</w:t>
      </w:r>
      <w:r>
        <w:t xml:space="preserve"> </w:t>
      </w:r>
      <w:r>
        <w:t xml:space="preserve">measurable.</w:t>
      </w:r>
    </w:p>
    <w:p>
      <w:pPr>
        <w:pStyle w:val="BodyText"/>
      </w:pPr>
      <w:r>
        <w:t xml:space="preserve">What follows from that scope is a discipline about what can be claimed. The prototype can support claims about</w:t>
      </w:r>
      <w:r>
        <w:t xml:space="preserve"> </w:t>
      </w:r>
      <w:r>
        <w:rPr>
          <w:bCs/>
          <w:b/>
        </w:rPr>
        <w:t xml:space="preserve">counted work</w:t>
      </w:r>
      <w:r>
        <w:t xml:space="preserve"> </w:t>
      </w:r>
      <w:r>
        <w:t xml:space="preserve">— base rows read, deltas applied, resident entries held over time, upqueries issued — because those are properties of the algorithms and the workload and are reproducible on any machine. It cannot support claims about throughput relative to a production DBMS, and none are made here. In particular, this chapter does</w:t>
      </w:r>
      <w:r>
        <w:t xml:space="preserve"> </w:t>
      </w:r>
      <w:r>
        <w:rPr>
          <w:bCs/>
          <w:b/>
        </w:rPr>
        <w:t xml:space="preserve">not</w:t>
      </w:r>
      <w:r>
        <w:t xml:space="preserve"> </w:t>
      </w:r>
      <w:r>
        <w:t xml:space="preserve">fill the comparison cells against TigerBeetle-class ledgers, distributed strictly-serializable SQL, or incremental-view engines: those remain</w:t>
      </w:r>
      <w:r>
        <w:t xml:space="preserve"> </w:t>
      </w:r>
      <w:r>
        <w:rPr>
          <w:iCs/>
          <w:i/>
        </w:rPr>
        <w:t xml:space="preserve">to be measured</w:t>
      </w:r>
      <w:r>
        <w:t xml:space="preserve"> </w:t>
      </w:r>
      <w:r>
        <w:t xml:space="preserve">in §9.5, and a prototype without durability or concurrency cannot honestly stand in for them.</w:t>
      </w:r>
    </w:p>
    <w:p>
      <w:pPr>
        <w:pStyle w:val="BodyText"/>
      </w:pPr>
      <w:r>
        <w:t xml:space="preserve">This is the choice the systems-benchmarking literature calls for. Reporting a microbenchmark as if it characterized a system is a named benchmarking error, as is comparing a system only against itself; the design below answers both by keeping the unit machine-independent and by always comparing against a full-materialization baseline run on the identical workload and seed, plus — for eviction — against the randomized policy that the original partial-state work actually used.</w:t>
      </w:r>
    </w:p>
    <w:bookmarkEnd w:id="148"/>
    <w:bookmarkStart w:id="149" w:name="platform"/>
    <w:p>
      <w:pPr>
        <w:pStyle w:val="Heading3"/>
      </w:pPr>
      <w:r>
        <w:t xml:space="preserve">9.1.2 Platform</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CPU</w:t>
            </w:r>
          </w:p>
        </w:tc>
        <w:tc>
          <w:tcPr/>
          <w:p>
            <w:pPr>
              <w:pStyle w:val="Compact"/>
              <w:jc w:val="left"/>
            </w:pPr>
            <w:r>
              <w:t xml:space="preserve">Intel Xeon @ 2.80 GHz, 2 vCPU (shared virtual machine)</w:t>
            </w:r>
          </w:p>
        </w:tc>
      </w:tr>
      <w:tr>
        <w:tc>
          <w:tcPr/>
          <w:p>
            <w:pPr>
              <w:pStyle w:val="Compact"/>
              <w:jc w:val="left"/>
            </w:pPr>
            <w:r>
              <w:t xml:space="preserve">Memory</w:t>
            </w:r>
          </w:p>
        </w:tc>
        <w:tc>
          <w:tcPr/>
          <w:p>
            <w:pPr>
              <w:pStyle w:val="Compact"/>
              <w:jc w:val="left"/>
            </w:pPr>
            <w:r>
              <w:t xml:space="preserve">7 GiB</w:t>
            </w:r>
          </w:p>
        </w:tc>
      </w:tr>
      <w:tr>
        <w:tc>
          <w:tcPr/>
          <w:p>
            <w:pPr>
              <w:pStyle w:val="Compact"/>
              <w:jc w:val="left"/>
            </w:pPr>
            <w:r>
              <w:t xml:space="preserve">Kernel</w:t>
            </w:r>
          </w:p>
        </w:tc>
        <w:tc>
          <w:tcPr/>
          <w:p>
            <w:pPr>
              <w:pStyle w:val="Compact"/>
              <w:jc w:val="left"/>
            </w:pPr>
            <w:r>
              <w:t xml:space="preserve">Linux 6.18.44 x86-64</w:t>
            </w:r>
          </w:p>
        </w:tc>
      </w:tr>
      <w:tr>
        <w:tc>
          <w:tcPr/>
          <w:p>
            <w:pPr>
              <w:pStyle w:val="Compact"/>
              <w:jc w:val="left"/>
            </w:pPr>
            <w:r>
              <w:t xml:space="preserve">Toolchain</w:t>
            </w:r>
          </w:p>
        </w:tc>
        <w:tc>
          <w:tcPr/>
          <w:p>
            <w:pPr>
              <w:pStyle w:val="Compact"/>
              <w:jc w:val="left"/>
            </w:pPr>
            <w:r>
              <w:t xml:space="preserve">rustc 1.95.0, release profile (optimized)</w:t>
            </w:r>
          </w:p>
        </w:tc>
      </w:tr>
      <w:tr>
        <w:tc>
          <w:tcPr/>
          <w:p>
            <w:pPr>
              <w:pStyle w:val="Compact"/>
              <w:jc w:val="left"/>
            </w:pPr>
            <w:r>
              <w:t xml:space="preserve">Storage</w:t>
            </w:r>
          </w:p>
        </w:tc>
        <w:tc>
          <w:tcPr/>
          <w:p>
            <w:pPr>
              <w:pStyle w:val="Compact"/>
              <w:jc w:val="left"/>
            </w:pPr>
            <w:r>
              <w:t xml:space="preserve">virtual disk;</w:t>
            </w:r>
            <w:r>
              <w:t xml:space="preserve"> </w:t>
            </w:r>
            <w:r>
              <w:rPr>
                <w:bCs/>
                <w:b/>
              </w:rPr>
              <w:t xml:space="preserve">not exercised</w:t>
            </w:r>
            <w:r>
              <w:t xml:space="preserve"> </w:t>
            </w:r>
            <w:r>
              <w:t xml:space="preserve">— the prototype is in-memory</w:t>
            </w:r>
          </w:p>
        </w:tc>
      </w:tr>
    </w:tbl>
    <w:p>
      <w:pPr>
        <w:pStyle w:val="BodyText"/>
      </w:pPr>
      <w:r>
        <w:t xml:space="preserve">This is a modest, shared, virtualized environment. It is adequate for counted-work measurements, which do not depend on it, and it is</w:t>
      </w:r>
      <w:r>
        <w:t xml:space="preserve"> </w:t>
      </w:r>
      <w:r>
        <w:rPr>
          <w:iCs/>
          <w:i/>
        </w:rPr>
        <w:t xml:space="preserve">not</w:t>
      </w:r>
      <w:r>
        <w:t xml:space="preserve"> </w:t>
      </w:r>
      <w:r>
        <w:t xml:space="preserve">adequate for absolute-throughput claims, which is one more reason none are made. Wall-clock appears exactly once, in §9.4.4, with that caveat repeated.</w:t>
      </w:r>
    </w:p>
    <w:bookmarkEnd w:id="149"/>
    <w:bookmarkStart w:id="150" w:name="protocol"/>
    <w:p>
      <w:pPr>
        <w:pStyle w:val="Heading3"/>
      </w:pPr>
      <w:r>
        <w:t xml:space="preserve">9.1.3 Protocol</w:t>
      </w:r>
    </w:p>
    <w:p>
      <w:pPr>
        <w:pStyle w:val="FirstParagraph"/>
      </w:pPr>
      <w:r>
        <w:t xml:space="preserve">Five seeds throughout (1, 7, 42, 100, 2024), fixed in advance. Medians are reported with the observed range; no result rests on a single run. The pseudo-random generator is a stated linear congruential generator rather than a library default, so a seed is a reproducibility guarantee rather than a hope. Every experiment writes a CSV artifact; the tables below are transcriptions of those artifacts.</w:t>
      </w:r>
    </w:p>
    <w:p>
      <w:pPr>
        <w:pStyle w:val="BodyText"/>
      </w:pPr>
      <w:r>
        <w:rPr>
          <w:bCs/>
          <w:b/>
        </w:rPr>
        <w:t xml:space="preserve">Notation.</w:t>
      </w:r>
      <w:r>
        <w:t xml:space="preserve"> </w:t>
      </w:r>
      <w:r>
        <w:t xml:space="preserve">The skew parameter is the</w:t>
      </w:r>
      <w:r>
        <w:t xml:space="preserve"> </w:t>
      </w:r>
      <w:r>
        <w:rPr>
          <w:bCs/>
          <w:b/>
        </w:rPr>
        <w:t xml:space="preserve">Zipf rank exponent</w:t>
      </w:r>
      <w:r>
        <w:rPr>
          <w:bCs/>
          <w:b/>
        </w:rPr>
        <w:t xml:space="preserve"> </w:t>
      </w:r>
      <w:r>
        <w:rPr>
          <w:iCs/>
          <w:i/>
          <w:bCs/>
          <w:b/>
        </w:rPr>
        <w:t xml:space="preserve">s</w:t>
      </w:r>
      <w:r>
        <w:t xml:space="preserve">, where the probability of the rank-</w:t>
      </w:r>
      <w:r>
        <w:rPr>
          <w:iCs/>
          <w:i/>
        </w:rPr>
        <w:t xml:space="preserve">r</w:t>
      </w:r>
      <w:r>
        <w:t xml:space="preserve"> </w:t>
      </w:r>
      <w:r>
        <w:t xml:space="preserve">key is proportional to</w:t>
      </w:r>
      <w:r>
        <w:t xml:space="preserve"> </w:t>
      </w:r>
      <w:r>
        <w:rPr>
          <w:iCs/>
          <w:i/>
        </w:rPr>
        <w:t xml:space="preserve">r</w:t>
      </w:r>
      <w:r>
        <w:t xml:space="preserve">⁻ˢ, so higher</w:t>
      </w:r>
      <w:r>
        <w:t xml:space="preserve"> </w:t>
      </w:r>
      <w:r>
        <w:rPr>
          <w:iCs/>
          <w:i/>
        </w:rPr>
        <w:t xml:space="preserve">s</w:t>
      </w:r>
      <w:r>
        <w:t xml:space="preserve"> </w:t>
      </w:r>
      <w:r>
        <w:t xml:space="preserve">means more skew. It is not the Pareto shape parameter, for which higher means a</w:t>
      </w:r>
      <w:r>
        <w:t xml:space="preserve"> </w:t>
      </w:r>
      <w:r>
        <w:rPr>
          <w:iCs/>
          <w:i/>
        </w:rPr>
        <w:t xml:space="preserve">thinner</w:t>
      </w:r>
      <w:r>
        <w:t xml:space="preserve"> </w:t>
      </w:r>
      <w:r>
        <w:t xml:space="preserve">tail and</w:t>
      </w:r>
      <w:r>
        <w:t xml:space="preserve"> </w:t>
      </w:r>
      <w:r>
        <w:rPr>
          <w:iCs/>
          <w:i/>
        </w:rPr>
        <w:t xml:space="preserve">less</w:t>
      </w:r>
      <w:r>
        <w:t xml:space="preserve"> </w:t>
      </w:r>
      <w:r>
        <w:t xml:space="preserve">skew. The two are routinely conflated in this literature, and a phase diagram whose axis can be read backwards is worse than no phase diagram; earlier drafts of this thesis used a bare</w:t>
      </w:r>
      <w:r>
        <w:t xml:space="preserve"> </w:t>
      </w:r>
      <w:r>
        <w:t xml:space="preserve">“</w:t>
      </w:r>
      <w:r>
        <w:t xml:space="preserve">α</w:t>
      </w:r>
      <w:r>
        <w:t xml:space="preserve">”</w:t>
      </w:r>
      <w:r>
        <w:t xml:space="preserve"> </w:t>
      </w:r>
      <w:r>
        <w:t xml:space="preserve">and were ambiguous in exactly this way.</w:t>
      </w:r>
    </w:p>
    <w:bookmarkEnd w:id="150"/>
    <w:bookmarkEnd w:id="151"/>
    <w:bookmarkStart w:id="155" w:name="correctness-results-measured"/>
    <w:p>
      <w:pPr>
        <w:pStyle w:val="Heading2"/>
      </w:pPr>
      <w:r>
        <w:t xml:space="preserve">9.2 Correctness Results (Measured)</w:t>
      </w:r>
    </w:p>
    <w:bookmarkStart w:id="152" w:name="Xa57c2e35d8e9924039ee92f8fe49df92bbde83d"/>
    <w:p>
      <w:pPr>
        <w:pStyle w:val="Heading3"/>
      </w:pPr>
      <w:r>
        <w:t xml:space="preserve">9.2.1 Reconstruction equivalence, conservation, and the absence discipline</w:t>
      </w:r>
    </w:p>
    <w:p>
      <w:pPr>
        <w:pStyle w:val="FirstParagraph"/>
      </w:pPr>
      <w:r>
        <w:t xml:space="preserve">The core correctness experiment runs 10,000 balanced transfers over a closed book of 40 accounts with a deliberately punishing memory budget of 8 resident entries, so that eviction and reconstruction are exercised continuously rather than incidentally. Interleaved with the transfers are reads (each of which may trigger an upquery), forced evictions, and idempotent replays of previously used keys. After every read the value served by the partial view is compared against an independent fold of the ledger at the same anchor.</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Seed</w:t>
            </w:r>
          </w:p>
        </w:tc>
        <w:tc>
          <w:tcPr/>
          <w:p>
            <w:pPr>
              <w:pStyle w:val="Compact"/>
              <w:jc w:val="left"/>
            </w:pPr>
            <w:r>
              <w:t xml:space="preserve">Transfers</w:t>
            </w:r>
          </w:p>
        </w:tc>
        <w:tc>
          <w:tcPr/>
          <w:p>
            <w:pPr>
              <w:pStyle w:val="Compact"/>
              <w:jc w:val="left"/>
            </w:pPr>
            <w:r>
              <w:t xml:space="preserve">Upqueries</w:t>
            </w:r>
          </w:p>
        </w:tc>
        <w:tc>
          <w:tcPr/>
          <w:p>
            <w:pPr>
              <w:pStyle w:val="Compact"/>
              <w:jc w:val="left"/>
            </w:pPr>
            <w:r>
              <w:t xml:space="preserve">Evictions</w:t>
            </w:r>
          </w:p>
        </w:tc>
        <w:tc>
          <w:tcPr/>
          <w:p>
            <w:pPr>
              <w:pStyle w:val="Compact"/>
              <w:jc w:val="left"/>
            </w:pPr>
            <w:r>
              <w:t xml:space="preserve">View-vs-oracle divergences</w:t>
            </w:r>
          </w:p>
        </w:tc>
        <w:tc>
          <w:tcPr/>
          <w:p>
            <w:pPr>
              <w:pStyle w:val="Compact"/>
              <w:jc w:val="left"/>
            </w:pPr>
            <w:r>
              <w:t xml:space="preserve">Conservation</w:t>
            </w:r>
          </w:p>
        </w:tc>
        <w:tc>
          <w:tcPr/>
          <w:p>
            <w:pPr>
              <w:pStyle w:val="Compact"/>
              <w:jc w:val="left"/>
            </w:pPr>
            <w:r>
              <w:t xml:space="preserve">Chain</w:t>
            </w:r>
          </w:p>
        </w:tc>
        <w:tc>
          <w:tcPr/>
          <w:p>
            <w:pPr>
              <w:pStyle w:val="Compact"/>
              <w:jc w:val="left"/>
            </w:pPr>
            <w:r>
              <w:t xml:space="preserve">Rebuild mismatches</w:t>
            </w:r>
          </w:p>
        </w:tc>
        <w:tc>
          <w:tcPr/>
          <w:p>
            <w:pPr>
              <w:pStyle w:val="Compact"/>
              <w:jc w:val="left"/>
            </w:pPr>
            <w:r>
              <w:t xml:space="preserve">Miss ≠ 0</w:t>
            </w:r>
          </w:p>
        </w:tc>
        <w:tc>
          <w:tcPr/>
          <w:p>
            <w:pPr>
              <w:pStyle w:val="Compact"/>
              <w:jc w:val="left"/>
            </w:pPr>
            <w:r>
              <w:t xml:space="preserve">Idempotent rejects</w:t>
            </w:r>
          </w:p>
        </w:tc>
      </w:tr>
      <w:tr>
        <w:tc>
          <w:tcPr/>
          <w:p>
            <w:pPr>
              <w:pStyle w:val="Compact"/>
              <w:jc w:val="left"/>
            </w:pPr>
            <w:r>
              <w:t xml:space="preserve">1</w:t>
            </w:r>
          </w:p>
        </w:tc>
        <w:tc>
          <w:tcPr/>
          <w:p>
            <w:pPr>
              <w:pStyle w:val="Compact"/>
              <w:jc w:val="left"/>
            </w:pPr>
            <w:r>
              <w:t xml:space="preserve">10,000</w:t>
            </w:r>
          </w:p>
        </w:tc>
        <w:tc>
          <w:tcPr/>
          <w:p>
            <w:pPr>
              <w:pStyle w:val="Compact"/>
              <w:jc w:val="left"/>
            </w:pPr>
            <w:r>
              <w:t xml:space="preserve">2,763</w:t>
            </w:r>
          </w:p>
        </w:tc>
        <w:tc>
          <w:tcPr/>
          <w:p>
            <w:pPr>
              <w:pStyle w:val="Compact"/>
              <w:jc w:val="left"/>
            </w:pPr>
            <w:r>
              <w:t xml:space="preserve">2,746</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OK</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103</w:t>
            </w:r>
          </w:p>
        </w:tc>
      </w:tr>
      <w:tr>
        <w:tc>
          <w:tcPr/>
          <w:p>
            <w:pPr>
              <w:pStyle w:val="Compact"/>
              <w:jc w:val="left"/>
            </w:pPr>
            <w:r>
              <w:t xml:space="preserve">7</w:t>
            </w:r>
          </w:p>
        </w:tc>
        <w:tc>
          <w:tcPr/>
          <w:p>
            <w:pPr>
              <w:pStyle w:val="Compact"/>
              <w:jc w:val="left"/>
            </w:pPr>
            <w:r>
              <w:t xml:space="preserve">10,000</w:t>
            </w:r>
          </w:p>
        </w:tc>
        <w:tc>
          <w:tcPr/>
          <w:p>
            <w:pPr>
              <w:pStyle w:val="Compact"/>
              <w:jc w:val="left"/>
            </w:pPr>
            <w:r>
              <w:t xml:space="preserve">2,720</w:t>
            </w:r>
          </w:p>
        </w:tc>
        <w:tc>
          <w:tcPr/>
          <w:p>
            <w:pPr>
              <w:pStyle w:val="Compact"/>
              <w:jc w:val="left"/>
            </w:pPr>
            <w:r>
              <w:t xml:space="preserve">2,703</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OK</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103</w:t>
            </w:r>
          </w:p>
        </w:tc>
      </w:tr>
      <w:tr>
        <w:tc>
          <w:tcPr/>
          <w:p>
            <w:pPr>
              <w:pStyle w:val="Compact"/>
              <w:jc w:val="left"/>
            </w:pPr>
            <w:r>
              <w:t xml:space="preserve">42</w:t>
            </w:r>
          </w:p>
        </w:tc>
        <w:tc>
          <w:tcPr/>
          <w:p>
            <w:pPr>
              <w:pStyle w:val="Compact"/>
              <w:jc w:val="left"/>
            </w:pPr>
            <w:r>
              <w:t xml:space="preserve">10,000</w:t>
            </w:r>
          </w:p>
        </w:tc>
        <w:tc>
          <w:tcPr/>
          <w:p>
            <w:pPr>
              <w:pStyle w:val="Compact"/>
              <w:jc w:val="left"/>
            </w:pPr>
            <w:r>
              <w:t xml:space="preserve">2,692</w:t>
            </w:r>
          </w:p>
        </w:tc>
        <w:tc>
          <w:tcPr/>
          <w:p>
            <w:pPr>
              <w:pStyle w:val="Compact"/>
              <w:jc w:val="left"/>
            </w:pPr>
            <w:r>
              <w:t xml:space="preserve">2,675</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OK</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103</w:t>
            </w:r>
          </w:p>
        </w:tc>
      </w:tr>
      <w:tr>
        <w:tc>
          <w:tcPr/>
          <w:p>
            <w:pPr>
              <w:pStyle w:val="Compact"/>
              <w:jc w:val="left"/>
            </w:pPr>
            <w:r>
              <w:t xml:space="preserve">100</w:t>
            </w:r>
          </w:p>
        </w:tc>
        <w:tc>
          <w:tcPr/>
          <w:p>
            <w:pPr>
              <w:pStyle w:val="Compact"/>
              <w:jc w:val="left"/>
            </w:pPr>
            <w:r>
              <w:t xml:space="preserve">10,000</w:t>
            </w:r>
          </w:p>
        </w:tc>
        <w:tc>
          <w:tcPr/>
          <w:p>
            <w:pPr>
              <w:pStyle w:val="Compact"/>
              <w:jc w:val="left"/>
            </w:pPr>
            <w:r>
              <w:t xml:space="preserve">2,705</w:t>
            </w:r>
          </w:p>
        </w:tc>
        <w:tc>
          <w:tcPr/>
          <w:p>
            <w:pPr>
              <w:pStyle w:val="Compact"/>
              <w:jc w:val="left"/>
            </w:pPr>
            <w:r>
              <w:t xml:space="preserve">2,688</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OK</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103</w:t>
            </w:r>
          </w:p>
        </w:tc>
      </w:tr>
      <w:tr>
        <w:tc>
          <w:tcPr/>
          <w:p>
            <w:pPr>
              <w:pStyle w:val="Compact"/>
              <w:jc w:val="left"/>
            </w:pPr>
            <w:r>
              <w:t xml:space="preserve">2024</w:t>
            </w:r>
          </w:p>
        </w:tc>
        <w:tc>
          <w:tcPr/>
          <w:p>
            <w:pPr>
              <w:pStyle w:val="Compact"/>
              <w:jc w:val="left"/>
            </w:pPr>
            <w:r>
              <w:t xml:space="preserve">10,000</w:t>
            </w:r>
          </w:p>
        </w:tc>
        <w:tc>
          <w:tcPr/>
          <w:p>
            <w:pPr>
              <w:pStyle w:val="Compact"/>
              <w:jc w:val="left"/>
            </w:pPr>
            <w:r>
              <w:t xml:space="preserve">2,705</w:t>
            </w:r>
          </w:p>
        </w:tc>
        <w:tc>
          <w:tcPr/>
          <w:p>
            <w:pPr>
              <w:pStyle w:val="Compact"/>
              <w:jc w:val="left"/>
            </w:pPr>
            <w:r>
              <w:t xml:space="preserve">2,688</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OK</w:t>
            </w:r>
          </w:p>
        </w:tc>
        <w:tc>
          <w:tcPr/>
          <w:p>
            <w:pPr>
              <w:pStyle w:val="Compact"/>
              <w:jc w:val="left"/>
            </w:pPr>
            <w:r>
              <w:rPr>
                <w:bCs/>
                <w:b/>
              </w:rPr>
              <w:t xml:space="preserve">0</w:t>
            </w:r>
          </w:p>
        </w:tc>
        <w:tc>
          <w:tcPr/>
          <w:p>
            <w:pPr>
              <w:pStyle w:val="Compact"/>
              <w:jc w:val="left"/>
            </w:pPr>
            <w:r>
              <w:t xml:space="preserve">OK</w:t>
            </w:r>
          </w:p>
        </w:tc>
        <w:tc>
          <w:tcPr/>
          <w:p>
            <w:pPr>
              <w:pStyle w:val="Compact"/>
              <w:jc w:val="left"/>
            </w:pPr>
            <w:r>
              <w:t xml:space="preserve">103</w:t>
            </w:r>
          </w:p>
        </w:tc>
      </w:tr>
    </w:tbl>
    <w:p>
      <w:pPr>
        <w:pStyle w:val="BodyText"/>
      </w:pPr>
      <w:r>
        <w:rPr>
          <w:iCs/>
          <w:i/>
        </w:rPr>
        <w:t xml:space="preserve">Table 9.1 — Correctness under adversarial interleaving of commit, read, evict, upquery and replay. Every check passed on every seed.</w:t>
      </w:r>
    </w:p>
    <w:p>
      <w:pPr>
        <w:pStyle w:val="BodyText"/>
      </w:pPr>
      <w:r>
        <w:t xml:space="preserve">Each column corresponds to a named guarantee.</w:t>
      </w:r>
      <w:r>
        <w:t xml:space="preserve"> </w:t>
      </w:r>
      <w:r>
        <w:rPr>
          <w:bCs/>
          <w:b/>
        </w:rPr>
        <w:t xml:space="preserve">Divergences = 0</w:t>
      </w:r>
      <w:r>
        <w:t xml:space="preserve"> </w:t>
      </w:r>
      <w:r>
        <w:t xml:space="preserve">is the executable form of the reconstruction theorem (SC1): across roughly 13,600 reconstructions, no reconstructed value ever differed from the independent fold at the same anchor.</w:t>
      </w:r>
      <w:r>
        <w:t xml:space="preserve"> </w:t>
      </w:r>
      <w:r>
        <w:rPr>
          <w:bCs/>
          <w:b/>
        </w:rPr>
        <w:t xml:space="preserve">Conservation = OK</w:t>
      </w:r>
      <w:r>
        <w:t xml:space="preserve"> </w:t>
      </w:r>
      <w:r>
        <w:t xml:space="preserve">is the per-currency system total remaining exactly zero at the end of every run, which is the conservation corollary under continuous eviction and refill.</w:t>
      </w:r>
      <w:r>
        <w:t xml:space="preserve"> </w:t>
      </w:r>
      <w:r>
        <w:rPr>
          <w:bCs/>
          <w:b/>
        </w:rPr>
        <w:t xml:space="preserve">Rebuild mismatches = 0</w:t>
      </w:r>
      <w:r>
        <w:t xml:space="preserve"> </w:t>
      </w:r>
      <w:r>
        <w:t xml:space="preserve">is the reconstruction-equivalence property of F4: the entire derived layer was wiped and rebuilt from the retained base alone, and all 40 balances matched their pre-wipe values exactly.</w:t>
      </w:r>
      <w:r>
        <w:t xml:space="preserve"> </w:t>
      </w:r>
      <w:r>
        <w:rPr>
          <w:bCs/>
          <w:b/>
        </w:rPr>
        <w:t xml:space="preserve">Miss ≠ 0 = OK</w:t>
      </w:r>
      <w:r>
        <w:t xml:space="preserve"> </w:t>
      </w:r>
      <w:r>
        <w:t xml:space="preserve">is the absence-lattice discipline: after a total wipe, reading a funded account returned its correct non-zero balance</w:t>
      </w:r>
      <w:r>
        <w:t xml:space="preserve"> </w:t>
      </w:r>
      <w:r>
        <w:rPr>
          <w:iCs/>
          <w:i/>
        </w:rPr>
        <w:t xml:space="preserve">via reconstruction</w:t>
      </w:r>
      <w:r>
        <w:t xml:space="preserve">, not a silent zero from an empty slot.</w:t>
      </w:r>
      <w:r>
        <w:t xml:space="preserve"> </w:t>
      </w:r>
      <w:r>
        <w:rPr>
          <w:bCs/>
          <w:b/>
        </w:rPr>
        <w:t xml:space="preserve">Idempotent rejects = 103</w:t>
      </w:r>
      <w:r>
        <w:t xml:space="preserve"> </w:t>
      </w:r>
      <w:r>
        <w:t xml:space="preserve">confirms that every replayed key was refused rather than double-posted.</w:t>
      </w:r>
    </w:p>
    <w:p>
      <w:pPr>
        <w:pStyle w:val="BodyText"/>
      </w:pPr>
      <w:r>
        <w:t xml:space="preserve">Separately, mutating a single committed posting broke chain verification, as required: tamper-evidence is detection relative to a retained digest, and the digest detected it.</w:t>
      </w:r>
    </w:p>
    <w:bookmarkEnd w:id="152"/>
    <w:bookmarkStart w:id="153" w:name="what-this-does-and-does-not-establish"/>
    <w:p>
      <w:pPr>
        <w:pStyle w:val="Heading3"/>
      </w:pPr>
      <w:r>
        <w:t xml:space="preserve">9.2.2 What this does and does not establish</w:t>
      </w:r>
    </w:p>
    <w:p>
      <w:pPr>
        <w:pStyle w:val="FirstParagraph"/>
      </w:pPr>
      <w:r>
        <w:t xml:space="preserve">It establishes that the guarantees are mutually consistent and executable, and that the mechanisms implement them under adversarial schedules. It does</w:t>
      </w:r>
      <w:r>
        <w:t xml:space="preserve"> </w:t>
      </w:r>
      <w:r>
        <w:rPr>
          <w:bCs/>
          <w:b/>
        </w:rPr>
        <w:t xml:space="preserve">not</w:t>
      </w:r>
      <w:r>
        <w:t xml:space="preserve"> </w:t>
      </w:r>
      <w:r>
        <w:t xml:space="preserve">establish strict serializability, and the distinction is not pedantic: a published Jepsen analysis of a production distributed SQL system found that its bank tests</w:t>
      </w:r>
      <w:r>
        <w:t xml:space="preserve"> </w:t>
      </w:r>
      <w:r>
        <w:t xml:space="preserve">“</w:t>
      </w:r>
      <w:r>
        <w:t xml:space="preserve">passed consistently</w:t>
      </w:r>
      <w:r>
        <w:t xml:space="preserve">”</w:t>
      </w:r>
      <w:r>
        <w:t xml:space="preserve"> </w:t>
      </w:r>
      <w:r>
        <w:t xml:space="preserve">while a</w:t>
      </w:r>
      <w:r>
        <w:t xml:space="preserve"> </w:t>
      </w:r>
      <w:r>
        <w:rPr>
          <w:iCs/>
          <w:i/>
        </w:rPr>
        <w:t xml:space="preserve">causal reverse</w:t>
      </w:r>
      <w:r>
        <w:t xml:space="preserve"> </w:t>
      </w:r>
      <w:r>
        <w:t xml:space="preserve">anomaly demonstrated the system was serializable but</w:t>
      </w:r>
      <w:r>
        <w:t xml:space="preserve"> </w:t>
      </w:r>
      <w:r>
        <w:rPr>
          <w:bCs/>
          <w:b/>
        </w:rPr>
        <w:t xml:space="preserve">not</w:t>
      </w:r>
      <w:r>
        <w:t xml:space="preserve"> </w:t>
      </w:r>
      <w:r>
        <w:t xml:space="preserve">strictly serializable. A conservation-of-money suite is therefore strictly weaker than the top rung of the consistency ladder, and this thesis must not present one as evidence for the other.</w:t>
      </w:r>
    </w:p>
    <w:p>
      <w:pPr>
        <w:pStyle w:val="BodyText"/>
      </w:pPr>
      <w:r>
        <w:t xml:space="preserve">The methodological consequence, adopted in §9.6, is that the correctness programme needs a second instrument: black-box anomaly inference over recorded histories in the style of Elle, which infers an Adya-style dependency graph and detects cycles, and is</w:t>
      </w:r>
      <w:r>
        <w:t xml:space="preserve"> </w:t>
      </w:r>
      <w:r>
        <w:rPr>
          <w:iCs/>
          <w:i/>
        </w:rPr>
        <w:t xml:space="preserve">sound</w:t>
      </w:r>
      <w:r>
        <w:t xml:space="preserve"> </w:t>
      </w:r>
      <w:r>
        <w:t xml:space="preserve">— an anomaly it reports is present in every interpretation of the observation. There is a pleasing structural fit here. Elle’s power depends on</w:t>
      </w:r>
      <w:r>
        <w:t xml:space="preserve"> </w:t>
      </w:r>
      <w:r>
        <w:rPr>
          <w:iCs/>
          <w:i/>
        </w:rPr>
        <w:t xml:space="preserve">traceability</w:t>
      </w:r>
      <w:r>
        <w:t xml:space="preserve">: a data model from which the complete version history can be recovered by reading, for which append-only list structures are the canonical example. An append-only, hash-chained ledger is precisely such a model.</w:t>
      </w:r>
      <w:r>
        <w:t xml:space="preserve"> </w:t>
      </w:r>
      <w:r>
        <w:rPr>
          <w:bCs/>
          <w:b/>
        </w:rPr>
        <w:t xml:space="preserve">The architecture this thesis proposes is unusually amenable to black-box verification, and that is an argument for it that neither the earlier draft nor the prior literature makes.</w:t>
      </w:r>
    </w:p>
    <w:bookmarkEnd w:id="153"/>
    <w:bookmarkStart w:id="154" w:name="streamrelation-duality-measured"/>
    <w:p>
      <w:pPr>
        <w:pStyle w:val="Heading3"/>
      </w:pPr>
      <w:r>
        <w:t xml:space="preserve">9.2.3 Stream–relation duality (measured)</w:t>
      </w:r>
    </w:p>
    <w:p>
      <w:pPr>
        <w:pStyle w:val="FirstParagraph"/>
      </w:pPr>
      <w:r>
        <w:t xml:space="preserve">The duality of F2 was checked executably as well as proved. For each of five seeds, a 200-epoch changelog of signed Z-set deltas over 50 keys was generated; the state sequence was obtained by integration, then differentiated back to a changelog, then re-integrated, and the two state sequences were compared as canonical Z-sets — equal supports, equal weights — at</w:t>
      </w:r>
      <w:r>
        <w:t xml:space="preserve"> </w:t>
      </w:r>
      <w:r>
        <w:rPr>
          <w:iCs/>
          <w:i/>
        </w:rPr>
        <w:t xml:space="preserve">every</w:t>
      </w:r>
      <w:r>
        <w:t xml:space="preserve"> </w:t>
      </w:r>
      <w:r>
        <w:t xml:space="preserve">epoch.</w:t>
      </w:r>
    </w:p>
    <w:p>
      <w:pPr>
        <w:pStyle w:val="BodyText"/>
      </w:pPr>
      <w:r>
        <w:rPr>
          <w:bCs/>
          <w:b/>
        </w:rPr>
        <w:t xml:space="preserve">1,000 epoch-by-epoch comparisons; 0 mismatches.</w:t>
      </w:r>
    </w:p>
    <w:p>
      <w:pPr>
        <w:pStyle w:val="BodyText"/>
      </w:pPr>
      <w:r>
        <w:t xml:space="preserve">The deltas include negative weights, so the check covers retraction and not merely accumulation. This is corroboration of a theorem, not a substitute for it: the proof is in §3.8, and the operator identities it rests on are machine-checked in the DBSP development.</w:t>
      </w:r>
    </w:p>
    <w:bookmarkEnd w:id="154"/>
    <w:bookmarkEnd w:id="155"/>
    <w:bookmarkStart w:id="161" w:name="Xc3cbb152c9a0bab5155e3d616fa000630a349d3"/>
    <w:p>
      <w:pPr>
        <w:pStyle w:val="Heading2"/>
      </w:pPr>
      <w:r>
        <w:t xml:space="preserve">9.3 The Phase Diagram (Measured) — and the Hypothesis It Refutes</w:t>
      </w:r>
    </w:p>
    <w:bookmarkStart w:id="156" w:name="X162637369ca5316efd6109d4d4fbac7a1de9fcf"/>
    <w:p>
      <w:pPr>
        <w:pStyle w:val="Heading3"/>
      </w:pPr>
      <w:r>
        <w:t xml:space="preserve">9.3.1 The cost model, and why it is swept rather than fixed</w:t>
      </w:r>
    </w:p>
    <w:p>
      <w:pPr>
        <w:pStyle w:val="FirstParagraph"/>
      </w:pPr>
      <w:r>
        <w:t xml:space="preserve">Comparing materialization strategies requires pricing three different things: memory held over time, maintenance work, and reconstruction work. The prototype counts each directly:</w:t>
      </w:r>
    </w:p>
    <w:p>
      <w:pPr>
        <w:numPr>
          <w:ilvl w:val="0"/>
          <w:numId w:val="1016"/>
        </w:numPr>
        <w:pStyle w:val="Compact"/>
      </w:pPr>
      <w:r>
        <w:rPr>
          <w:bCs/>
          <w:b/>
        </w:rPr>
        <w:t xml:space="preserve">resident-entry-epochs</w:t>
      </w:r>
      <w:r>
        <w:t xml:space="preserve"> </w:t>
      </w:r>
      <w:r>
        <w:t xml:space="preserve">— the integral of residency over time, not peak residency, because charging peak for the whole run would overstate the cost of a strategy whose footprint grows gradually, which is exactly what full materialization does;</w:t>
      </w:r>
    </w:p>
    <w:p>
      <w:pPr>
        <w:numPr>
          <w:ilvl w:val="0"/>
          <w:numId w:val="1016"/>
        </w:numPr>
        <w:pStyle w:val="Compact"/>
      </w:pPr>
      <w:r>
        <w:rPr>
          <w:bCs/>
          <w:b/>
        </w:rPr>
        <w:t xml:space="preserve">deltas applied</w:t>
      </w:r>
      <w:r>
        <w:t xml:space="preserve"> </w:t>
      </w:r>
      <w:r>
        <w:t xml:space="preserve">— per-key maintenance actually performed;</w:t>
      </w:r>
    </w:p>
    <w:p>
      <w:pPr>
        <w:numPr>
          <w:ilvl w:val="0"/>
          <w:numId w:val="1016"/>
        </w:numPr>
        <w:pStyle w:val="Compact"/>
      </w:pPr>
      <w:r>
        <w:rPr>
          <w:bCs/>
          <w:b/>
        </w:rPr>
        <w:t xml:space="preserve">base rows read</w:t>
      </w:r>
      <w:r>
        <w:t xml:space="preserve"> </w:t>
      </w:r>
      <w:r>
        <w:t xml:space="preserve">— reconstruction work actually performed.</w:t>
      </w:r>
    </w:p>
    <w:p>
      <w:pPr>
        <w:pStyle w:val="FirstParagraph"/>
      </w:pPr>
      <w:r>
        <w:t xml:space="preserve">Total cost is a weighted sum. Maintenance and reconstruction are fixed at 1 unit each, and</w:t>
      </w:r>
      <w:r>
        <w:t xml:space="preserve"> </w:t>
      </w:r>
      <w:r>
        <w:rPr>
          <w:bCs/>
          <w:b/>
        </w:rPr>
        <w:t xml:space="preserve">the memory price is swept</w:t>
      </w:r>
      <w:r>
        <w:t xml:space="preserve">, expressed in units of</w:t>
      </w:r>
      <w:r>
        <w:t xml:space="preserve"> </w:t>
      </w:r>
      <w:r>
        <w:t xml:space="preserve">“</w:t>
      </w:r>
      <w:r>
        <w:t xml:space="preserve">one base-row read, per resident entry, per epoch.</w:t>
      </w:r>
      <w:r>
        <w:t xml:space="preserve">”</w:t>
      </w:r>
      <w:r>
        <w:t xml:space="preserve"> </w:t>
      </w:r>
      <w:r>
        <w:t xml:space="preserve">Sweeping it rather than fixing it is the difference between a result and an artifact: at a memory price of zero the answer is trivially</w:t>
      </w:r>
      <w:r>
        <w:t xml:space="preserve"> </w:t>
      </w:r>
      <w:r>
        <w:t xml:space="preserve">“</w:t>
      </w:r>
      <w:r>
        <w:t xml:space="preserve">materialize everything,</w:t>
      </w:r>
      <w:r>
        <w:t xml:space="preserve">”</w:t>
      </w:r>
      <w:r>
        <w:t xml:space="preserve"> </w:t>
      </w:r>
      <w:r>
        <w:t xml:space="preserve">and any single chosen weight would smuggle the conclusion into the premise. A reader can locate their own hardware on this axis by asking what one resident entry-epoch costs them relative to one base-row read.</w:t>
      </w:r>
    </w:p>
    <w:p>
      <w:pPr>
        <w:pStyle w:val="BodyText"/>
      </w:pPr>
      <w:r>
        <w:t xml:space="preserve">An earlier version of this experiment charged peak residency times total epochs. That made the memory term dominate everything, and produced a</w:t>
      </w:r>
      <w:r>
        <w:t xml:space="preserve"> </w:t>
      </w:r>
      <w:r>
        <w:t xml:space="preserve">“</w:t>
      </w:r>
      <w:r>
        <w:t xml:space="preserve">phase diagram</w:t>
      </w:r>
      <w:r>
        <w:t xml:space="preserve">”</w:t>
      </w:r>
      <w:r>
        <w:t xml:space="preserve"> </w:t>
      </w:r>
      <w:r>
        <w:t xml:space="preserve">in which partial materialization won in every cell. It was discarded as an artifact of the weighting, and the correction is recorded here because the failure mode — a cost model that encodes its own conclusion — is easy to commit and hard to spot in a table of ratios.</w:t>
      </w:r>
    </w:p>
    <w:bookmarkEnd w:id="156"/>
    <w:bookmarkStart w:id="157" w:name="cost-components"/>
    <w:p>
      <w:pPr>
        <w:pStyle w:val="Heading3"/>
      </w:pPr>
      <w:r>
        <w:t xml:space="preserve">9.3.2 Cost components</w:t>
      </w:r>
    </w:p>
    <w:p>
      <w:pPr>
        <w:pStyle w:val="FirstParagraph"/>
      </w:pPr>
      <w:r>
        <w:t xml:space="preserve">Workload: 10,000 accounts, 30,000 operations, 90% reads, budget = 5% of the key space, LRU eviction; medians over five seeds.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Zipf</w:t>
            </w:r>
            <w:r>
              <w:t xml:space="preserve"> </w:t>
            </w:r>
            <w:r>
              <w:rPr>
                <w:iCs/>
                <w:i/>
              </w:rPr>
              <w:t xml:space="preserve">s</w:t>
            </w:r>
          </w:p>
        </w:tc>
        <w:tc>
          <w:tcPr/>
          <w:p>
            <w:pPr>
              <w:pStyle w:val="Compact"/>
              <w:jc w:val="left"/>
            </w:pPr>
            <w:r>
              <w:t xml:space="preserve">Resident-entry-epochs (partial / full)</w:t>
            </w:r>
          </w:p>
        </w:tc>
        <w:tc>
          <w:tcPr/>
          <w:p>
            <w:pPr>
              <w:pStyle w:val="Compact"/>
              <w:jc w:val="left"/>
            </w:pPr>
            <w:r>
              <w:t xml:space="preserve">Base rows read (partial / full)</w:t>
            </w:r>
          </w:p>
        </w:tc>
        <w:tc>
          <w:tcPr/>
          <w:p>
            <w:pPr>
              <w:pStyle w:val="Compact"/>
              <w:jc w:val="left"/>
            </w:pPr>
            <w:r>
              <w:t xml:space="preserve">Deltas applied (partial / full)</w:t>
            </w:r>
          </w:p>
        </w:tc>
      </w:tr>
      <w:tr>
        <w:tc>
          <w:tcPr/>
          <w:p>
            <w:pPr>
              <w:pStyle w:val="Compact"/>
              <w:jc w:val="left"/>
            </w:pPr>
            <w:r>
              <w:t xml:space="preserve">0.5</w:t>
            </w:r>
          </w:p>
        </w:tc>
        <w:tc>
          <w:tcPr/>
          <w:p>
            <w:pPr>
              <w:pStyle w:val="Compact"/>
              <w:jc w:val="left"/>
            </w:pPr>
            <w:r>
              <w:t xml:space="preserve">1,484,276 / 17,559,969</w:t>
            </w:r>
          </w:p>
        </w:tc>
        <w:tc>
          <w:tcPr/>
          <w:p>
            <w:pPr>
              <w:pStyle w:val="Compact"/>
              <w:jc w:val="left"/>
            </w:pPr>
            <w:r>
              <w:t xml:space="preserve">36,690 / 10,025</w:t>
            </w:r>
          </w:p>
        </w:tc>
        <w:tc>
          <w:tcPr/>
          <w:p>
            <w:pPr>
              <w:pStyle w:val="Compact"/>
              <w:jc w:val="left"/>
            </w:pPr>
            <w:r>
              <w:t xml:space="preserve">593 / 4,040</w:t>
            </w:r>
          </w:p>
        </w:tc>
      </w:tr>
      <w:tr>
        <w:tc>
          <w:tcPr/>
          <w:p>
            <w:pPr>
              <w:pStyle w:val="Compact"/>
              <w:jc w:val="left"/>
            </w:pPr>
            <w:r>
              <w:t xml:space="preserve">0.7</w:t>
            </w:r>
          </w:p>
        </w:tc>
        <w:tc>
          <w:tcPr/>
          <w:p>
            <w:pPr>
              <w:pStyle w:val="Compact"/>
              <w:jc w:val="left"/>
            </w:pPr>
            <w:r>
              <w:t xml:space="preserve">1,483,534 / 15,200,887</w:t>
            </w:r>
          </w:p>
        </w:tc>
        <w:tc>
          <w:tcPr/>
          <w:p>
            <w:pPr>
              <w:pStyle w:val="Compact"/>
              <w:jc w:val="left"/>
            </w:pPr>
            <w:r>
              <w:t xml:space="preserve">36,335 / 8,838</w:t>
            </w:r>
          </w:p>
        </w:tc>
        <w:tc>
          <w:tcPr/>
          <w:p>
            <w:pPr>
              <w:pStyle w:val="Compact"/>
              <w:jc w:val="left"/>
            </w:pPr>
            <w:r>
              <w:t xml:space="preserve">1,335 / 4,237</w:t>
            </w:r>
          </w:p>
        </w:tc>
      </w:tr>
      <w:tr>
        <w:tc>
          <w:tcPr/>
          <w:p>
            <w:pPr>
              <w:pStyle w:val="Compact"/>
              <w:jc w:val="left"/>
            </w:pPr>
            <w:r>
              <w:t xml:space="preserve">0.9</w:t>
            </w:r>
          </w:p>
        </w:tc>
        <w:tc>
          <w:tcPr/>
          <w:p>
            <w:pPr>
              <w:pStyle w:val="Compact"/>
              <w:jc w:val="left"/>
            </w:pPr>
            <w:r>
              <w:t xml:space="preserve">1,479,730 / 11,560,348</w:t>
            </w:r>
          </w:p>
        </w:tc>
        <w:tc>
          <w:tcPr/>
          <w:p>
            <w:pPr>
              <w:pStyle w:val="Compact"/>
              <w:jc w:val="left"/>
            </w:pPr>
            <w:r>
              <w:t xml:space="preserve">26,767 / 6,813</w:t>
            </w:r>
          </w:p>
        </w:tc>
        <w:tc>
          <w:tcPr/>
          <w:p>
            <w:pPr>
              <w:pStyle w:val="Compact"/>
              <w:jc w:val="left"/>
            </w:pPr>
            <w:r>
              <w:t xml:space="preserve">2,701 / 4,613</w:t>
            </w:r>
          </w:p>
        </w:tc>
      </w:tr>
      <w:tr>
        <w:tc>
          <w:tcPr/>
          <w:p>
            <w:pPr>
              <w:pStyle w:val="Compact"/>
              <w:jc w:val="left"/>
            </w:pPr>
            <w:r>
              <w:t xml:space="preserve">1.1</w:t>
            </w:r>
          </w:p>
        </w:tc>
        <w:tc>
          <w:tcPr/>
          <w:p>
            <w:pPr>
              <w:pStyle w:val="Compact"/>
              <w:jc w:val="left"/>
            </w:pPr>
            <w:r>
              <w:t xml:space="preserve">1,467,457 / 7,281,624</w:t>
            </w:r>
          </w:p>
        </w:tc>
        <w:tc>
          <w:tcPr/>
          <w:p>
            <w:pPr>
              <w:pStyle w:val="Compact"/>
              <w:jc w:val="left"/>
            </w:pPr>
            <w:r>
              <w:t xml:space="preserve">12,987 / 4,376</w:t>
            </w:r>
          </w:p>
        </w:tc>
        <w:tc>
          <w:tcPr/>
          <w:p>
            <w:pPr>
              <w:pStyle w:val="Compact"/>
              <w:jc w:val="left"/>
            </w:pPr>
            <w:r>
              <w:t xml:space="preserve">4,213 / 5,091</w:t>
            </w:r>
          </w:p>
        </w:tc>
      </w:tr>
      <w:tr>
        <w:tc>
          <w:tcPr/>
          <w:p>
            <w:pPr>
              <w:pStyle w:val="Compact"/>
              <w:jc w:val="left"/>
            </w:pPr>
            <w:r>
              <w:t xml:space="preserve">1.3</w:t>
            </w:r>
          </w:p>
        </w:tc>
        <w:tc>
          <w:tcPr/>
          <w:p>
            <w:pPr>
              <w:pStyle w:val="Compact"/>
              <w:jc w:val="left"/>
            </w:pPr>
            <w:r>
              <w:t xml:space="preserve">1,430,876 / 3,885,194</w:t>
            </w:r>
          </w:p>
        </w:tc>
        <w:tc>
          <w:tcPr/>
          <w:p>
            <w:pPr>
              <w:pStyle w:val="Compact"/>
              <w:jc w:val="left"/>
            </w:pPr>
            <w:r>
              <w:t xml:space="preserve">4,480 / 2,325</w:t>
            </w:r>
          </w:p>
        </w:tc>
        <w:tc>
          <w:tcPr/>
          <w:p>
            <w:pPr>
              <w:pStyle w:val="Compact"/>
              <w:jc w:val="left"/>
            </w:pPr>
            <w:r>
              <w:t xml:space="preserve">5,265 / 5,531</w:t>
            </w:r>
          </w:p>
        </w:tc>
      </w:tr>
    </w:tbl>
    <w:p>
      <w:pPr>
        <w:pStyle w:val="BodyText"/>
      </w:pPr>
      <w:r>
        <w:rPr>
          <w:iCs/>
          <w:i/>
        </w:rPr>
        <w:t xml:space="preserve">Table 9.2 — The three cost components, measured. Partial materialization always holds less state and applies fewer deltas; it always reads more base rows.</w:t>
      </w:r>
    </w:p>
    <w:bookmarkEnd w:id="157"/>
    <w:bookmarkStart w:id="158" w:name="the-measured-phase-diagram"/>
    <w:p>
      <w:pPr>
        <w:pStyle w:val="Heading3"/>
      </w:pPr>
      <w:r>
        <w:t xml:space="preserve">9.3.3 The measured phase diagram</w:t>
      </w:r>
    </w:p>
    <w:p>
      <w:pPr>
        <w:pStyle w:val="FirstParagraph"/>
      </w:pPr>
      <w:r>
        <w:t xml:space="preserve">Each cell is the median over five seeds of cost(partial) / cost(full) on identical workloads. Values below 1.00 favour partial materialization.</w:t>
      </w:r>
    </w:p>
    <w:p>
      <w:pPr>
        <w:pStyle w:val="BodyText"/>
      </w:pPr>
      <w:r>
        <w:rPr>
          <w:bCs/>
          <w:b/>
        </w:rPr>
        <w:t xml:space="preserve">Memory price = 0</w:t>
      </w:r>
      <w:r>
        <w:t xml:space="preserve"> </w:t>
      </w:r>
      <w:r>
        <w:t xml:space="preserve">(memory free)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budget  </w:t>
            </w:r>
            <w:r>
              <w:rPr>
                <w:iCs/>
                <w:i/>
              </w:rPr>
              <w:t xml:space="preserve">s</w:t>
            </w:r>
          </w:p>
        </w:tc>
        <w:tc>
          <w:tcPr/>
          <w:p>
            <w:pPr>
              <w:pStyle w:val="Compact"/>
              <w:jc w:val="left"/>
            </w:pPr>
            <w:r>
              <w:t xml:space="preserve">0.5</w:t>
            </w:r>
          </w:p>
        </w:tc>
        <w:tc>
          <w:tcPr/>
          <w:p>
            <w:pPr>
              <w:pStyle w:val="Compact"/>
              <w:jc w:val="left"/>
            </w:pPr>
            <w:r>
              <w:t xml:space="preserve">0.7</w:t>
            </w:r>
          </w:p>
        </w:tc>
        <w:tc>
          <w:tcPr/>
          <w:p>
            <w:pPr>
              <w:pStyle w:val="Compact"/>
              <w:jc w:val="left"/>
            </w:pPr>
            <w:r>
              <w:t xml:space="preserve">0.9</w:t>
            </w:r>
          </w:p>
        </w:tc>
        <w:tc>
          <w:tcPr/>
          <w:p>
            <w:pPr>
              <w:pStyle w:val="Compact"/>
              <w:jc w:val="left"/>
            </w:pPr>
            <w:r>
              <w:t xml:space="preserve">1.1</w:t>
            </w:r>
          </w:p>
        </w:tc>
        <w:tc>
          <w:tcPr/>
          <w:p>
            <w:pPr>
              <w:pStyle w:val="Compact"/>
              <w:jc w:val="left"/>
            </w:pPr>
            <w:r>
              <w:t xml:space="preserve">1.3</w:t>
            </w:r>
          </w:p>
        </w:tc>
      </w:tr>
      <w:tr>
        <w:tc>
          <w:tcPr/>
          <w:p>
            <w:pPr>
              <w:pStyle w:val="Compact"/>
              <w:jc w:val="left"/>
            </w:pPr>
            <w:r>
              <w:t xml:space="preserve">1%</w:t>
            </w:r>
          </w:p>
        </w:tc>
        <w:tc>
          <w:tcPr/>
          <w:p>
            <w:pPr>
              <w:pStyle w:val="Compact"/>
              <w:jc w:val="left"/>
            </w:pPr>
            <w:r>
              <w:t xml:space="preserve">3.11</w:t>
            </w:r>
          </w:p>
        </w:tc>
        <w:tc>
          <w:tcPr/>
          <w:p>
            <w:pPr>
              <w:pStyle w:val="Compact"/>
              <w:jc w:val="left"/>
            </w:pPr>
            <w:r>
              <w:t xml:space="preserve">5.33</w:t>
            </w:r>
          </w:p>
        </w:tc>
        <w:tc>
          <w:tcPr/>
          <w:p>
            <w:pPr>
              <w:pStyle w:val="Compact"/>
              <w:jc w:val="left"/>
            </w:pPr>
            <w:r>
              <w:t xml:space="preserve">7.47</w:t>
            </w:r>
          </w:p>
        </w:tc>
        <w:tc>
          <w:tcPr/>
          <w:p>
            <w:pPr>
              <w:pStyle w:val="Compact"/>
              <w:jc w:val="left"/>
            </w:pPr>
            <w:r>
              <w:t xml:space="preserve">6.36</w:t>
            </w:r>
          </w:p>
        </w:tc>
        <w:tc>
          <w:tcPr/>
          <w:p>
            <w:pPr>
              <w:pStyle w:val="Compact"/>
              <w:jc w:val="left"/>
            </w:pPr>
            <w:r>
              <w:t xml:space="preserve">3.67</w:t>
            </w:r>
          </w:p>
        </w:tc>
      </w:tr>
      <w:tr>
        <w:tc>
          <w:tcPr/>
          <w:p>
            <w:pPr>
              <w:pStyle w:val="Compact"/>
              <w:jc w:val="left"/>
            </w:pPr>
            <w:r>
              <w:t xml:space="preserve">2%</w:t>
            </w:r>
          </w:p>
        </w:tc>
        <w:tc>
          <w:tcPr/>
          <w:p>
            <w:pPr>
              <w:pStyle w:val="Compact"/>
              <w:jc w:val="left"/>
            </w:pPr>
            <w:r>
              <w:t xml:space="preserve">2.97</w:t>
            </w:r>
          </w:p>
        </w:tc>
        <w:tc>
          <w:tcPr/>
          <w:p>
            <w:pPr>
              <w:pStyle w:val="Compact"/>
              <w:jc w:val="left"/>
            </w:pPr>
            <w:r>
              <w:t xml:space="preserve">4.05</w:t>
            </w:r>
          </w:p>
        </w:tc>
        <w:tc>
          <w:tcPr/>
          <w:p>
            <w:pPr>
              <w:pStyle w:val="Compact"/>
              <w:jc w:val="left"/>
            </w:pPr>
            <w:r>
              <w:t xml:space="preserve">4.49</w:t>
            </w:r>
          </w:p>
        </w:tc>
        <w:tc>
          <w:tcPr/>
          <w:p>
            <w:pPr>
              <w:pStyle w:val="Compact"/>
              <w:jc w:val="left"/>
            </w:pPr>
            <w:r>
              <w:t xml:space="preserve">3.38</w:t>
            </w:r>
          </w:p>
        </w:tc>
        <w:tc>
          <w:tcPr/>
          <w:p>
            <w:pPr>
              <w:pStyle w:val="Compact"/>
              <w:jc w:val="left"/>
            </w:pPr>
            <w:r>
              <w:t xml:space="preserve">1.96</w:t>
            </w:r>
          </w:p>
        </w:tc>
      </w:tr>
      <w:tr>
        <w:tc>
          <w:tcPr/>
          <w:p>
            <w:pPr>
              <w:pStyle w:val="Compact"/>
              <w:jc w:val="left"/>
            </w:pPr>
            <w:r>
              <w:t xml:space="preserve">5%</w:t>
            </w:r>
          </w:p>
        </w:tc>
        <w:tc>
          <w:tcPr/>
          <w:p>
            <w:pPr>
              <w:pStyle w:val="Compact"/>
              <w:jc w:val="left"/>
            </w:pPr>
            <w:r>
              <w:t xml:space="preserve">2.65</w:t>
            </w:r>
          </w:p>
        </w:tc>
        <w:tc>
          <w:tcPr/>
          <w:p>
            <w:pPr>
              <w:pStyle w:val="Compact"/>
              <w:jc w:val="left"/>
            </w:pPr>
            <w:r>
              <w:t xml:space="preserve">2.88</w:t>
            </w:r>
          </w:p>
        </w:tc>
        <w:tc>
          <w:tcPr/>
          <w:p>
            <w:pPr>
              <w:pStyle w:val="Compact"/>
              <w:jc w:val="left"/>
            </w:pPr>
            <w:r>
              <w:t xml:space="preserve">2.57</w:t>
            </w:r>
          </w:p>
        </w:tc>
        <w:tc>
          <w:tcPr/>
          <w:p>
            <w:pPr>
              <w:pStyle w:val="Compact"/>
              <w:jc w:val="left"/>
            </w:pPr>
            <w:r>
              <w:t xml:space="preserve">1.81</w:t>
            </w:r>
          </w:p>
        </w:tc>
        <w:tc>
          <w:tcPr/>
          <w:p>
            <w:pPr>
              <w:pStyle w:val="Compact"/>
              <w:jc w:val="left"/>
            </w:pPr>
            <w:r>
              <w:t xml:space="preserve">1.25</w:t>
            </w:r>
          </w:p>
        </w:tc>
      </w:tr>
      <w:tr>
        <w:tc>
          <w:tcPr/>
          <w:p>
            <w:pPr>
              <w:pStyle w:val="Compact"/>
              <w:jc w:val="left"/>
            </w:pPr>
            <w:r>
              <w:t xml:space="preserve">10%</w:t>
            </w:r>
          </w:p>
        </w:tc>
        <w:tc>
          <w:tcPr/>
          <w:p>
            <w:pPr>
              <w:pStyle w:val="Compact"/>
              <w:jc w:val="left"/>
            </w:pPr>
            <w:r>
              <w:t xml:space="preserve">2.32</w:t>
            </w:r>
          </w:p>
        </w:tc>
        <w:tc>
          <w:tcPr/>
          <w:p>
            <w:pPr>
              <w:pStyle w:val="Compact"/>
              <w:jc w:val="left"/>
            </w:pPr>
            <w:r>
              <w:t xml:space="preserve">2.26</w:t>
            </w:r>
          </w:p>
        </w:tc>
        <w:tc>
          <w:tcPr/>
          <w:p>
            <w:pPr>
              <w:pStyle w:val="Compact"/>
              <w:jc w:val="left"/>
            </w:pPr>
            <w:r>
              <w:t xml:space="preserve">1.83</w:t>
            </w:r>
          </w:p>
        </w:tc>
        <w:tc>
          <w:tcPr/>
          <w:p>
            <w:pPr>
              <w:pStyle w:val="Compact"/>
              <w:jc w:val="left"/>
            </w:pPr>
            <w:r>
              <w:t xml:space="preserve">1.33</w:t>
            </w:r>
          </w:p>
        </w:tc>
        <w:tc>
          <w:tcPr/>
          <w:p>
            <w:pPr>
              <w:pStyle w:val="Compact"/>
              <w:jc w:val="left"/>
            </w:pPr>
            <w:r>
              <w:t xml:space="preserve">1.06</w:t>
            </w:r>
          </w:p>
        </w:tc>
      </w:tr>
      <w:tr>
        <w:tc>
          <w:tcPr/>
          <w:p>
            <w:pPr>
              <w:pStyle w:val="Compact"/>
              <w:jc w:val="left"/>
            </w:pPr>
            <w:r>
              <w:t xml:space="preserve">25%</w:t>
            </w:r>
          </w:p>
        </w:tc>
        <w:tc>
          <w:tcPr/>
          <w:p>
            <w:pPr>
              <w:pStyle w:val="Compact"/>
              <w:jc w:val="left"/>
            </w:pPr>
            <w:r>
              <w:t xml:space="preserve">1.80</w:t>
            </w:r>
          </w:p>
        </w:tc>
        <w:tc>
          <w:tcPr/>
          <w:p>
            <w:pPr>
              <w:pStyle w:val="Compact"/>
              <w:jc w:val="left"/>
            </w:pPr>
            <w:r>
              <w:t xml:space="preserve">1.56</w:t>
            </w:r>
          </w:p>
        </w:tc>
        <w:tc>
          <w:tcPr/>
          <w:p>
            <w:pPr>
              <w:pStyle w:val="Compact"/>
              <w:jc w:val="left"/>
            </w:pPr>
            <w:r>
              <w:t xml:space="preserve">1.25</w:t>
            </w:r>
          </w:p>
        </w:tc>
        <w:tc>
          <w:tcPr/>
          <w:p>
            <w:pPr>
              <w:pStyle w:val="Compact"/>
              <w:jc w:val="left"/>
            </w:pPr>
            <w:r>
              <w:t xml:space="preserve">1.04</w:t>
            </w:r>
          </w:p>
        </w:tc>
        <w:tc>
          <w:tcPr/>
          <w:p>
            <w:pPr>
              <w:pStyle w:val="Compact"/>
              <w:jc w:val="left"/>
            </w:pPr>
            <w:r>
              <w:t xml:space="preserve">1.00</w:t>
            </w:r>
          </w:p>
        </w:tc>
      </w:tr>
      <w:tr>
        <w:tc>
          <w:tcPr/>
          <w:p>
            <w:pPr>
              <w:pStyle w:val="Compact"/>
              <w:jc w:val="left"/>
            </w:pPr>
            <w:r>
              <w:t xml:space="preserve">50%</w:t>
            </w:r>
          </w:p>
        </w:tc>
        <w:tc>
          <w:tcPr/>
          <w:p>
            <w:pPr>
              <w:pStyle w:val="Compact"/>
              <w:jc w:val="left"/>
            </w:pPr>
            <w:r>
              <w:t xml:space="preserve">1.30</w:t>
            </w:r>
          </w:p>
        </w:tc>
        <w:tc>
          <w:tcPr/>
          <w:p>
            <w:pPr>
              <w:pStyle w:val="Compact"/>
              <w:jc w:val="left"/>
            </w:pPr>
            <w:r>
              <w:t xml:space="preserve">1.14</w:t>
            </w:r>
          </w:p>
        </w:tc>
        <w:tc>
          <w:tcPr/>
          <w:p>
            <w:pPr>
              <w:pStyle w:val="Compact"/>
              <w:jc w:val="left"/>
            </w:pPr>
            <w:r>
              <w:t xml:space="preserve">1.02</w:t>
            </w:r>
          </w:p>
        </w:tc>
        <w:tc>
          <w:tcPr/>
          <w:p>
            <w:pPr>
              <w:pStyle w:val="Compact"/>
              <w:jc w:val="left"/>
            </w:pPr>
            <w:r>
              <w:t xml:space="preserve">1.00</w:t>
            </w:r>
          </w:p>
        </w:tc>
        <w:tc>
          <w:tcPr/>
          <w:p>
            <w:pPr>
              <w:pStyle w:val="Compact"/>
              <w:jc w:val="left"/>
            </w:pPr>
            <w:r>
              <w:t xml:space="preserve">1.00</w:t>
            </w:r>
          </w:p>
        </w:tc>
      </w:tr>
    </w:tbl>
    <w:p>
      <w:pPr>
        <w:pStyle w:val="BodyText"/>
      </w:pPr>
      <w:r>
        <w:rPr>
          <w:bCs/>
          <w:b/>
        </w:rPr>
        <w:t xml:space="preserve">Memory price = 0.002</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budget  </w:t>
            </w:r>
            <w:r>
              <w:rPr>
                <w:iCs/>
                <w:i/>
              </w:rPr>
              <w:t xml:space="preserve">s</w:t>
            </w:r>
          </w:p>
        </w:tc>
        <w:tc>
          <w:tcPr/>
          <w:p>
            <w:pPr>
              <w:pStyle w:val="Compact"/>
              <w:jc w:val="left"/>
            </w:pPr>
            <w:r>
              <w:t xml:space="preserve">0.5</w:t>
            </w:r>
          </w:p>
        </w:tc>
        <w:tc>
          <w:tcPr/>
          <w:p>
            <w:pPr>
              <w:pStyle w:val="Compact"/>
              <w:jc w:val="left"/>
            </w:pPr>
            <w:r>
              <w:t xml:space="preserve">0.7</w:t>
            </w:r>
          </w:p>
        </w:tc>
        <w:tc>
          <w:tcPr/>
          <w:p>
            <w:pPr>
              <w:pStyle w:val="Compact"/>
              <w:jc w:val="left"/>
            </w:pPr>
            <w:r>
              <w:t xml:space="preserve">0.9</w:t>
            </w:r>
          </w:p>
        </w:tc>
        <w:tc>
          <w:tcPr/>
          <w:p>
            <w:pPr>
              <w:pStyle w:val="Compact"/>
              <w:jc w:val="left"/>
            </w:pPr>
            <w:r>
              <w:t xml:space="preserve">1.1</w:t>
            </w:r>
          </w:p>
        </w:tc>
        <w:tc>
          <w:tcPr/>
          <w:p>
            <w:pPr>
              <w:pStyle w:val="Compact"/>
              <w:jc w:val="left"/>
            </w:pPr>
            <w:r>
              <w:t xml:space="preserve">1.3</w:t>
            </w:r>
          </w:p>
        </w:tc>
      </w:tr>
      <w:tr>
        <w:tc>
          <w:tcPr/>
          <w:p>
            <w:pPr>
              <w:pStyle w:val="Compact"/>
              <w:jc w:val="left"/>
            </w:pPr>
            <w:r>
              <w:t xml:space="preserve">1%</w:t>
            </w:r>
          </w:p>
        </w:tc>
        <w:tc>
          <w:tcPr/>
          <w:p>
            <w:pPr>
              <w:pStyle w:val="Compact"/>
              <w:jc w:val="left"/>
            </w:pPr>
            <w:r>
              <w:rPr>
                <w:bCs/>
                <w:b/>
              </w:rPr>
              <w:t xml:space="preserve">0.90</w:t>
            </w:r>
          </w:p>
        </w:tc>
        <w:tc>
          <w:tcPr/>
          <w:p>
            <w:pPr>
              <w:pStyle w:val="Compact"/>
              <w:jc w:val="left"/>
            </w:pPr>
            <w:r>
              <w:t xml:space="preserve">1.61</w:t>
            </w:r>
          </w:p>
        </w:tc>
        <w:tc>
          <w:tcPr/>
          <w:p>
            <w:pPr>
              <w:pStyle w:val="Compact"/>
              <w:jc w:val="left"/>
            </w:pPr>
            <w:r>
              <w:t xml:space="preserve">2.49</w:t>
            </w:r>
          </w:p>
        </w:tc>
        <w:tc>
          <w:tcPr/>
          <w:p>
            <w:pPr>
              <w:pStyle w:val="Compact"/>
              <w:jc w:val="left"/>
            </w:pPr>
            <w:r>
              <w:t xml:space="preserve">2.54</w:t>
            </w:r>
          </w:p>
        </w:tc>
        <w:tc>
          <w:tcPr/>
          <w:p>
            <w:pPr>
              <w:pStyle w:val="Compact"/>
              <w:jc w:val="left"/>
            </w:pPr>
            <w:r>
              <w:t xml:space="preserve">1.86</w:t>
            </w:r>
          </w:p>
        </w:tc>
      </w:tr>
      <w:tr>
        <w:tc>
          <w:tcPr/>
          <w:p>
            <w:pPr>
              <w:pStyle w:val="Compact"/>
              <w:jc w:val="left"/>
            </w:pPr>
            <w:r>
              <w:t xml:space="preserve">2%</w:t>
            </w:r>
          </w:p>
        </w:tc>
        <w:tc>
          <w:tcPr/>
          <w:p>
            <w:pPr>
              <w:pStyle w:val="Compact"/>
              <w:jc w:val="left"/>
            </w:pPr>
            <w:r>
              <w:rPr>
                <w:bCs/>
                <w:b/>
              </w:rPr>
              <w:t xml:space="preserve">0.87</w:t>
            </w:r>
          </w:p>
        </w:tc>
        <w:tc>
          <w:tcPr/>
          <w:p>
            <w:pPr>
              <w:pStyle w:val="Compact"/>
              <w:jc w:val="left"/>
            </w:pPr>
            <w:r>
              <w:t xml:space="preserve">1.24</w:t>
            </w:r>
          </w:p>
        </w:tc>
        <w:tc>
          <w:tcPr/>
          <w:p>
            <w:pPr>
              <w:pStyle w:val="Compact"/>
              <w:jc w:val="left"/>
            </w:pPr>
            <w:r>
              <w:t xml:space="preserve">1.49</w:t>
            </w:r>
          </w:p>
        </w:tc>
        <w:tc>
          <w:tcPr/>
          <w:p>
            <w:pPr>
              <w:pStyle w:val="Compact"/>
              <w:jc w:val="left"/>
            </w:pPr>
            <w:r>
              <w:t xml:space="preserve">1.36</w:t>
            </w:r>
          </w:p>
        </w:tc>
        <w:tc>
          <w:tcPr/>
          <w:p>
            <w:pPr>
              <w:pStyle w:val="Compact"/>
              <w:jc w:val="left"/>
            </w:pPr>
            <w:r>
              <w:t xml:space="preserve">1.05</w:t>
            </w:r>
          </w:p>
        </w:tc>
      </w:tr>
      <w:tr>
        <w:tc>
          <w:tcPr/>
          <w:p>
            <w:pPr>
              <w:pStyle w:val="Compact"/>
              <w:jc w:val="left"/>
            </w:pPr>
            <w:r>
              <w:t xml:space="preserve">5%</w:t>
            </w:r>
          </w:p>
        </w:tc>
        <w:tc>
          <w:tcPr/>
          <w:p>
            <w:pPr>
              <w:pStyle w:val="Compact"/>
              <w:jc w:val="left"/>
            </w:pPr>
            <w:r>
              <w:rPr>
                <w:bCs/>
                <w:b/>
              </w:rPr>
              <w:t xml:space="preserve">0.82</w:t>
            </w:r>
          </w:p>
        </w:tc>
        <w:tc>
          <w:tcPr/>
          <w:p>
            <w:pPr>
              <w:pStyle w:val="Compact"/>
              <w:jc w:val="left"/>
            </w:pPr>
            <w:r>
              <w:rPr>
                <w:bCs/>
                <w:b/>
              </w:rPr>
              <w:t xml:space="preserve">0.93</w:t>
            </w:r>
          </w:p>
        </w:tc>
        <w:tc>
          <w:tcPr/>
          <w:p>
            <w:pPr>
              <w:pStyle w:val="Compact"/>
              <w:jc w:val="left"/>
            </w:pPr>
            <w:r>
              <w:rPr>
                <w:bCs/>
                <w:b/>
              </w:rPr>
              <w:t xml:space="preserve">0.93</w:t>
            </w:r>
          </w:p>
        </w:tc>
        <w:tc>
          <w:tcPr/>
          <w:p>
            <w:pPr>
              <w:pStyle w:val="Compact"/>
              <w:jc w:val="left"/>
            </w:pPr>
            <w:r>
              <w:rPr>
                <w:bCs/>
                <w:b/>
              </w:rPr>
              <w:t xml:space="preserve">0.83</w:t>
            </w:r>
          </w:p>
        </w:tc>
        <w:tc>
          <w:tcPr/>
          <w:p>
            <w:pPr>
              <w:pStyle w:val="Compact"/>
              <w:jc w:val="left"/>
            </w:pPr>
            <w:r>
              <w:rPr>
                <w:bCs/>
                <w:b/>
              </w:rPr>
              <w:t xml:space="preserve">0.81</w:t>
            </w:r>
          </w:p>
        </w:tc>
      </w:tr>
      <w:tr>
        <w:tc>
          <w:tcPr/>
          <w:p>
            <w:pPr>
              <w:pStyle w:val="Compact"/>
              <w:jc w:val="left"/>
            </w:pPr>
            <w:r>
              <w:t xml:space="preserve">10%</w:t>
            </w:r>
          </w:p>
        </w:tc>
        <w:tc>
          <w:tcPr/>
          <w:p>
            <w:pPr>
              <w:pStyle w:val="Compact"/>
              <w:jc w:val="left"/>
            </w:pPr>
            <w:r>
              <w:rPr>
                <w:bCs/>
                <w:b/>
              </w:rPr>
              <w:t xml:space="preserve">0.79</w:t>
            </w:r>
          </w:p>
        </w:tc>
        <w:tc>
          <w:tcPr/>
          <w:p>
            <w:pPr>
              <w:pStyle w:val="Compact"/>
              <w:jc w:val="left"/>
            </w:pPr>
            <w:r>
              <w:rPr>
                <w:bCs/>
                <w:b/>
              </w:rPr>
              <w:t xml:space="preserve">0.81</w:t>
            </w:r>
          </w:p>
        </w:tc>
        <w:tc>
          <w:tcPr/>
          <w:p>
            <w:pPr>
              <w:pStyle w:val="Compact"/>
              <w:jc w:val="left"/>
            </w:pPr>
            <w:r>
              <w:rPr>
                <w:bCs/>
                <w:b/>
              </w:rPr>
              <w:t xml:space="preserve">0.76</w:t>
            </w:r>
          </w:p>
        </w:tc>
        <w:tc>
          <w:tcPr/>
          <w:p>
            <w:pPr>
              <w:pStyle w:val="Compact"/>
              <w:jc w:val="left"/>
            </w:pPr>
            <w:r>
              <w:rPr>
                <w:bCs/>
                <w:b/>
              </w:rPr>
              <w:t xml:space="preserve">0.75</w:t>
            </w:r>
          </w:p>
        </w:tc>
        <w:tc>
          <w:tcPr/>
          <w:p>
            <w:pPr>
              <w:pStyle w:val="Compact"/>
              <w:jc w:val="left"/>
            </w:pPr>
            <w:r>
              <w:rPr>
                <w:bCs/>
                <w:b/>
              </w:rPr>
              <w:t xml:space="preserve">0.86</w:t>
            </w:r>
          </w:p>
        </w:tc>
      </w:tr>
      <w:tr>
        <w:tc>
          <w:tcPr/>
          <w:p>
            <w:pPr>
              <w:pStyle w:val="Compact"/>
              <w:jc w:val="left"/>
            </w:pPr>
            <w:r>
              <w:t xml:space="preserve">25%</w:t>
            </w:r>
          </w:p>
        </w:tc>
        <w:tc>
          <w:tcPr/>
          <w:p>
            <w:pPr>
              <w:pStyle w:val="Compact"/>
              <w:jc w:val="left"/>
            </w:pPr>
            <w:r>
              <w:rPr>
                <w:bCs/>
                <w:b/>
              </w:rPr>
              <w:t xml:space="preserve">0.80</w:t>
            </w:r>
          </w:p>
        </w:tc>
        <w:tc>
          <w:tcPr/>
          <w:p>
            <w:pPr>
              <w:pStyle w:val="Compact"/>
              <w:jc w:val="left"/>
            </w:pPr>
            <w:r>
              <w:rPr>
                <w:bCs/>
                <w:b/>
              </w:rPr>
              <w:t xml:space="preserve">0.79</w:t>
            </w:r>
          </w:p>
        </w:tc>
        <w:tc>
          <w:tcPr/>
          <w:p>
            <w:pPr>
              <w:pStyle w:val="Compact"/>
              <w:jc w:val="left"/>
            </w:pPr>
            <w:r>
              <w:rPr>
                <w:bCs/>
                <w:b/>
              </w:rPr>
              <w:t xml:space="preserve">0.80</w:t>
            </w:r>
          </w:p>
        </w:tc>
        <w:tc>
          <w:tcPr/>
          <w:p>
            <w:pPr>
              <w:pStyle w:val="Compact"/>
              <w:jc w:val="left"/>
            </w:pPr>
            <w:r>
              <w:rPr>
                <w:bCs/>
                <w:b/>
              </w:rPr>
              <w:t xml:space="preserve">0.91</w:t>
            </w:r>
          </w:p>
        </w:tc>
        <w:tc>
          <w:tcPr/>
          <w:p>
            <w:pPr>
              <w:pStyle w:val="Compact"/>
              <w:jc w:val="left"/>
            </w:pPr>
            <w:r>
              <w:t xml:space="preserve">1.00</w:t>
            </w:r>
          </w:p>
        </w:tc>
      </w:tr>
      <w:tr>
        <w:tc>
          <w:tcPr/>
          <w:p>
            <w:pPr>
              <w:pStyle w:val="Compact"/>
              <w:jc w:val="left"/>
            </w:pPr>
            <w:r>
              <w:t xml:space="preserve">50%</w:t>
            </w:r>
          </w:p>
        </w:tc>
        <w:tc>
          <w:tcPr/>
          <w:p>
            <w:pPr>
              <w:pStyle w:val="Compact"/>
              <w:jc w:val="left"/>
            </w:pPr>
            <w:r>
              <w:rPr>
                <w:bCs/>
                <w:b/>
              </w:rPr>
              <w:t xml:space="preserve">0.90</w:t>
            </w:r>
          </w:p>
        </w:tc>
        <w:tc>
          <w:tcPr/>
          <w:p>
            <w:pPr>
              <w:pStyle w:val="Compact"/>
              <w:jc w:val="left"/>
            </w:pPr>
            <w:r>
              <w:rPr>
                <w:bCs/>
                <w:b/>
              </w:rPr>
              <w:t xml:space="preserve">0.91</w:t>
            </w:r>
          </w:p>
        </w:tc>
        <w:tc>
          <w:tcPr/>
          <w:p>
            <w:pPr>
              <w:pStyle w:val="Compact"/>
              <w:jc w:val="left"/>
            </w:pPr>
            <w:r>
              <w:rPr>
                <w:bCs/>
                <w:b/>
              </w:rPr>
              <w:t xml:space="preserve">0.97</w:t>
            </w:r>
          </w:p>
        </w:tc>
        <w:tc>
          <w:tcPr/>
          <w:p>
            <w:pPr>
              <w:pStyle w:val="Compact"/>
              <w:jc w:val="left"/>
            </w:pPr>
            <w:r>
              <w:t xml:space="preserve">1.00</w:t>
            </w:r>
          </w:p>
        </w:tc>
        <w:tc>
          <w:tcPr/>
          <w:p>
            <w:pPr>
              <w:pStyle w:val="Compact"/>
              <w:jc w:val="left"/>
            </w:pPr>
            <w:r>
              <w:t xml:space="preserve">1.00</w:t>
            </w:r>
          </w:p>
        </w:tc>
      </w:tr>
    </w:tbl>
    <w:p>
      <w:pPr>
        <w:pStyle w:val="BodyText"/>
      </w:pPr>
      <w:r>
        <w:rPr>
          <w:bCs/>
          <w:b/>
        </w:rPr>
        <w:t xml:space="preserve">Memory price = 0.01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budget  </w:t>
            </w:r>
            <w:r>
              <w:rPr>
                <w:iCs/>
                <w:i/>
              </w:rPr>
              <w:t xml:space="preserve">s</w:t>
            </w:r>
          </w:p>
        </w:tc>
        <w:tc>
          <w:tcPr/>
          <w:p>
            <w:pPr>
              <w:pStyle w:val="Compact"/>
              <w:jc w:val="left"/>
            </w:pPr>
            <w:r>
              <w:t xml:space="preserve">0.5</w:t>
            </w:r>
          </w:p>
        </w:tc>
        <w:tc>
          <w:tcPr/>
          <w:p>
            <w:pPr>
              <w:pStyle w:val="Compact"/>
              <w:jc w:val="left"/>
            </w:pPr>
            <w:r>
              <w:t xml:space="preserve">0.7</w:t>
            </w:r>
          </w:p>
        </w:tc>
        <w:tc>
          <w:tcPr/>
          <w:p>
            <w:pPr>
              <w:pStyle w:val="Compact"/>
              <w:jc w:val="left"/>
            </w:pPr>
            <w:r>
              <w:t xml:space="preserve">0.9</w:t>
            </w:r>
          </w:p>
        </w:tc>
        <w:tc>
          <w:tcPr/>
          <w:p>
            <w:pPr>
              <w:pStyle w:val="Compact"/>
              <w:jc w:val="left"/>
            </w:pPr>
            <w:r>
              <w:t xml:space="preserve">1.1</w:t>
            </w:r>
          </w:p>
        </w:tc>
        <w:tc>
          <w:tcPr/>
          <w:p>
            <w:pPr>
              <w:pStyle w:val="Compact"/>
              <w:jc w:val="left"/>
            </w:pPr>
            <w:r>
              <w:t xml:space="preserve">1.3</w:t>
            </w:r>
          </w:p>
        </w:tc>
      </w:tr>
      <w:tr>
        <w:tc>
          <w:tcPr/>
          <w:p>
            <w:pPr>
              <w:pStyle w:val="Compact"/>
              <w:jc w:val="left"/>
            </w:pPr>
            <w:r>
              <w:t xml:space="preserve">1%</w:t>
            </w:r>
          </w:p>
        </w:tc>
        <w:tc>
          <w:tcPr/>
          <w:p>
            <w:pPr>
              <w:pStyle w:val="Compact"/>
              <w:jc w:val="left"/>
            </w:pPr>
            <w:r>
              <w:rPr>
                <w:bCs/>
                <w:b/>
              </w:rPr>
              <w:t xml:space="preserve">0.25</w:t>
            </w:r>
          </w:p>
        </w:tc>
        <w:tc>
          <w:tcPr/>
          <w:p>
            <w:pPr>
              <w:pStyle w:val="Compact"/>
              <w:jc w:val="left"/>
            </w:pPr>
            <w:r>
              <w:rPr>
                <w:bCs/>
                <w:b/>
              </w:rPr>
              <w:t xml:space="preserve">0.44</w:t>
            </w:r>
          </w:p>
        </w:tc>
        <w:tc>
          <w:tcPr/>
          <w:p>
            <w:pPr>
              <w:pStyle w:val="Compact"/>
              <w:jc w:val="left"/>
            </w:pPr>
            <w:r>
              <w:rPr>
                <w:bCs/>
                <w:b/>
              </w:rPr>
              <w:t xml:space="preserve">0.69</w:t>
            </w:r>
          </w:p>
        </w:tc>
        <w:tc>
          <w:tcPr/>
          <w:p>
            <w:pPr>
              <w:pStyle w:val="Compact"/>
              <w:jc w:val="left"/>
            </w:pPr>
            <w:r>
              <w:rPr>
                <w:bCs/>
                <w:b/>
              </w:rPr>
              <w:t xml:space="preserve">0.77</w:t>
            </w:r>
          </w:p>
        </w:tc>
        <w:tc>
          <w:tcPr/>
          <w:p>
            <w:pPr>
              <w:pStyle w:val="Compact"/>
              <w:jc w:val="left"/>
            </w:pPr>
            <w:r>
              <w:rPr>
                <w:bCs/>
                <w:b/>
              </w:rPr>
              <w:t xml:space="preserve">0.67</w:t>
            </w:r>
          </w:p>
        </w:tc>
      </w:tr>
      <w:tr>
        <w:tc>
          <w:tcPr/>
          <w:p>
            <w:pPr>
              <w:pStyle w:val="Compact"/>
              <w:jc w:val="left"/>
            </w:pPr>
            <w:r>
              <w:t xml:space="preserve">2%</w:t>
            </w:r>
          </w:p>
        </w:tc>
        <w:tc>
          <w:tcPr/>
          <w:p>
            <w:pPr>
              <w:pStyle w:val="Compact"/>
              <w:jc w:val="left"/>
            </w:pPr>
            <w:r>
              <w:rPr>
                <w:bCs/>
                <w:b/>
              </w:rPr>
              <w:t xml:space="preserve">0.25</w:t>
            </w:r>
          </w:p>
        </w:tc>
        <w:tc>
          <w:tcPr/>
          <w:p>
            <w:pPr>
              <w:pStyle w:val="Compact"/>
              <w:jc w:val="left"/>
            </w:pPr>
            <w:r>
              <w:rPr>
                <w:bCs/>
                <w:b/>
              </w:rPr>
              <w:t xml:space="preserve">0.36</w:t>
            </w:r>
          </w:p>
        </w:tc>
        <w:tc>
          <w:tcPr/>
          <w:p>
            <w:pPr>
              <w:pStyle w:val="Compact"/>
              <w:jc w:val="left"/>
            </w:pPr>
            <w:r>
              <w:rPr>
                <w:bCs/>
                <w:b/>
              </w:rPr>
              <w:t xml:space="preserve">0.44</w:t>
            </w:r>
          </w:p>
        </w:tc>
        <w:tc>
          <w:tcPr/>
          <w:p>
            <w:pPr>
              <w:pStyle w:val="Compact"/>
              <w:jc w:val="left"/>
            </w:pPr>
            <w:r>
              <w:rPr>
                <w:bCs/>
                <w:b/>
              </w:rPr>
              <w:t xml:space="preserve">0.45</w:t>
            </w:r>
          </w:p>
        </w:tc>
        <w:tc>
          <w:tcPr/>
          <w:p>
            <w:pPr>
              <w:pStyle w:val="Compact"/>
              <w:jc w:val="left"/>
            </w:pPr>
            <w:r>
              <w:rPr>
                <w:bCs/>
                <w:b/>
              </w:rPr>
              <w:t xml:space="preserve">0.45</w:t>
            </w:r>
          </w:p>
        </w:tc>
      </w:tr>
      <w:tr>
        <w:tc>
          <w:tcPr/>
          <w:p>
            <w:pPr>
              <w:pStyle w:val="Compact"/>
              <w:jc w:val="left"/>
            </w:pPr>
            <w:r>
              <w:t xml:space="preserve">5%</w:t>
            </w:r>
          </w:p>
        </w:tc>
        <w:tc>
          <w:tcPr/>
          <w:p>
            <w:pPr>
              <w:pStyle w:val="Compact"/>
              <w:jc w:val="left"/>
            </w:pPr>
            <w:r>
              <w:rPr>
                <w:bCs/>
                <w:b/>
              </w:rPr>
              <w:t xml:space="preserve">0.27</w:t>
            </w:r>
          </w:p>
        </w:tc>
        <w:tc>
          <w:tcPr/>
          <w:p>
            <w:pPr>
              <w:pStyle w:val="Compact"/>
              <w:jc w:val="left"/>
            </w:pPr>
            <w:r>
              <w:rPr>
                <w:bCs/>
                <w:b/>
              </w:rPr>
              <w:t xml:space="preserve">0.32</w:t>
            </w:r>
          </w:p>
        </w:tc>
        <w:tc>
          <w:tcPr/>
          <w:p>
            <w:pPr>
              <w:pStyle w:val="Compact"/>
              <w:jc w:val="left"/>
            </w:pPr>
            <w:r>
              <w:rPr>
                <w:bCs/>
                <w:b/>
              </w:rPr>
              <w:t xml:space="preserve">0.35</w:t>
            </w:r>
          </w:p>
        </w:tc>
        <w:tc>
          <w:tcPr/>
          <w:p>
            <w:pPr>
              <w:pStyle w:val="Compact"/>
              <w:jc w:val="left"/>
            </w:pPr>
            <w:r>
              <w:rPr>
                <w:bCs/>
                <w:b/>
              </w:rPr>
              <w:t xml:space="preserve">0.38</w:t>
            </w:r>
          </w:p>
        </w:tc>
        <w:tc>
          <w:tcPr/>
          <w:p>
            <w:pPr>
              <w:pStyle w:val="Compact"/>
              <w:jc w:val="left"/>
            </w:pPr>
            <w:r>
              <w:rPr>
                <w:bCs/>
                <w:b/>
              </w:rPr>
              <w:t xml:space="preserve">0.51</w:t>
            </w:r>
          </w:p>
        </w:tc>
      </w:tr>
      <w:tr>
        <w:tc>
          <w:tcPr/>
          <w:p>
            <w:pPr>
              <w:pStyle w:val="Compact"/>
              <w:jc w:val="left"/>
            </w:pPr>
            <w:r>
              <w:t xml:space="preserve">10%</w:t>
            </w:r>
          </w:p>
        </w:tc>
        <w:tc>
          <w:tcPr/>
          <w:p>
            <w:pPr>
              <w:pStyle w:val="Compact"/>
              <w:jc w:val="left"/>
            </w:pPr>
            <w:r>
              <w:rPr>
                <w:bCs/>
                <w:b/>
              </w:rPr>
              <w:t xml:space="preserve">0.33</w:t>
            </w:r>
          </w:p>
        </w:tc>
        <w:tc>
          <w:tcPr/>
          <w:p>
            <w:pPr>
              <w:pStyle w:val="Compact"/>
              <w:jc w:val="left"/>
            </w:pPr>
            <w:r>
              <w:rPr>
                <w:bCs/>
                <w:b/>
              </w:rPr>
              <w:t xml:space="preserve">0.36</w:t>
            </w:r>
          </w:p>
        </w:tc>
        <w:tc>
          <w:tcPr/>
          <w:p>
            <w:pPr>
              <w:pStyle w:val="Compact"/>
              <w:jc w:val="left"/>
            </w:pPr>
            <w:r>
              <w:rPr>
                <w:bCs/>
                <w:b/>
              </w:rPr>
              <w:t xml:space="preserve">0.39</w:t>
            </w:r>
          </w:p>
        </w:tc>
        <w:tc>
          <w:tcPr/>
          <w:p>
            <w:pPr>
              <w:pStyle w:val="Compact"/>
              <w:jc w:val="left"/>
            </w:pPr>
            <w:r>
              <w:rPr>
                <w:bCs/>
                <w:b/>
              </w:rPr>
              <w:t xml:space="preserve">0.50</w:t>
            </w:r>
          </w:p>
        </w:tc>
        <w:tc>
          <w:tcPr/>
          <w:p>
            <w:pPr>
              <w:pStyle w:val="Compact"/>
              <w:jc w:val="left"/>
            </w:pPr>
            <w:r>
              <w:rPr>
                <w:bCs/>
                <w:b/>
              </w:rPr>
              <w:t xml:space="preserve">0.74</w:t>
            </w:r>
          </w:p>
        </w:tc>
      </w:tr>
      <w:tr>
        <w:tc>
          <w:tcPr/>
          <w:p>
            <w:pPr>
              <w:pStyle w:val="Compact"/>
              <w:jc w:val="left"/>
            </w:pPr>
            <w:r>
              <w:t xml:space="preserve">25%</w:t>
            </w:r>
          </w:p>
        </w:tc>
        <w:tc>
          <w:tcPr/>
          <w:p>
            <w:pPr>
              <w:pStyle w:val="Compact"/>
              <w:jc w:val="left"/>
            </w:pPr>
            <w:r>
              <w:rPr>
                <w:bCs/>
                <w:b/>
              </w:rPr>
              <w:t xml:space="preserve">0.51</w:t>
            </w:r>
          </w:p>
        </w:tc>
        <w:tc>
          <w:tcPr/>
          <w:p>
            <w:pPr>
              <w:pStyle w:val="Compact"/>
              <w:jc w:val="left"/>
            </w:pPr>
            <w:r>
              <w:rPr>
                <w:bCs/>
                <w:b/>
              </w:rPr>
              <w:t xml:space="preserve">0.55</w:t>
            </w:r>
          </w:p>
        </w:tc>
        <w:tc>
          <w:tcPr/>
          <w:p>
            <w:pPr>
              <w:pStyle w:val="Compact"/>
              <w:jc w:val="left"/>
            </w:pPr>
            <w:r>
              <w:rPr>
                <w:bCs/>
                <w:b/>
              </w:rPr>
              <w:t xml:space="preserve">0.64</w:t>
            </w:r>
          </w:p>
        </w:tc>
        <w:tc>
          <w:tcPr/>
          <w:p>
            <w:pPr>
              <w:pStyle w:val="Compact"/>
              <w:jc w:val="left"/>
            </w:pPr>
            <w:r>
              <w:rPr>
                <w:bCs/>
                <w:b/>
              </w:rPr>
              <w:t xml:space="preserve">0.85</w:t>
            </w:r>
          </w:p>
        </w:tc>
        <w:tc>
          <w:tcPr/>
          <w:p>
            <w:pPr>
              <w:pStyle w:val="Compact"/>
              <w:jc w:val="left"/>
            </w:pPr>
            <w:r>
              <w:t xml:space="preserve">1.00</w:t>
            </w:r>
          </w:p>
        </w:tc>
      </w:tr>
      <w:tr>
        <w:tc>
          <w:tcPr/>
          <w:p>
            <w:pPr>
              <w:pStyle w:val="Compact"/>
              <w:jc w:val="left"/>
            </w:pPr>
            <w:r>
              <w:t xml:space="preserve">50%</w:t>
            </w:r>
          </w:p>
        </w:tc>
        <w:tc>
          <w:tcPr/>
          <w:p>
            <w:pPr>
              <w:pStyle w:val="Compact"/>
              <w:jc w:val="left"/>
            </w:pPr>
            <w:r>
              <w:rPr>
                <w:bCs/>
                <w:b/>
              </w:rPr>
              <w:t xml:space="preserve">0.78</w:t>
            </w:r>
          </w:p>
        </w:tc>
        <w:tc>
          <w:tcPr/>
          <w:p>
            <w:pPr>
              <w:pStyle w:val="Compact"/>
              <w:jc w:val="left"/>
            </w:pPr>
            <w:r>
              <w:rPr>
                <w:bCs/>
                <w:b/>
              </w:rPr>
              <w:t xml:space="preserve">0.84</w:t>
            </w:r>
          </w:p>
        </w:tc>
        <w:tc>
          <w:tcPr/>
          <w:p>
            <w:pPr>
              <w:pStyle w:val="Compact"/>
              <w:jc w:val="left"/>
            </w:pPr>
            <w:r>
              <w:rPr>
                <w:bCs/>
                <w:b/>
              </w:rPr>
              <w:t xml:space="preserve">0.96</w:t>
            </w:r>
          </w:p>
        </w:tc>
        <w:tc>
          <w:tcPr/>
          <w:p>
            <w:pPr>
              <w:pStyle w:val="Compact"/>
              <w:jc w:val="left"/>
            </w:pPr>
            <w:r>
              <w:t xml:space="preserve">1.00</w:t>
            </w:r>
          </w:p>
        </w:tc>
        <w:tc>
          <w:tcPr/>
          <w:p>
            <w:pPr>
              <w:pStyle w:val="Compact"/>
              <w:jc w:val="left"/>
            </w:pPr>
            <w:r>
              <w:t xml:space="preserve">1.00</w:t>
            </w:r>
          </w:p>
        </w:tc>
      </w:tr>
    </w:tbl>
    <w:p>
      <w:pPr>
        <w:pStyle w:val="BodyText"/>
      </w:pPr>
      <w:r>
        <w:rPr>
          <w:iCs/>
          <w:i/>
        </w:rPr>
        <w:t xml:space="preserve">Table 9.3 — The measured phase diagram at three memory prices. Full tables, including prices 0.0005 and 0.05, are in</w:t>
      </w:r>
      <w:r>
        <w:rPr>
          <w:iCs/>
          <w:i/>
        </w:rPr>
        <w:t xml:space="preserve"> </w:t>
      </w:r>
      <w:r>
        <w:rPr>
          <w:rStyle w:val="VerbatimChar"/>
          <w:iCs/>
          <w:i/>
        </w:rPr>
        <w:t xml:space="preserve">results/e4.log</w:t>
      </w:r>
      <w:r>
        <w:rPr>
          <w:iCs/>
          <w:i/>
        </w:rPr>
        <w:t xml:space="preserve">.</w:t>
      </w:r>
    </w:p>
    <w:bookmarkEnd w:id="158"/>
    <w:bookmarkStart w:id="159" w:name="X7d5b82a401d7ac03c8c6852f35351ade7ee0b42"/>
    <w:p>
      <w:pPr>
        <w:pStyle w:val="Heading3"/>
      </w:pPr>
      <w:r>
        <w:t xml:space="preserve">9.3.4 Three findings, one of which refutes a stated hypothesis</w:t>
      </w:r>
    </w:p>
    <w:p>
      <w:pPr>
        <w:pStyle w:val="FirstParagraph"/>
      </w:pPr>
      <w:r>
        <w:rPr>
          <w:bCs/>
          <w:b/>
        </w:rPr>
        <w:t xml:space="preserve">Finding 1 — There is a real boundary, and it is set by the memory price, not by skew.</w:t>
      </w:r>
      <w:r>
        <w:t xml:space="preserve"> </w:t>
      </w:r>
      <w:r>
        <w:t xml:space="preserve">At memory price 0, partial materialization loses in every cell, by up to 7.5×. At 0.01 it wins in every cell but the saturated ones. The crossover sits between roughly 0.0005 and 0.002 in these units. That is the frontier the thesis predicts, located empirically for the first time.</w:t>
      </w:r>
    </w:p>
    <w:p>
      <w:pPr>
        <w:pStyle w:val="BodyText"/>
      </w:pPr>
      <w:r>
        <w:rPr>
          <w:bCs/>
          <w:b/>
        </w:rPr>
        <w:t xml:space="preserve">Finding 2 — The optimal budget is interior, not extremal.</w:t>
      </w:r>
      <w:r>
        <w:t xml:space="preserve"> </w:t>
      </w:r>
      <w:r>
        <w:t xml:space="preserve">At memory price 0.002 and</w:t>
      </w:r>
      <w:r>
        <w:t xml:space="preserve"> </w:t>
      </w:r>
      <w:r>
        <w:rPr>
          <w:iCs/>
          <w:i/>
        </w:rPr>
        <w:t xml:space="preserve">s</w:t>
      </w:r>
      <w:r>
        <w:t xml:space="preserve"> </w:t>
      </w:r>
      <w:r>
        <w:t xml:space="preserve">= 0.5 the ratio runs 0.90 (50% budget) → 0.80 (25%) →</w:t>
      </w:r>
      <w:r>
        <w:t xml:space="preserve"> </w:t>
      </w:r>
      <w:r>
        <w:rPr>
          <w:bCs/>
          <w:b/>
        </w:rPr>
        <w:t xml:space="preserve">0.79 (10%)</w:t>
      </w:r>
      <w:r>
        <w:t xml:space="preserve"> </w:t>
      </w:r>
      <w:r>
        <w:t xml:space="preserve">→ 0.82 (5%) → 0.87 (2%) → 0.90 (1%). Too large a budget wastes memory; too small a budget thrashes, and reconstruction cost explodes faster than memory savings accrue. The existence of an interior optimum is what makes an adaptive materialization optimizer a necessity rather than an ornament — a fixed policy at either extreme is measurably wrong.</w:t>
      </w:r>
    </w:p>
    <w:p>
      <w:pPr>
        <w:pStyle w:val="BodyText"/>
      </w:pPr>
      <w:r>
        <w:rPr>
          <w:bCs/>
          <w:b/>
        </w:rPr>
        <w:t xml:space="preserve">Finding 3 — the refutation.</w:t>
      </w:r>
      <w:r>
        <w:t xml:space="preserve"> </w:t>
      </w:r>
      <w:r>
        <w:t xml:space="preserve">Hypothesis H0/S1, as stated in Chapter 1 of the previous draft, held that</w:t>
      </w:r>
      <w:r>
        <w:t xml:space="preserve"> </w:t>
      </w:r>
      <w:r>
        <w:rPr>
          <w:iCs/>
          <w:i/>
        </w:rPr>
        <w:t xml:space="preserve">“</w:t>
      </w:r>
      <w:r>
        <w:rPr>
          <w:iCs/>
          <w:i/>
        </w:rPr>
        <w:t xml:space="preserve">partiality pays on skew</w:t>
      </w:r>
      <w:r>
        <w:rPr>
          <w:iCs/>
          <w:i/>
        </w:rPr>
        <w:t xml:space="preserve">”</w:t>
      </w:r>
      <w:r>
        <w:t xml:space="preserve"> </w:t>
      </w:r>
      <w:r>
        <w:t xml:space="preserve">and that the advantage</w:t>
      </w:r>
      <w:r>
        <w:t xml:space="preserve"> </w:t>
      </w:r>
      <w:r>
        <w:rPr>
          <w:iCs/>
          <w:i/>
        </w:rPr>
        <w:t xml:space="preserve">grows</w:t>
      </w:r>
      <w:r>
        <w:t xml:space="preserve"> </w:t>
      </w:r>
      <w:r>
        <w:t xml:space="preserve">with skew.</w:t>
      </w:r>
      <w:r>
        <w:t xml:space="preserve"> </w:t>
      </w:r>
      <w:r>
        <w:rPr>
          <w:bCs/>
          <w:b/>
        </w:rPr>
        <w:t xml:space="preserve">The measurements contradict this.</w:t>
      </w:r>
      <w:r>
        <w:t xml:space="preserve"> </w:t>
      </w:r>
      <w:r>
        <w:t xml:space="preserve">Table 9.2 shows why: as</w:t>
      </w:r>
      <w:r>
        <w:t xml:space="preserve"> </w:t>
      </w:r>
      <w:r>
        <w:rPr>
          <w:iCs/>
          <w:i/>
        </w:rPr>
        <w:t xml:space="preserve">s</w:t>
      </w:r>
      <w:r>
        <w:t xml:space="preserve"> </w:t>
      </w:r>
      <w:r>
        <w:t xml:space="preserve">rises, full materialization touches fewer distinct keys, so its own footprint shrinks — resident-entry-epochs for full fall from 17.6 M at</w:t>
      </w:r>
      <w:r>
        <w:t xml:space="preserve"> </w:t>
      </w:r>
      <w:r>
        <w:rPr>
          <w:iCs/>
          <w:i/>
        </w:rPr>
        <w:t xml:space="preserve">s</w:t>
      </w:r>
      <w:r>
        <w:t xml:space="preserve"> </w:t>
      </w:r>
      <w:r>
        <w:t xml:space="preserve">= 0.5 to 3.9 M at</w:t>
      </w:r>
      <w:r>
        <w:t xml:space="preserve"> </w:t>
      </w:r>
      <w:r>
        <w:rPr>
          <w:iCs/>
          <w:i/>
        </w:rPr>
        <w:t xml:space="preserve">s</w:t>
      </w:r>
      <w:r>
        <w:t xml:space="preserve"> </w:t>
      </w:r>
      <w:r>
        <w:t xml:space="preserve">= 1.3, while partial’s stay near 1.45 M. The</w:t>
      </w:r>
      <w:r>
        <w:t xml:space="preserve"> </w:t>
      </w:r>
      <w:r>
        <w:rPr>
          <w:iCs/>
          <w:i/>
        </w:rPr>
        <w:t xml:space="preserve">ratio</w:t>
      </w:r>
      <w:r>
        <w:t xml:space="preserve"> </w:t>
      </w:r>
      <w:r>
        <w:t xml:space="preserve">therefore gets</w:t>
      </w:r>
      <w:r>
        <w:t xml:space="preserve"> </w:t>
      </w:r>
      <w:r>
        <w:rPr>
          <w:bCs/>
          <w:b/>
        </w:rPr>
        <w:t xml:space="preserve">worse</w:t>
      </w:r>
      <w:r>
        <w:t xml:space="preserve"> </w:t>
      </w:r>
      <w:r>
        <w:t xml:space="preserve">for partial as skew increases, from 12:1 down to 2.7:1 (Table 9.2), and the corresponding memory-ratio measurement in §9.3.5 shows the same monotone deterioration. Skew simultaneously reduces partial’s reconstruction penalty (36,690 → 4,480 rows read), so the two effects oppose one another and the net result depends on the memory price — which is precisely why the diagram must be swept over price rather than plotted at one.</w:t>
      </w:r>
    </w:p>
    <w:p>
      <w:pPr>
        <w:pStyle w:val="BodyText"/>
      </w:pPr>
      <w:r>
        <w:t xml:space="preserve">The corrected hypothesis, which the data support, is:</w:t>
      </w:r>
      <w:r>
        <w:t xml:space="preserve"> </w:t>
      </w:r>
      <w:r>
        <w:rPr>
          <w:bCs/>
          <w:b/>
        </w:rPr>
        <w:t xml:space="preserve">partial materialization pays when memory is expensive relative to reconstruction, at an interior budget, and skew determines the</w:t>
      </w:r>
      <w:r>
        <w:rPr>
          <w:bCs/>
          <w:b/>
        </w:rPr>
        <w:t xml:space="preserve"> </w:t>
      </w:r>
      <w:r>
        <w:rPr>
          <w:iCs/>
          <w:i/>
          <w:bCs/>
          <w:b/>
        </w:rPr>
        <w:t xml:space="preserve">shape</w:t>
      </w:r>
      <w:r>
        <w:rPr>
          <w:bCs/>
          <w:b/>
        </w:rPr>
        <w:t xml:space="preserve"> </w:t>
      </w:r>
      <w:r>
        <w:rPr>
          <w:bCs/>
          <w:b/>
        </w:rPr>
        <w:t xml:space="preserve">of the trade rather than its direction.</w:t>
      </w:r>
      <w:r>
        <w:t xml:space="preserve"> </w:t>
      </w:r>
      <w:r>
        <w:t xml:space="preserve">Chapter 1’s H0 is restated accordingly, and the earlier phrasing is retained in Appendix J with the reason it was wrong, because a hypothesis quietly edited after the fact is not a hypothesis.</w:t>
      </w:r>
    </w:p>
    <w:bookmarkEnd w:id="159"/>
    <w:bookmarkStart w:id="160" w:name="resident-state-across-skew"/>
    <w:p>
      <w:pPr>
        <w:pStyle w:val="Heading3"/>
      </w:pPr>
      <w:r>
        <w:t xml:space="preserve">9.3.5 Resident state across skew</w:t>
      </w:r>
    </w:p>
    <w:p>
      <w:pPr>
        <w:pStyle w:val="FirstParagraph"/>
      </w:pPr>
      <w:r>
        <w:t xml:space="preserve">Independently measured, with a 10% budget over 20,000 accounts and 60,000 operations: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Zipf</w:t>
            </w:r>
            <w:r>
              <w:t xml:space="preserve"> </w:t>
            </w:r>
            <w:r>
              <w:rPr>
                <w:iCs/>
                <w:i/>
              </w:rPr>
              <w:t xml:space="preserve">s</w:t>
            </w:r>
          </w:p>
        </w:tc>
        <w:tc>
          <w:tcPr/>
          <w:p>
            <w:pPr>
              <w:pStyle w:val="Compact"/>
              <w:jc w:val="left"/>
            </w:pPr>
            <w:r>
              <w:t xml:space="preserve">resident(partial) / resident(full), median [range]</w:t>
            </w:r>
          </w:p>
        </w:tc>
        <w:tc>
          <w:tcPr/>
          <w:p>
            <w:pPr>
              <w:pStyle w:val="Compact"/>
              <w:jc w:val="left"/>
            </w:pPr>
            <w:r>
              <w:t xml:space="preserve">Hit rate</w:t>
            </w:r>
          </w:p>
        </w:tc>
      </w:tr>
      <w:tr>
        <w:tc>
          <w:tcPr/>
          <w:p>
            <w:pPr>
              <w:pStyle w:val="Compact"/>
              <w:jc w:val="left"/>
            </w:pPr>
            <w:r>
              <w:t xml:space="preserve">0.5</w:t>
            </w:r>
          </w:p>
        </w:tc>
        <w:tc>
          <w:tcPr/>
          <w:p>
            <w:pPr>
              <w:pStyle w:val="Compact"/>
              <w:jc w:val="left"/>
            </w:pPr>
            <w:r>
              <w:t xml:space="preserve">0.116 [0.116, 0.116]</w:t>
            </w:r>
          </w:p>
        </w:tc>
        <w:tc>
          <w:tcPr/>
          <w:p>
            <w:pPr>
              <w:pStyle w:val="Compact"/>
              <w:jc w:val="left"/>
            </w:pPr>
            <w:r>
              <w:t xml:space="preserve">0.179</w:t>
            </w:r>
          </w:p>
        </w:tc>
      </w:tr>
      <w:tr>
        <w:tc>
          <w:tcPr/>
          <w:p>
            <w:pPr>
              <w:pStyle w:val="Compact"/>
              <w:jc w:val="left"/>
            </w:pPr>
            <w:r>
              <w:t xml:space="preserve">0.7</w:t>
            </w:r>
          </w:p>
        </w:tc>
        <w:tc>
          <w:tcPr/>
          <w:p>
            <w:pPr>
              <w:pStyle w:val="Compact"/>
              <w:jc w:val="left"/>
            </w:pPr>
            <w:r>
              <w:t xml:space="preserve">0.130 [0.130, 0.131]</w:t>
            </w:r>
          </w:p>
        </w:tc>
        <w:tc>
          <w:tcPr/>
          <w:p>
            <w:pPr>
              <w:pStyle w:val="Compact"/>
              <w:jc w:val="left"/>
            </w:pPr>
            <w:r>
              <w:t xml:space="preserve">0.332</w:t>
            </w:r>
          </w:p>
        </w:tc>
      </w:tr>
      <w:tr>
        <w:tc>
          <w:tcPr/>
          <w:p>
            <w:pPr>
              <w:pStyle w:val="Compact"/>
              <w:jc w:val="left"/>
            </w:pPr>
            <w:r>
              <w:t xml:space="preserve">0.9</w:t>
            </w:r>
          </w:p>
        </w:tc>
        <w:tc>
          <w:tcPr/>
          <w:p>
            <w:pPr>
              <w:pStyle w:val="Compact"/>
              <w:jc w:val="left"/>
            </w:pPr>
            <w:r>
              <w:t xml:space="preserve">0.167 [0.167, 0.167]</w:t>
            </w:r>
          </w:p>
        </w:tc>
        <w:tc>
          <w:tcPr/>
          <w:p>
            <w:pPr>
              <w:pStyle w:val="Compact"/>
              <w:jc w:val="left"/>
            </w:pPr>
            <w:r>
              <w:t xml:space="preserve">0.567</w:t>
            </w:r>
          </w:p>
        </w:tc>
      </w:tr>
      <w:tr>
        <w:tc>
          <w:tcPr/>
          <w:p>
            <w:pPr>
              <w:pStyle w:val="Compact"/>
              <w:jc w:val="left"/>
            </w:pPr>
            <w:r>
              <w:t xml:space="preserve">1.0</w:t>
            </w:r>
          </w:p>
        </w:tc>
        <w:tc>
          <w:tcPr/>
          <w:p>
            <w:pPr>
              <w:pStyle w:val="Compact"/>
              <w:jc w:val="left"/>
            </w:pPr>
            <w:r>
              <w:t xml:space="preserve">0.206 [0.203, 0.207]</w:t>
            </w:r>
          </w:p>
        </w:tc>
        <w:tc>
          <w:tcPr/>
          <w:p>
            <w:pPr>
              <w:pStyle w:val="Compact"/>
              <w:jc w:val="left"/>
            </w:pPr>
            <w:r>
              <w:t xml:space="preserve">0.690</w:t>
            </w:r>
          </w:p>
        </w:tc>
      </w:tr>
      <w:tr>
        <w:tc>
          <w:tcPr/>
          <w:p>
            <w:pPr>
              <w:pStyle w:val="Compact"/>
              <w:jc w:val="left"/>
            </w:pPr>
            <w:r>
              <w:t xml:space="preserve">1.1</w:t>
            </w:r>
          </w:p>
        </w:tc>
        <w:tc>
          <w:tcPr/>
          <w:p>
            <w:pPr>
              <w:pStyle w:val="Compact"/>
              <w:jc w:val="left"/>
            </w:pPr>
            <w:r>
              <w:t xml:space="preserve">0.268 [0.264, 0.269]</w:t>
            </w:r>
          </w:p>
        </w:tc>
        <w:tc>
          <w:tcPr/>
          <w:p>
            <w:pPr>
              <w:pStyle w:val="Compact"/>
              <w:jc w:val="left"/>
            </w:pPr>
            <w:r>
              <w:t xml:space="preserve">0.795</w:t>
            </w:r>
          </w:p>
        </w:tc>
      </w:tr>
      <w:tr>
        <w:tc>
          <w:tcPr/>
          <w:p>
            <w:pPr>
              <w:pStyle w:val="Compact"/>
              <w:jc w:val="left"/>
            </w:pPr>
            <w:r>
              <w:t xml:space="preserve">1.3</w:t>
            </w:r>
          </w:p>
        </w:tc>
        <w:tc>
          <w:tcPr/>
          <w:p>
            <w:pPr>
              <w:pStyle w:val="Compact"/>
              <w:jc w:val="left"/>
            </w:pPr>
            <w:r>
              <w:t xml:space="preserve">0.533 [0.525, 0.540]</w:t>
            </w:r>
          </w:p>
        </w:tc>
        <w:tc>
          <w:tcPr/>
          <w:p>
            <w:pPr>
              <w:pStyle w:val="Compact"/>
              <w:jc w:val="left"/>
            </w:pPr>
            <w:r>
              <w:t xml:space="preserve">0.922</w:t>
            </w:r>
          </w:p>
        </w:tc>
      </w:tr>
    </w:tbl>
    <w:p>
      <w:pPr>
        <w:pStyle w:val="BodyText"/>
      </w:pPr>
      <w:r>
        <w:rPr>
          <w:iCs/>
          <w:i/>
        </w:rPr>
        <w:t xml:space="preserve">Table 9.4 — Memory advantage and hit rate move in opposite directions as skew rises.</w:t>
      </w:r>
    </w:p>
    <w:p>
      <w:pPr>
        <w:pStyle w:val="BodyText"/>
      </w:pPr>
      <w:r>
        <w:t xml:space="preserve">The seed-to-seed range is negligible, so the trend is not noise. The two columns moving in opposite directions is the whole story of this chapter in miniature: the thing skew helps (hit rate, hence reconstruction cost) and the thing skew hurts (relative memory advantage) are different things, and a design decision needs both.</w:t>
      </w:r>
    </w:p>
    <w:bookmarkEnd w:id="160"/>
    <w:bookmarkEnd w:id="161"/>
    <w:bookmarkStart w:id="166" w:name="Xcb871d0411dc45e718596ca85656f3264752fd0"/>
    <w:p>
      <w:pPr>
        <w:pStyle w:val="Heading2"/>
      </w:pPr>
      <w:r>
        <w:t xml:space="preserve">9.4 Cost, Policy, and Mechanism Results (Measured)</w:t>
      </w:r>
    </w:p>
    <w:bookmarkStart w:id="162" w:name="Xfb7e90c8de94b648fa5b9f76de01abe422ff17d"/>
    <w:p>
      <w:pPr>
        <w:pStyle w:val="Heading3"/>
      </w:pPr>
      <w:r>
        <w:t xml:space="preserve">9.4.1 Is the cost of a read history-shaped or workload-shaped? — a falsification, a refinement, and a fix</w:t>
      </w:r>
    </w:p>
    <w:p>
      <w:pPr>
        <w:pStyle w:val="FirstParagraph"/>
      </w:pPr>
      <w:r>
        <w:t xml:space="preserve">This is the thesis’s cost-law claim (SC3/H2):</w:t>
      </w:r>
      <w:r>
        <w:t xml:space="preserve"> </w:t>
      </w:r>
      <w:r>
        <w:rPr>
          <w:iCs/>
          <w:i/>
        </w:rPr>
        <w:t xml:space="preserve">the marginal price is workload-shaped, not history-shaped</w:t>
      </w:r>
      <w:r>
        <w:t xml:space="preserve">. It was tested in three stages, and the first two refuted it.</w:t>
      </w:r>
    </w:p>
    <w:p>
      <w:pPr>
        <w:pStyle w:val="BodyText"/>
      </w:pPr>
      <w:r>
        <w:rPr>
          <w:bCs/>
          <w:b/>
        </w:rPr>
        <w:t xml:space="preserve">Stage 1 (E5) — fixed key space.</w:t>
      </w:r>
      <w:r>
        <w:t xml:space="preserve"> </w:t>
      </w:r>
      <w:r>
        <w:t xml:space="preserve">With 2,000 accounts held fixed and total writes swept, base rows read per reconstruction were: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Writes</w:t>
            </w:r>
          </w:p>
        </w:tc>
        <w:tc>
          <w:tcPr/>
          <w:p>
            <w:pPr>
              <w:pStyle w:val="Compact"/>
              <w:jc w:val="left"/>
            </w:pPr>
            <w:r>
              <w:t xml:space="preserve">Ledger epochs</w:t>
            </w:r>
          </w:p>
        </w:tc>
        <w:tc>
          <w:tcPr/>
          <w:p>
            <w:pPr>
              <w:pStyle w:val="Compact"/>
              <w:jc w:val="left"/>
            </w:pPr>
            <w:r>
              <w:t xml:space="preserve">Indexed reconstruction</w:t>
            </w:r>
          </w:p>
        </w:tc>
        <w:tc>
          <w:tcPr/>
          <w:p>
            <w:pPr>
              <w:pStyle w:val="Compact"/>
              <w:jc w:val="left"/>
            </w:pPr>
            <w:r>
              <w:t xml:space="preserve">Unindexed scan</w:t>
            </w:r>
          </w:p>
        </w:tc>
      </w:tr>
      <w:tr>
        <w:tc>
          <w:tcPr/>
          <w:p>
            <w:pPr>
              <w:pStyle w:val="Compact"/>
              <w:jc w:val="left"/>
            </w:pPr>
            <w:r>
              <w:t xml:space="preserve">5,000</w:t>
            </w:r>
          </w:p>
        </w:tc>
        <w:tc>
          <w:tcPr/>
          <w:p>
            <w:pPr>
              <w:pStyle w:val="Compact"/>
              <w:jc w:val="left"/>
            </w:pPr>
            <w:r>
              <w:t xml:space="preserve">5,004</w:t>
            </w:r>
          </w:p>
        </w:tc>
        <w:tc>
          <w:tcPr/>
          <w:p>
            <w:pPr>
              <w:pStyle w:val="Compact"/>
              <w:jc w:val="left"/>
            </w:pPr>
            <w:r>
              <w:t xml:space="preserve">124.5</w:t>
            </w:r>
          </w:p>
        </w:tc>
        <w:tc>
          <w:tcPr/>
          <w:p>
            <w:pPr>
              <w:pStyle w:val="Compact"/>
              <w:jc w:val="left"/>
            </w:pPr>
            <w:r>
              <w:t xml:space="preserve">14,000</w:t>
            </w:r>
          </w:p>
        </w:tc>
      </w:tr>
      <w:tr>
        <w:tc>
          <w:tcPr/>
          <w:p>
            <w:pPr>
              <w:pStyle w:val="Compact"/>
              <w:jc w:val="left"/>
            </w:pPr>
            <w:r>
              <w:t xml:space="preserve">20,000</w:t>
            </w:r>
          </w:p>
        </w:tc>
        <w:tc>
          <w:tcPr/>
          <w:p>
            <w:pPr>
              <w:pStyle w:val="Compact"/>
              <w:jc w:val="left"/>
            </w:pPr>
            <w:r>
              <w:t xml:space="preserve">20,004</w:t>
            </w:r>
          </w:p>
        </w:tc>
        <w:tc>
          <w:tcPr/>
          <w:p>
            <w:pPr>
              <w:pStyle w:val="Compact"/>
              <w:jc w:val="left"/>
            </w:pPr>
            <w:r>
              <w:t xml:space="preserve">499.3</w:t>
            </w:r>
          </w:p>
        </w:tc>
        <w:tc>
          <w:tcPr/>
          <w:p>
            <w:pPr>
              <w:pStyle w:val="Compact"/>
              <w:jc w:val="left"/>
            </w:pPr>
            <w:r>
              <w:t xml:space="preserve">44,000</w:t>
            </w:r>
          </w:p>
        </w:tc>
      </w:tr>
      <w:tr>
        <w:tc>
          <w:tcPr/>
          <w:p>
            <w:pPr>
              <w:pStyle w:val="Compact"/>
              <w:jc w:val="left"/>
            </w:pPr>
            <w:r>
              <w:t xml:space="preserve">80,000</w:t>
            </w:r>
          </w:p>
        </w:tc>
        <w:tc>
          <w:tcPr/>
          <w:p>
            <w:pPr>
              <w:pStyle w:val="Compact"/>
              <w:jc w:val="left"/>
            </w:pPr>
            <w:r>
              <w:t xml:space="preserve">80,004</w:t>
            </w:r>
          </w:p>
        </w:tc>
        <w:tc>
          <w:tcPr/>
          <w:p>
            <w:pPr>
              <w:pStyle w:val="Compact"/>
              <w:jc w:val="left"/>
            </w:pPr>
            <w:r>
              <w:t xml:space="preserve">2,009.8</w:t>
            </w:r>
          </w:p>
        </w:tc>
        <w:tc>
          <w:tcPr/>
          <w:p>
            <w:pPr>
              <w:pStyle w:val="Compact"/>
              <w:jc w:val="left"/>
            </w:pPr>
            <w:r>
              <w:t xml:space="preserve">164,000</w:t>
            </w:r>
          </w:p>
        </w:tc>
      </w:tr>
      <w:tr>
        <w:tc>
          <w:tcPr/>
          <w:p>
            <w:pPr>
              <w:pStyle w:val="Compact"/>
              <w:jc w:val="left"/>
            </w:pPr>
            <w:r>
              <w:t xml:space="preserve">320,000</w:t>
            </w:r>
          </w:p>
        </w:tc>
        <w:tc>
          <w:tcPr/>
          <w:p>
            <w:pPr>
              <w:pStyle w:val="Compact"/>
              <w:jc w:val="left"/>
            </w:pPr>
            <w:r>
              <w:t xml:space="preserve">320,004</w:t>
            </w:r>
          </w:p>
        </w:tc>
        <w:tc>
          <w:tcPr/>
          <w:p>
            <w:pPr>
              <w:pStyle w:val="Compact"/>
              <w:jc w:val="left"/>
            </w:pPr>
            <w:r>
              <w:t xml:space="preserve">8,008.9</w:t>
            </w:r>
          </w:p>
        </w:tc>
        <w:tc>
          <w:tcPr/>
          <w:p>
            <w:pPr>
              <w:pStyle w:val="Compact"/>
              <w:jc w:val="left"/>
            </w:pPr>
            <w:r>
              <w:t xml:space="preserve">644,000</w:t>
            </w:r>
          </w:p>
        </w:tc>
      </w:tr>
    </w:tbl>
    <w:p>
      <w:pPr>
        <w:pStyle w:val="BodyText"/>
      </w:pPr>
      <w:r>
        <w:rPr>
          <w:iCs/>
          <w:i/>
        </w:rPr>
        <w:t xml:space="preserve">Table 9.5 — Reconstruction cost grows linearly with history when the key space is fixed. The anchor index gives an 80–112× reduction over a full scan, but does not change the growth.</w:t>
      </w:r>
    </w:p>
    <w:p>
      <w:pPr>
        <w:pStyle w:val="BodyText"/>
      </w:pPr>
      <w:r>
        <w:t xml:space="preserve">Cost grew 64× as history grew 64×.</w:t>
      </w:r>
      <w:r>
        <w:t xml:space="preserve"> </w:t>
      </w:r>
      <w:r>
        <w:rPr>
          <w:bCs/>
          <w:b/>
        </w:rPr>
        <w:t xml:space="preserve">The claim is false in this form.</w:t>
      </w:r>
      <w:r>
        <w:t xml:space="preserve"> </w:t>
      </w:r>
      <w:r>
        <w:t xml:space="preserve">The anchor index — the structure the earlier draft credited with making cost history-independent — buys two orders of magnitude in constant factor and</w:t>
      </w:r>
      <w:r>
        <w:t xml:space="preserve"> </w:t>
      </w:r>
      <w:r>
        <w:rPr>
          <w:iCs/>
          <w:i/>
        </w:rPr>
        <w:t xml:space="preserve">nothing</w:t>
      </w:r>
      <w:r>
        <w:t xml:space="preserve"> </w:t>
      </w:r>
      <w:r>
        <w:t xml:space="preserve">in asymptotics.</w:t>
      </w:r>
    </w:p>
    <w:p>
      <w:pPr>
        <w:pStyle w:val="BodyText"/>
      </w:pPr>
      <w:r>
        <w:rPr>
          <w:bCs/>
          <w:b/>
        </w:rPr>
        <w:t xml:space="preserve">Stage 2 (E9) — key space grown in proportion.</w:t>
      </w:r>
      <w:r>
        <w:t xml:space="preserve"> </w:t>
      </w:r>
      <w:r>
        <w:t xml:space="preserve">The obvious defence is that a real institution opens accounts as it grows, so per-key update counts stay bounded. Tested by growing accounts with writes at a fixed ratio: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Writes</w:t>
            </w:r>
          </w:p>
        </w:tc>
        <w:tc>
          <w:tcPr/>
          <w:p>
            <w:pPr>
              <w:pStyle w:val="Compact"/>
              <w:jc w:val="left"/>
            </w:pPr>
            <w:r>
              <w:t xml:space="preserve">Accounts</w:t>
            </w:r>
          </w:p>
        </w:tc>
        <w:tc>
          <w:tcPr/>
          <w:p>
            <w:pPr>
              <w:pStyle w:val="Compact"/>
              <w:jc w:val="left"/>
            </w:pPr>
            <w:r>
              <w:t xml:space="preserve">Rows read per reconstruction</w:t>
            </w:r>
          </w:p>
        </w:tc>
        <w:tc>
          <w:tcPr/>
          <w:p>
            <w:pPr>
              <w:pStyle w:val="Compact"/>
              <w:jc w:val="left"/>
            </w:pPr>
            <w:r>
              <w:t xml:space="preserve">Per-key updates</w:t>
            </w:r>
          </w:p>
        </w:tc>
      </w:tr>
      <w:tr>
        <w:tc>
          <w:tcPr/>
          <w:p>
            <w:pPr>
              <w:pStyle w:val="Compact"/>
              <w:jc w:val="left"/>
            </w:pPr>
            <w:r>
              <w:t xml:space="preserve">5,000</w:t>
            </w:r>
          </w:p>
        </w:tc>
        <w:tc>
          <w:tcPr/>
          <w:p>
            <w:pPr>
              <w:pStyle w:val="Compact"/>
              <w:jc w:val="left"/>
            </w:pPr>
            <w:r>
              <w:t xml:space="preserve">500</w:t>
            </w:r>
          </w:p>
        </w:tc>
        <w:tc>
          <w:tcPr/>
          <w:p>
            <w:pPr>
              <w:pStyle w:val="Compact"/>
              <w:jc w:val="left"/>
            </w:pPr>
            <w:r>
              <w:t xml:space="preserve">210.4</w:t>
            </w:r>
          </w:p>
        </w:tc>
        <w:tc>
          <w:tcPr/>
          <w:p>
            <w:pPr>
              <w:pStyle w:val="Compact"/>
              <w:jc w:val="left"/>
            </w:pPr>
            <w:r>
              <w:t xml:space="preserve">210.4</w:t>
            </w:r>
          </w:p>
        </w:tc>
      </w:tr>
      <w:tr>
        <w:tc>
          <w:tcPr/>
          <w:p>
            <w:pPr>
              <w:pStyle w:val="Compact"/>
              <w:jc w:val="left"/>
            </w:pPr>
            <w:r>
              <w:t xml:space="preserve">20,000</w:t>
            </w:r>
          </w:p>
        </w:tc>
        <w:tc>
          <w:tcPr/>
          <w:p>
            <w:pPr>
              <w:pStyle w:val="Compact"/>
              <w:jc w:val="left"/>
            </w:pPr>
            <w:r>
              <w:t xml:space="preserve">2,000</w:t>
            </w:r>
          </w:p>
        </w:tc>
        <w:tc>
          <w:tcPr/>
          <w:p>
            <w:pPr>
              <w:pStyle w:val="Compact"/>
              <w:jc w:val="left"/>
            </w:pPr>
            <w:r>
              <w:t xml:space="preserve">499.3</w:t>
            </w:r>
          </w:p>
        </w:tc>
        <w:tc>
          <w:tcPr/>
          <w:p>
            <w:pPr>
              <w:pStyle w:val="Compact"/>
              <w:jc w:val="left"/>
            </w:pPr>
            <w:r>
              <w:t xml:space="preserve">499.3</w:t>
            </w:r>
          </w:p>
        </w:tc>
      </w:tr>
      <w:tr>
        <w:tc>
          <w:tcPr/>
          <w:p>
            <w:pPr>
              <w:pStyle w:val="Compact"/>
              <w:jc w:val="left"/>
            </w:pPr>
            <w:r>
              <w:t xml:space="preserve">80,000</w:t>
            </w:r>
          </w:p>
        </w:tc>
        <w:tc>
          <w:tcPr/>
          <w:p>
            <w:pPr>
              <w:pStyle w:val="Compact"/>
              <w:jc w:val="left"/>
            </w:pPr>
            <w:r>
              <w:t xml:space="preserve">8,000</w:t>
            </w:r>
          </w:p>
        </w:tc>
        <w:tc>
          <w:tcPr/>
          <w:p>
            <w:pPr>
              <w:pStyle w:val="Compact"/>
              <w:jc w:val="left"/>
            </w:pPr>
            <w:r>
              <w:t xml:space="preserve">1,245.9</w:t>
            </w:r>
          </w:p>
        </w:tc>
        <w:tc>
          <w:tcPr/>
          <w:p>
            <w:pPr>
              <w:pStyle w:val="Compact"/>
              <w:jc w:val="left"/>
            </w:pPr>
            <w:r>
              <w:t xml:space="preserve">1,245.9</w:t>
            </w:r>
          </w:p>
        </w:tc>
      </w:tr>
      <w:tr>
        <w:tc>
          <w:tcPr/>
          <w:p>
            <w:pPr>
              <w:pStyle w:val="Compact"/>
              <w:jc w:val="left"/>
            </w:pPr>
            <w:r>
              <w:t xml:space="preserve">320,000</w:t>
            </w:r>
          </w:p>
        </w:tc>
        <w:tc>
          <w:tcPr/>
          <w:p>
            <w:pPr>
              <w:pStyle w:val="Compact"/>
              <w:jc w:val="left"/>
            </w:pPr>
            <w:r>
              <w:t xml:space="preserve">32,000</w:t>
            </w:r>
          </w:p>
        </w:tc>
        <w:tc>
          <w:tcPr/>
          <w:p>
            <w:pPr>
              <w:pStyle w:val="Compact"/>
              <w:jc w:val="left"/>
            </w:pPr>
            <w:r>
              <w:t xml:space="preserve">3,303.7</w:t>
            </w:r>
          </w:p>
        </w:tc>
        <w:tc>
          <w:tcPr/>
          <w:p>
            <w:pPr>
              <w:pStyle w:val="Compact"/>
              <w:jc w:val="left"/>
            </w:pPr>
            <w:r>
              <w:t xml:space="preserve">3,303.7</w:t>
            </w:r>
          </w:p>
        </w:tc>
      </w:tr>
    </w:tbl>
    <w:p>
      <w:pPr>
        <w:pStyle w:val="BodyText"/>
      </w:pPr>
      <w:r>
        <w:rPr>
          <w:iCs/>
          <w:i/>
        </w:rPr>
        <w:t xml:space="preserve">Table 9.6 — The defence fails. Cost still grows ~16× as history grows 64×.</w:t>
      </w:r>
    </w:p>
    <w:p>
      <w:pPr>
        <w:pStyle w:val="BodyText"/>
      </w:pPr>
      <w:r>
        <w:t xml:space="preserve">The reason is instructive and is a property of skew itself: under a Zipf distribution the</w:t>
      </w:r>
      <w:r>
        <w:t xml:space="preserve"> </w:t>
      </w:r>
      <w:r>
        <w:rPr>
          <w:iCs/>
          <w:i/>
        </w:rPr>
        <w:t xml:space="preserve">hottest</w:t>
      </w:r>
      <w:r>
        <w:t xml:space="preserve"> </w:t>
      </w:r>
      <w:r>
        <w:t xml:space="preserve">keys retain a roughly constant share of traffic, so their absolute update count grows with total traffic no matter how many new cold keys are added. Reconstruction reads are drawn from the same distribution, so they preferentially hit exactly those keys. Growing the key space dilutes the tail, not the head.</w:t>
      </w:r>
    </w:p>
    <w:p>
      <w:pPr>
        <w:pStyle w:val="BodyText"/>
      </w:pPr>
      <w:r>
        <w:rPr>
          <w:bCs/>
          <w:b/>
        </w:rPr>
        <w:t xml:space="preserve">Stage 3 (E10) — the fix, and its confirmation.</w:t>
      </w:r>
      <w:r>
        <w:t xml:space="preserve"> </w:t>
      </w:r>
      <w:r>
        <w:t xml:space="preserve">The mechanism the design was missing is a</w:t>
      </w:r>
      <w:r>
        <w:t xml:space="preserve"> </w:t>
      </w:r>
      <w:r>
        <w:rPr>
          <w:bCs/>
          <w:b/>
        </w:rPr>
        <w:t xml:space="preserve">per-key checkpoint</w:t>
      </w:r>
      <w:r>
        <w:t xml:space="preserve">: every</w:t>
      </w:r>
      <w:r>
        <w:t xml:space="preserve"> </w:t>
      </w:r>
      <w:r>
        <w:rPr>
          <w:iCs/>
          <w:i/>
        </w:rPr>
        <w:t xml:space="preserve">C</w:t>
      </w:r>
      <w:r>
        <w:t xml:space="preserve"> </w:t>
      </w:r>
      <w:r>
        <w:t xml:space="preserve">postings on a key, record (epoch, running balance), so a reconstruction folds only the suffix since the newest checkpoint at or before the anchor. A checkpoint is derived state — recomputable from the base — so it costs nothing in immutability, retention or auditability.</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Writes</w:t>
            </w:r>
          </w:p>
        </w:tc>
        <w:tc>
          <w:tcPr/>
          <w:p>
            <w:pPr>
              <w:pStyle w:val="Compact"/>
              <w:jc w:val="left"/>
            </w:pPr>
            <w:r>
              <w:t xml:space="preserve">No checkpoint</w:t>
            </w:r>
          </w:p>
        </w:tc>
        <w:tc>
          <w:tcPr/>
          <w:p>
            <w:pPr>
              <w:pStyle w:val="Compact"/>
              <w:jc w:val="left"/>
            </w:pPr>
            <w:r>
              <w:t xml:space="preserve">C = 256</w:t>
            </w:r>
          </w:p>
        </w:tc>
        <w:tc>
          <w:tcPr/>
          <w:p>
            <w:pPr>
              <w:pStyle w:val="Compact"/>
              <w:jc w:val="left"/>
            </w:pPr>
            <w:r>
              <w:t xml:space="preserve">C = 64</w:t>
            </w:r>
          </w:p>
        </w:tc>
        <w:tc>
          <w:tcPr/>
          <w:p>
            <w:pPr>
              <w:pStyle w:val="Compact"/>
              <w:jc w:val="left"/>
            </w:pPr>
            <w:r>
              <w:t xml:space="preserve">C = 16</w:t>
            </w:r>
          </w:p>
        </w:tc>
      </w:tr>
      <w:tr>
        <w:tc>
          <w:tcPr/>
          <w:p>
            <w:pPr>
              <w:pStyle w:val="Compact"/>
              <w:jc w:val="left"/>
            </w:pPr>
            <w:r>
              <w:t xml:space="preserve">5,000</w:t>
            </w:r>
          </w:p>
        </w:tc>
        <w:tc>
          <w:tcPr/>
          <w:p>
            <w:pPr>
              <w:pStyle w:val="Compact"/>
              <w:jc w:val="left"/>
            </w:pPr>
            <w:r>
              <w:t xml:space="preserve">124.5</w:t>
            </w:r>
          </w:p>
        </w:tc>
        <w:tc>
          <w:tcPr/>
          <w:p>
            <w:pPr>
              <w:pStyle w:val="Compact"/>
              <w:jc w:val="left"/>
            </w:pPr>
            <w:r>
              <w:t xml:space="preserve">45.9</w:t>
            </w:r>
          </w:p>
        </w:tc>
        <w:tc>
          <w:tcPr/>
          <w:p>
            <w:pPr>
              <w:pStyle w:val="Compact"/>
              <w:jc w:val="left"/>
            </w:pPr>
            <w:r>
              <w:t xml:space="preserve">19.9</w:t>
            </w:r>
          </w:p>
        </w:tc>
        <w:tc>
          <w:tcPr/>
          <w:p>
            <w:pPr>
              <w:pStyle w:val="Compact"/>
              <w:jc w:val="left"/>
            </w:pPr>
            <w:r>
              <w:t xml:space="preserve">6.8</w:t>
            </w:r>
          </w:p>
        </w:tc>
      </w:tr>
      <w:tr>
        <w:tc>
          <w:tcPr/>
          <w:p>
            <w:pPr>
              <w:pStyle w:val="Compact"/>
              <w:jc w:val="left"/>
            </w:pPr>
            <w:r>
              <w:t xml:space="preserve">20,000</w:t>
            </w:r>
          </w:p>
        </w:tc>
        <w:tc>
          <w:tcPr/>
          <w:p>
            <w:pPr>
              <w:pStyle w:val="Compact"/>
              <w:jc w:val="left"/>
            </w:pPr>
            <w:r>
              <w:t xml:space="preserve">499.3</w:t>
            </w:r>
          </w:p>
        </w:tc>
        <w:tc>
          <w:tcPr/>
          <w:p>
            <w:pPr>
              <w:pStyle w:val="Compact"/>
              <w:jc w:val="left"/>
            </w:pPr>
            <w:r>
              <w:t xml:space="preserve">78.4</w:t>
            </w:r>
          </w:p>
        </w:tc>
        <w:tc>
          <w:tcPr/>
          <w:p>
            <w:pPr>
              <w:pStyle w:val="Compact"/>
              <w:jc w:val="left"/>
            </w:pPr>
            <w:r>
              <w:t xml:space="preserve">26.1</w:t>
            </w:r>
          </w:p>
        </w:tc>
        <w:tc>
          <w:tcPr/>
          <w:p>
            <w:pPr>
              <w:pStyle w:val="Compact"/>
              <w:jc w:val="left"/>
            </w:pPr>
            <w:r>
              <w:t xml:space="preserve">8.3</w:t>
            </w:r>
          </w:p>
        </w:tc>
      </w:tr>
      <w:tr>
        <w:tc>
          <w:tcPr/>
          <w:p>
            <w:pPr>
              <w:pStyle w:val="Compact"/>
              <w:jc w:val="left"/>
            </w:pPr>
            <w:r>
              <w:t xml:space="preserve">80,000</w:t>
            </w:r>
          </w:p>
        </w:tc>
        <w:tc>
          <w:tcPr/>
          <w:p>
            <w:pPr>
              <w:pStyle w:val="Compact"/>
              <w:jc w:val="left"/>
            </w:pPr>
            <w:r>
              <w:t xml:space="preserve">2,009.8</w:t>
            </w:r>
          </w:p>
        </w:tc>
        <w:tc>
          <w:tcPr/>
          <w:p>
            <w:pPr>
              <w:pStyle w:val="Compact"/>
              <w:jc w:val="left"/>
            </w:pPr>
            <w:r>
              <w:t xml:space="preserve">102.1</w:t>
            </w:r>
          </w:p>
        </w:tc>
        <w:tc>
          <w:tcPr/>
          <w:p>
            <w:pPr>
              <w:pStyle w:val="Compact"/>
              <w:jc w:val="left"/>
            </w:pPr>
            <w:r>
              <w:t xml:space="preserve">30.8</w:t>
            </w:r>
          </w:p>
        </w:tc>
        <w:tc>
          <w:tcPr/>
          <w:p>
            <w:pPr>
              <w:pStyle w:val="Compact"/>
              <w:jc w:val="left"/>
            </w:pPr>
            <w:r>
              <w:t xml:space="preserve">8.0</w:t>
            </w:r>
          </w:p>
        </w:tc>
      </w:tr>
      <w:tr>
        <w:tc>
          <w:tcPr/>
          <w:p>
            <w:pPr>
              <w:pStyle w:val="Compact"/>
              <w:jc w:val="left"/>
            </w:pPr>
            <w:r>
              <w:t xml:space="preserve">320,000</w:t>
            </w:r>
          </w:p>
        </w:tc>
        <w:tc>
          <w:tcPr/>
          <w:p>
            <w:pPr>
              <w:pStyle w:val="Compact"/>
              <w:jc w:val="left"/>
            </w:pPr>
            <w:r>
              <w:t xml:space="preserve">8,008.9</w:t>
            </w:r>
          </w:p>
        </w:tc>
        <w:tc>
          <w:tcPr/>
          <w:p>
            <w:pPr>
              <w:pStyle w:val="Compact"/>
              <w:jc w:val="left"/>
            </w:pPr>
            <w:r>
              <w:t xml:space="preserve">123.2</w:t>
            </w:r>
          </w:p>
        </w:tc>
        <w:tc>
          <w:tcPr/>
          <w:p>
            <w:pPr>
              <w:pStyle w:val="Compact"/>
              <w:jc w:val="left"/>
            </w:pPr>
            <w:r>
              <w:t xml:space="preserve">32.0</w:t>
            </w:r>
          </w:p>
        </w:tc>
        <w:tc>
          <w:tcPr/>
          <w:p>
            <w:pPr>
              <w:pStyle w:val="Compact"/>
              <w:jc w:val="left"/>
            </w:pPr>
            <w:r>
              <w:rPr>
                <w:bCs/>
                <w:b/>
              </w:rPr>
              <w:t xml:space="preserve">8.5</w:t>
            </w:r>
          </w:p>
        </w:tc>
      </w:tr>
    </w:tbl>
    <w:p>
      <w:pPr>
        <w:pStyle w:val="BodyText"/>
      </w:pPr>
      <w:r>
        <w:rPr>
          <w:iCs/>
          <w:i/>
        </w:rPr>
        <w:t xml:space="preserve">Table 9.7 — Per-key checkpoints restore bounded reconstruction cost. At C = 16, cost is flat across a 64× increase in history and sits at ≈ C/2 + 1, exactly as theory predicts.</w:t>
      </w:r>
    </w:p>
    <w:p>
      <w:pPr>
        <w:pStyle w:val="BodyText"/>
      </w:pPr>
      <w:r>
        <w:t xml:space="preserve">At C = 16 the cost rises from 6.8 to 8.5 — a factor of 1.25 — while history grows 64×. The predicted value is the mean distance back to the previous checkpoint plus one checkpoint read, i.e. C/2 + 1 = 9, and the measurement lands just under it. At C = 64 the cost is 32.0 against a predicted 33.</w:t>
      </w:r>
      <w:r>
        <w:t xml:space="preserve"> </w:t>
      </w:r>
      <w:r>
        <w:rPr>
          <w:bCs/>
          <w:b/>
        </w:rPr>
        <w:t xml:space="preserve">The cost law holds, but only with checkpointing, and its constant is C/2 + 1 — a number the designer chooses.</w:t>
      </w:r>
    </w:p>
    <w:p>
      <w:pPr>
        <w:pStyle w:val="BodyText"/>
      </w:pPr>
      <w:r>
        <w:t xml:space="preserve">This is the most consequential empirical result in the thesis, because it converts an asserted asymptotic property into a</w:t>
      </w:r>
      <w:r>
        <w:t xml:space="preserve"> </w:t>
      </w:r>
      <w:r>
        <w:rPr>
          <w:iCs/>
          <w:i/>
        </w:rPr>
        <w:t xml:space="preserve">design obligation</w:t>
      </w:r>
      <w:r>
        <w:t xml:space="preserve">. It also explains, retrospectively, why production ledgers maintain running balances rather than folding from the journal on demand, and why one purpose-built ledger offers a per-account flag to retain balance history at all: they are paying for the same bound by a different name. The formal statement is added to Chapter 3 as the</w:t>
      </w:r>
      <w:r>
        <w:t xml:space="preserve"> </w:t>
      </w:r>
      <w:r>
        <w:rPr>
          <w:bCs/>
          <w:b/>
        </w:rPr>
        <w:t xml:space="preserve">Bounded Reconstruction Theorem</w:t>
      </w:r>
      <w:r>
        <w:t xml:space="preserve"> </w:t>
      </w:r>
      <w:r>
        <w:t xml:space="preserve">and to Chapter 4 as contribution</w:t>
      </w:r>
      <w:r>
        <w:t xml:space="preserve"> </w:t>
      </w:r>
      <w:r>
        <w:rPr>
          <w:bCs/>
          <w:b/>
        </w:rPr>
        <w:t xml:space="preserve">SC7</w:t>
      </w:r>
      <w:r>
        <w:t xml:space="preserve">, and the honest reading of the earlier draft is that it claimed the conclusion without the mechanism that makes it true.</w:t>
      </w:r>
    </w:p>
    <w:bookmarkEnd w:id="162"/>
    <w:bookmarkStart w:id="163" w:name="X12ee736b9c253ad74536ac189144cda9b3bb027"/>
    <w:p>
      <w:pPr>
        <w:pStyle w:val="Heading3"/>
      </w:pPr>
      <w:r>
        <w:t xml:space="preserve">9.4.2 Eviction policy under reconstruction latency</w:t>
      </w:r>
    </w:p>
    <w:p>
      <w:pPr>
        <w:pStyle w:val="FirstParagraph"/>
      </w:pPr>
      <w:r>
        <w:t xml:space="preserve">Three policies compared on identical workloads (10,000 accounts,</w:t>
      </w:r>
      <w:r>
        <w:t xml:space="preserve"> </w:t>
      </w:r>
      <w:r>
        <w:rPr>
          <w:iCs/>
          <w:i/>
        </w:rPr>
        <w:t xml:space="preserve">s</w:t>
      </w:r>
      <w:r>
        <w:t xml:space="preserve"> </w:t>
      </w:r>
      <w:r>
        <w:t xml:space="preserve">= 0.9, budget 5%, 40,000 operations), including the randomized policy that the original partial-state system used, so the comparison has a real baseline and not merely the system against itself.</w:t>
      </w:r>
      <w:r>
        <w:t xml:space="preserve"> </w:t>
      </w:r>
      <w:r>
        <w:rPr>
          <w:rStyle w:val="VerbatimChar"/>
        </w:rPr>
        <w:t xml:space="preserve">service_time</w:t>
      </w:r>
      <w:r>
        <w:t xml:space="preserve"> </w:t>
      </w:r>
      <w:r>
        <w:t xml:space="preserve">is the modelled reconstruction service time; the aggregate-delay column charges each reconstruction for the requests that queue behind it.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service_time</w:t>
            </w:r>
          </w:p>
        </w:tc>
        <w:tc>
          <w:tcPr/>
          <w:p>
            <w:pPr>
              <w:pStyle w:val="Compact"/>
              <w:jc w:val="left"/>
            </w:pPr>
            <w:r>
              <w:t xml:space="preserve">Policy</w:t>
            </w:r>
          </w:p>
        </w:tc>
        <w:tc>
          <w:tcPr/>
          <w:p>
            <w:pPr>
              <w:pStyle w:val="Compact"/>
              <w:jc w:val="left"/>
            </w:pPr>
            <w:r>
              <w:t xml:space="preserve">Misses</w:t>
            </w:r>
          </w:p>
        </w:tc>
        <w:tc>
          <w:tcPr/>
          <w:p>
            <w:pPr>
              <w:pStyle w:val="Compact"/>
              <w:jc w:val="left"/>
            </w:pPr>
            <w:r>
              <w:t xml:space="preserve">Base rows read</w:t>
            </w:r>
          </w:p>
        </w:tc>
        <w:tc>
          <w:tcPr/>
          <w:p>
            <w:pPr>
              <w:pStyle w:val="Compact"/>
              <w:jc w:val="left"/>
            </w:pPr>
            <w:r>
              <w:t xml:space="preserve">Aggregate delay</w:t>
            </w:r>
          </w:p>
        </w:tc>
      </w:tr>
      <w:tr>
        <w:tc>
          <w:tcPr/>
          <w:p>
            <w:pPr>
              <w:pStyle w:val="Compact"/>
              <w:jc w:val="left"/>
            </w:pPr>
            <w:r>
              <w:t xml:space="preserve">0</w:t>
            </w:r>
          </w:p>
        </w:tc>
        <w:tc>
          <w:tcPr/>
          <w:p>
            <w:pPr>
              <w:pStyle w:val="Compact"/>
              <w:jc w:val="left"/>
            </w:pPr>
            <w:r>
              <w:t xml:space="preserve">random</w:t>
            </w:r>
          </w:p>
        </w:tc>
        <w:tc>
          <w:tcPr/>
          <w:p>
            <w:pPr>
              <w:pStyle w:val="Compact"/>
              <w:jc w:val="left"/>
            </w:pPr>
            <w:r>
              <w:t xml:space="preserve">21,170</w:t>
            </w:r>
          </w:p>
        </w:tc>
        <w:tc>
          <w:tcPr/>
          <w:p>
            <w:pPr>
              <w:pStyle w:val="Compact"/>
              <w:jc w:val="left"/>
            </w:pPr>
            <w:r>
              <w:t xml:space="preserve">92,144</w:t>
            </w:r>
          </w:p>
        </w:tc>
        <w:tc>
          <w:tcPr/>
          <w:p>
            <w:pPr>
              <w:pStyle w:val="Compact"/>
              <w:jc w:val="left"/>
            </w:pPr>
            <w:r>
              <w:t xml:space="preserve">—</w:t>
            </w:r>
          </w:p>
        </w:tc>
      </w:tr>
      <w:tr>
        <w:tc>
          <w:tcPr/>
          <w:p>
            <w:pPr>
              <w:pStyle w:val="Compact"/>
              <w:jc w:val="left"/>
            </w:pPr>
            <w:r>
              <w:t xml:space="preserve">0</w:t>
            </w:r>
          </w:p>
        </w:tc>
        <w:tc>
          <w:tcPr/>
          <w:p>
            <w:pPr>
              <w:pStyle w:val="Compact"/>
              <w:jc w:val="left"/>
            </w:pPr>
            <w:r>
              <w:t xml:space="preserve">LRU</w:t>
            </w:r>
          </w:p>
        </w:tc>
        <w:tc>
          <w:tcPr/>
          <w:p>
            <w:pPr>
              <w:pStyle w:val="Compact"/>
              <w:jc w:val="left"/>
            </w:pPr>
            <w:r>
              <w:t xml:space="preserve">19,583</w:t>
            </w:r>
          </w:p>
        </w:tc>
        <w:tc>
          <w:tcPr/>
          <w:p>
            <w:pPr>
              <w:pStyle w:val="Compact"/>
              <w:jc w:val="left"/>
            </w:pPr>
            <w:r>
              <w:t xml:space="preserve">41,002</w:t>
            </w:r>
          </w:p>
        </w:tc>
        <w:tc>
          <w:tcPr/>
          <w:p>
            <w:pPr>
              <w:pStyle w:val="Compact"/>
              <w:jc w:val="left"/>
            </w:pPr>
            <w:r>
              <w:t xml:space="preserve">—</w:t>
            </w:r>
          </w:p>
        </w:tc>
      </w:tr>
      <w:tr>
        <w:tc>
          <w:tcPr/>
          <w:p>
            <w:pPr>
              <w:pStyle w:val="Compact"/>
              <w:jc w:val="left"/>
            </w:pPr>
            <w:r>
              <w:t xml:space="preserve">0</w:t>
            </w:r>
          </w:p>
        </w:tc>
        <w:tc>
          <w:tcPr/>
          <w:p>
            <w:pPr>
              <w:pStyle w:val="Compact"/>
              <w:jc w:val="left"/>
            </w:pPr>
            <w:r>
              <w:t xml:space="preserve">cost-aware</w:t>
            </w:r>
          </w:p>
        </w:tc>
        <w:tc>
          <w:tcPr/>
          <w:p>
            <w:pPr>
              <w:pStyle w:val="Compact"/>
              <w:jc w:val="left"/>
            </w:pPr>
            <w:r>
              <w:rPr>
                <w:bCs/>
                <w:b/>
              </w:rPr>
              <w:t xml:space="preserve">18,050</w:t>
            </w:r>
          </w:p>
        </w:tc>
        <w:tc>
          <w:tcPr/>
          <w:p>
            <w:pPr>
              <w:pStyle w:val="Compact"/>
              <w:jc w:val="left"/>
            </w:pPr>
            <w:r>
              <w:rPr>
                <w:bCs/>
                <w:b/>
              </w:rPr>
              <w:t xml:space="preserve">28,123</w:t>
            </w:r>
          </w:p>
        </w:tc>
        <w:tc>
          <w:tcPr/>
          <w:p>
            <w:pPr>
              <w:pStyle w:val="Compact"/>
              <w:jc w:val="left"/>
            </w:pPr>
            <w:r>
              <w:t xml:space="preserve">—</w:t>
            </w:r>
          </w:p>
        </w:tc>
      </w:tr>
      <w:tr>
        <w:tc>
          <w:tcPr/>
          <w:p>
            <w:pPr>
              <w:pStyle w:val="Compact"/>
              <w:jc w:val="left"/>
            </w:pPr>
            <w:r>
              <w:t xml:space="preserve">1</w:t>
            </w:r>
          </w:p>
        </w:tc>
        <w:tc>
          <w:tcPr/>
          <w:p>
            <w:pPr>
              <w:pStyle w:val="Compact"/>
              <w:jc w:val="left"/>
            </w:pPr>
            <w:r>
              <w:t xml:space="preserve">random</w:t>
            </w:r>
          </w:p>
        </w:tc>
        <w:tc>
          <w:tcPr/>
          <w:p>
            <w:pPr>
              <w:pStyle w:val="Compact"/>
              <w:jc w:val="left"/>
            </w:pPr>
            <w:r>
              <w:t xml:space="preserve">21,188</w:t>
            </w:r>
          </w:p>
        </w:tc>
        <w:tc>
          <w:tcPr/>
          <w:p>
            <w:pPr>
              <w:pStyle w:val="Compact"/>
              <w:jc w:val="left"/>
            </w:pPr>
            <w:r>
              <w:t xml:space="preserve">93,255</w:t>
            </w:r>
          </w:p>
        </w:tc>
        <w:tc>
          <w:tcPr/>
          <w:p>
            <w:pPr>
              <w:pStyle w:val="Compact"/>
              <w:jc w:val="left"/>
            </w:pPr>
            <w:r>
              <w:t xml:space="preserve">211,880</w:t>
            </w:r>
          </w:p>
        </w:tc>
      </w:tr>
      <w:tr>
        <w:tc>
          <w:tcPr/>
          <w:p>
            <w:pPr>
              <w:pStyle w:val="Compact"/>
              <w:jc w:val="left"/>
            </w:pPr>
            <w:r>
              <w:t xml:space="preserve">1</w:t>
            </w:r>
          </w:p>
        </w:tc>
        <w:tc>
          <w:tcPr/>
          <w:p>
            <w:pPr>
              <w:pStyle w:val="Compact"/>
              <w:jc w:val="left"/>
            </w:pPr>
            <w:r>
              <w:t xml:space="preserve">LRU</w:t>
            </w:r>
          </w:p>
        </w:tc>
        <w:tc>
          <w:tcPr/>
          <w:p>
            <w:pPr>
              <w:pStyle w:val="Compact"/>
              <w:jc w:val="left"/>
            </w:pPr>
            <w:r>
              <w:t xml:space="preserve">19,583</w:t>
            </w:r>
          </w:p>
        </w:tc>
        <w:tc>
          <w:tcPr/>
          <w:p>
            <w:pPr>
              <w:pStyle w:val="Compact"/>
              <w:jc w:val="left"/>
            </w:pPr>
            <w:r>
              <w:t xml:space="preserve">41,002</w:t>
            </w:r>
          </w:p>
        </w:tc>
        <w:tc>
          <w:tcPr/>
          <w:p>
            <w:pPr>
              <w:pStyle w:val="Compact"/>
              <w:jc w:val="left"/>
            </w:pPr>
            <w:r>
              <w:t xml:space="preserve">195,830</w:t>
            </w:r>
          </w:p>
        </w:tc>
      </w:tr>
      <w:tr>
        <w:tc>
          <w:tcPr/>
          <w:p>
            <w:pPr>
              <w:pStyle w:val="Compact"/>
              <w:jc w:val="left"/>
            </w:pPr>
            <w:r>
              <w:t xml:space="preserve">1</w:t>
            </w:r>
          </w:p>
        </w:tc>
        <w:tc>
          <w:tcPr/>
          <w:p>
            <w:pPr>
              <w:pStyle w:val="Compact"/>
              <w:jc w:val="left"/>
            </w:pPr>
            <w:r>
              <w:t xml:space="preserve">cost-aware</w:t>
            </w:r>
          </w:p>
        </w:tc>
        <w:tc>
          <w:tcPr/>
          <w:p>
            <w:pPr>
              <w:pStyle w:val="Compact"/>
              <w:jc w:val="left"/>
            </w:pPr>
            <w:r>
              <w:t xml:space="preserve">18,749</w:t>
            </w:r>
          </w:p>
        </w:tc>
        <w:tc>
          <w:tcPr/>
          <w:p>
            <w:pPr>
              <w:pStyle w:val="Compact"/>
              <w:jc w:val="left"/>
            </w:pPr>
            <w:r>
              <w:t xml:space="preserve">33,108</w:t>
            </w:r>
          </w:p>
        </w:tc>
        <w:tc>
          <w:tcPr/>
          <w:p>
            <w:pPr>
              <w:pStyle w:val="Compact"/>
              <w:jc w:val="left"/>
            </w:pPr>
            <w:r>
              <w:rPr>
                <w:bCs/>
                <w:b/>
              </w:rPr>
              <w:t xml:space="preserve">187,490</w:t>
            </w:r>
          </w:p>
        </w:tc>
      </w:tr>
      <w:tr>
        <w:tc>
          <w:tcPr/>
          <w:p>
            <w:pPr>
              <w:pStyle w:val="Compact"/>
              <w:jc w:val="left"/>
            </w:pPr>
            <w:r>
              <w:t xml:space="preserve">4</w:t>
            </w:r>
          </w:p>
        </w:tc>
        <w:tc>
          <w:tcPr/>
          <w:p>
            <w:pPr>
              <w:pStyle w:val="Compact"/>
              <w:jc w:val="left"/>
            </w:pPr>
            <w:r>
              <w:t xml:space="preserve">random</w:t>
            </w:r>
          </w:p>
        </w:tc>
        <w:tc>
          <w:tcPr/>
          <w:p>
            <w:pPr>
              <w:pStyle w:val="Compact"/>
              <w:jc w:val="left"/>
            </w:pPr>
            <w:r>
              <w:t xml:space="preserve">21,200</w:t>
            </w:r>
          </w:p>
        </w:tc>
        <w:tc>
          <w:tcPr/>
          <w:p>
            <w:pPr>
              <w:pStyle w:val="Compact"/>
              <w:jc w:val="left"/>
            </w:pPr>
            <w:r>
              <w:t xml:space="preserve">91,953</w:t>
            </w:r>
          </w:p>
        </w:tc>
        <w:tc>
          <w:tcPr/>
          <w:p>
            <w:pPr>
              <w:pStyle w:val="Compact"/>
              <w:jc w:val="left"/>
            </w:pPr>
            <w:r>
              <w:t xml:space="preserve">3,137,600</w:t>
            </w:r>
          </w:p>
        </w:tc>
      </w:tr>
      <w:tr>
        <w:tc>
          <w:tcPr/>
          <w:p>
            <w:pPr>
              <w:pStyle w:val="Compact"/>
              <w:jc w:val="left"/>
            </w:pPr>
            <w:r>
              <w:t xml:space="preserve">4</w:t>
            </w:r>
          </w:p>
        </w:tc>
        <w:tc>
          <w:tcPr/>
          <w:p>
            <w:pPr>
              <w:pStyle w:val="Compact"/>
              <w:jc w:val="left"/>
            </w:pPr>
            <w:r>
              <w:t xml:space="preserve">LRU</w:t>
            </w:r>
          </w:p>
        </w:tc>
        <w:tc>
          <w:tcPr/>
          <w:p>
            <w:pPr>
              <w:pStyle w:val="Compact"/>
              <w:jc w:val="left"/>
            </w:pPr>
            <w:r>
              <w:t xml:space="preserve">19,583</w:t>
            </w:r>
          </w:p>
        </w:tc>
        <w:tc>
          <w:tcPr/>
          <w:p>
            <w:pPr>
              <w:pStyle w:val="Compact"/>
              <w:jc w:val="left"/>
            </w:pPr>
            <w:r>
              <w:t xml:space="preserve">41,002</w:t>
            </w:r>
          </w:p>
        </w:tc>
        <w:tc>
          <w:tcPr/>
          <w:p>
            <w:pPr>
              <w:pStyle w:val="Compact"/>
              <w:jc w:val="left"/>
            </w:pPr>
            <w:r>
              <w:t xml:space="preserve">2,898,284</w:t>
            </w:r>
          </w:p>
        </w:tc>
      </w:tr>
      <w:tr>
        <w:tc>
          <w:tcPr/>
          <w:p>
            <w:pPr>
              <w:pStyle w:val="Compact"/>
              <w:jc w:val="left"/>
            </w:pPr>
            <w:r>
              <w:t xml:space="preserve">4</w:t>
            </w:r>
          </w:p>
        </w:tc>
        <w:tc>
          <w:tcPr/>
          <w:p>
            <w:pPr>
              <w:pStyle w:val="Compact"/>
              <w:jc w:val="left"/>
            </w:pPr>
            <w:r>
              <w:t xml:space="preserve">cost-aware</w:t>
            </w:r>
          </w:p>
        </w:tc>
        <w:tc>
          <w:tcPr/>
          <w:p>
            <w:pPr>
              <w:pStyle w:val="Compact"/>
              <w:jc w:val="left"/>
            </w:pPr>
            <w:r>
              <w:t xml:space="preserve">18,784</w:t>
            </w:r>
          </w:p>
        </w:tc>
        <w:tc>
          <w:tcPr/>
          <w:p>
            <w:pPr>
              <w:pStyle w:val="Compact"/>
              <w:jc w:val="left"/>
            </w:pPr>
            <w:r>
              <w:t xml:space="preserve">34,260</w:t>
            </w:r>
          </w:p>
        </w:tc>
        <w:tc>
          <w:tcPr/>
          <w:p>
            <w:pPr>
              <w:pStyle w:val="Compact"/>
              <w:jc w:val="left"/>
            </w:pPr>
            <w:r>
              <w:rPr>
                <w:bCs/>
                <w:b/>
              </w:rPr>
              <w:t xml:space="preserve">2,780,032</w:t>
            </w:r>
          </w:p>
        </w:tc>
      </w:tr>
    </w:tbl>
    <w:p>
      <w:pPr>
        <w:pStyle w:val="BodyText"/>
      </w:pPr>
      <w:r>
        <w:rPr>
          <w:iCs/>
          <w:i/>
        </w:rPr>
        <w:t xml:space="preserve">Table 9.8 — Medians over five seeds.</w:t>
      </w:r>
    </w:p>
    <w:p>
      <w:pPr>
        <w:pStyle w:val="BodyText"/>
      </w:pPr>
      <w:r>
        <w:t xml:space="preserve">Three observations, including one that qualifies the thesis’s own claim. First, the gap between randomized eviction and LRU is large — 2.2× in base rows read — which is a measured argument that replacing randomized eviction is worth doing at all. Second, the cost-aware policy improves on LRU substantially on reconstruction work (</w:t>
      </w:r>
      <w:r>
        <w:rPr>
          <w:bCs/>
          <w:b/>
        </w:rPr>
        <w:t xml:space="preserve">31% fewer base rows</w:t>
      </w:r>
      <w:r>
        <w:t xml:space="preserve"> </w:t>
      </w:r>
      <w:r>
        <w:t xml:space="preserve">at service_time 0) and on misses. Third, and against expectation, its advantage on</w:t>
      </w:r>
      <w:r>
        <w:t xml:space="preserve"> </w:t>
      </w:r>
      <w:r>
        <w:rPr>
          <w:iCs/>
          <w:i/>
        </w:rPr>
        <w:t xml:space="preserve">aggregate delay</w:t>
      </w:r>
      <w:r>
        <w:t xml:space="preserve"> </w:t>
      </w:r>
      <w:r>
        <w:t xml:space="preserve">is modest: 4.1% better than LRU at service_time 4. The delayed-hit weighting changes which entries it keeps, and that trade costs it some of its base-row advantage (28,123 → 34,260). The honest conclusion is that cost-awareness is clearly worth it for reconstruction work and only marginally so for latency in this configuration, and the thesis should not claim more.</w:t>
      </w:r>
    </w:p>
    <w:bookmarkEnd w:id="163"/>
    <w:bookmarkStart w:id="164" w:name="what-each-consistency-rung-costs"/>
    <w:p>
      <w:pPr>
        <w:pStyle w:val="Heading3"/>
      </w:pPr>
      <w:r>
        <w:t xml:space="preserve">9.4.3 What each consistency rung costs</w:t>
      </w:r>
    </w:p>
    <w:p>
      <w:pPr>
        <w:pStyle w:val="FirstParagraph"/>
      </w:pPr>
      <w:r>
        <w:t xml:space="preserve">Identical workload; the rung sets both the anchor a read demands and how far maintenance may be batched.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Rung</w:t>
            </w:r>
          </w:p>
        </w:tc>
        <w:tc>
          <w:tcPr/>
          <w:p>
            <w:pPr>
              <w:pStyle w:val="Compact"/>
              <w:jc w:val="left"/>
            </w:pPr>
            <w:r>
              <w:t xml:space="preserve">Misses</w:t>
            </w:r>
          </w:p>
        </w:tc>
        <w:tc>
          <w:tcPr/>
          <w:p>
            <w:pPr>
              <w:pStyle w:val="Compact"/>
              <w:jc w:val="left"/>
            </w:pPr>
            <w:r>
              <w:t xml:space="preserve">Base rows read</w:t>
            </w:r>
          </w:p>
        </w:tc>
        <w:tc>
          <w:tcPr/>
          <w:p>
            <w:pPr>
              <w:pStyle w:val="Compact"/>
              <w:jc w:val="left"/>
            </w:pPr>
            <w:r>
              <w:t xml:space="preserve">Deltas applied</w:t>
            </w:r>
          </w:p>
        </w:tc>
        <w:tc>
          <w:tcPr/>
          <w:p>
            <w:pPr>
              <w:pStyle w:val="Compact"/>
              <w:jc w:val="left"/>
            </w:pPr>
            <w:r>
              <w:t xml:space="preserve">Apply invocations</w:t>
            </w:r>
          </w:p>
        </w:tc>
        <w:tc>
          <w:tcPr/>
          <w:p>
            <w:pPr>
              <w:pStyle w:val="Compact"/>
              <w:jc w:val="left"/>
            </w:pPr>
            <w:r>
              <w:t xml:space="preserve">Hit rate</w:t>
            </w:r>
          </w:p>
        </w:tc>
      </w:tr>
      <w:tr>
        <w:tc>
          <w:tcPr/>
          <w:p>
            <w:pPr>
              <w:pStyle w:val="Compact"/>
              <w:jc w:val="left"/>
            </w:pPr>
            <w:r>
              <w:t xml:space="preserve">bounded (k = 64)</w:t>
            </w:r>
          </w:p>
        </w:tc>
        <w:tc>
          <w:tcPr/>
          <w:p>
            <w:pPr>
              <w:pStyle w:val="Compact"/>
              <w:jc w:val="left"/>
            </w:pPr>
            <w:r>
              <w:t xml:space="preserve">19,714</w:t>
            </w:r>
          </w:p>
        </w:tc>
        <w:tc>
          <w:tcPr/>
          <w:p>
            <w:pPr>
              <w:pStyle w:val="Compact"/>
              <w:jc w:val="left"/>
            </w:pPr>
            <w:r>
              <w:t xml:space="preserve">40,084</w:t>
            </w:r>
          </w:p>
        </w:tc>
        <w:tc>
          <w:tcPr/>
          <w:p>
            <w:pPr>
              <w:pStyle w:val="Compact"/>
              <w:jc w:val="left"/>
            </w:pPr>
            <w:r>
              <w:rPr>
                <w:bCs/>
                <w:b/>
              </w:rPr>
              <w:t xml:space="preserve">55</w:t>
            </w:r>
          </w:p>
        </w:tc>
        <w:tc>
          <w:tcPr/>
          <w:p>
            <w:pPr>
              <w:pStyle w:val="Compact"/>
              <w:jc w:val="left"/>
            </w:pPr>
            <w:r>
              <w:rPr>
                <w:bCs/>
                <w:b/>
              </w:rPr>
              <w:t xml:space="preserve">61</w:t>
            </w:r>
          </w:p>
        </w:tc>
        <w:tc>
          <w:tcPr/>
          <w:p>
            <w:pPr>
              <w:pStyle w:val="Compact"/>
              <w:jc w:val="left"/>
            </w:pPr>
            <w:r>
              <w:t xml:space="preserve">0.455</w:t>
            </w:r>
          </w:p>
        </w:tc>
      </w:tr>
      <w:tr>
        <w:tc>
          <w:tcPr/>
          <w:p>
            <w:pPr>
              <w:pStyle w:val="Compact"/>
              <w:jc w:val="left"/>
            </w:pPr>
            <w:r>
              <w:t xml:space="preserve">bounded (k = 8)</w:t>
            </w:r>
          </w:p>
        </w:tc>
        <w:tc>
          <w:tcPr/>
          <w:p>
            <w:pPr>
              <w:pStyle w:val="Compact"/>
              <w:jc w:val="left"/>
            </w:pPr>
            <w:r>
              <w:t xml:space="preserve">19,670</w:t>
            </w:r>
          </w:p>
        </w:tc>
        <w:tc>
          <w:tcPr/>
          <w:p>
            <w:pPr>
              <w:pStyle w:val="Compact"/>
              <w:jc w:val="left"/>
            </w:pPr>
            <w:r>
              <w:t xml:space="preserve">40,803</w:t>
            </w:r>
          </w:p>
        </w:tc>
        <w:tc>
          <w:tcPr/>
          <w:p>
            <w:pPr>
              <w:pStyle w:val="Compact"/>
              <w:jc w:val="left"/>
            </w:pPr>
            <w:r>
              <w:t xml:space="preserve">408</w:t>
            </w:r>
          </w:p>
        </w:tc>
        <w:tc>
          <w:tcPr/>
          <w:p>
            <w:pPr>
              <w:pStyle w:val="Compact"/>
              <w:jc w:val="left"/>
            </w:pPr>
            <w:r>
              <w:t xml:space="preserve">446</w:t>
            </w:r>
          </w:p>
        </w:tc>
        <w:tc>
          <w:tcPr/>
          <w:p>
            <w:pPr>
              <w:pStyle w:val="Compact"/>
              <w:jc w:val="left"/>
            </w:pPr>
            <w:r>
              <w:t xml:space="preserve">0.456</w:t>
            </w:r>
          </w:p>
        </w:tc>
      </w:tr>
      <w:tr>
        <w:tc>
          <w:tcPr/>
          <w:p>
            <w:pPr>
              <w:pStyle w:val="Compact"/>
              <w:jc w:val="left"/>
            </w:pPr>
            <w:r>
              <w:t xml:space="preserve">strict (k = 0)</w:t>
            </w:r>
          </w:p>
        </w:tc>
        <w:tc>
          <w:tcPr/>
          <w:p>
            <w:pPr>
              <w:pStyle w:val="Compact"/>
              <w:jc w:val="left"/>
            </w:pPr>
            <w:r>
              <w:t xml:space="preserve">19,658</w:t>
            </w:r>
          </w:p>
        </w:tc>
        <w:tc>
          <w:tcPr/>
          <w:p>
            <w:pPr>
              <w:pStyle w:val="Compact"/>
              <w:jc w:val="left"/>
            </w:pPr>
            <w:r>
              <w:t xml:space="preserve">40,869</w:t>
            </w:r>
          </w:p>
        </w:tc>
        <w:tc>
          <w:tcPr/>
          <w:p>
            <w:pPr>
              <w:pStyle w:val="Compact"/>
              <w:jc w:val="left"/>
            </w:pPr>
            <w:r>
              <w:rPr>
                <w:bCs/>
                <w:b/>
              </w:rPr>
              <w:t xml:space="preserve">3,621</w:t>
            </w:r>
          </w:p>
        </w:tc>
        <w:tc>
          <w:tcPr/>
          <w:p>
            <w:pPr>
              <w:pStyle w:val="Compact"/>
              <w:jc w:val="left"/>
            </w:pPr>
            <w:r>
              <w:rPr>
                <w:bCs/>
                <w:b/>
              </w:rPr>
              <w:t xml:space="preserve">4,017</w:t>
            </w:r>
          </w:p>
        </w:tc>
        <w:tc>
          <w:tcPr/>
          <w:p>
            <w:pPr>
              <w:pStyle w:val="Compact"/>
              <w:jc w:val="left"/>
            </w:pPr>
            <w:r>
              <w:t xml:space="preserve">0.456</w:t>
            </w:r>
          </w:p>
        </w:tc>
      </w:tr>
    </w:tbl>
    <w:p>
      <w:pPr>
        <w:pStyle w:val="BodyText"/>
      </w:pPr>
      <w:r>
        <w:rPr>
          <w:iCs/>
          <w:i/>
        </w:rPr>
        <w:t xml:space="preserve">Table 9.9 — The rung’s price lands on maintenance, not on reads. Medians over five seeds.</w:t>
      </w:r>
    </w:p>
    <w:p>
      <w:pPr>
        <w:pStyle w:val="BodyText"/>
      </w:pPr>
      <w:r>
        <w:t xml:space="preserve">The read-side columns are indistinguishable across rungs — misses vary by 0.3%, hit rate by 0.001. The maintenance columns differ by</w:t>
      </w:r>
      <w:r>
        <w:t xml:space="preserve"> </w:t>
      </w:r>
      <w:r>
        <w:rPr>
          <w:bCs/>
          <w:b/>
        </w:rPr>
        <w:t xml:space="preserve">66×</w:t>
      </w:r>
      <w:r>
        <w:t xml:space="preserve"> </w:t>
      </w:r>
      <w:r>
        <w:t xml:space="preserve">between the loosest and strictest rung, and scale as roughly 1/k in the staleness allowance.</w:t>
      </w:r>
    </w:p>
    <w:p>
      <w:pPr>
        <w:pStyle w:val="BodyText"/>
      </w:pPr>
      <w:r>
        <w:t xml:space="preserve">This refines the cost law usefully. The tax for demanding freshness is not paid on the read path at all; it is paid on how often the derived layer must be dragged to the head of the log. That is a more actionable statement than</w:t>
      </w:r>
      <w:r>
        <w:t xml:space="preserve"> </w:t>
      </w:r>
      <w:r>
        <w:t xml:space="preserve">“</w:t>
      </w:r>
      <w:r>
        <w:t xml:space="preserve">strict serializability is expensive</w:t>
      </w:r>
      <w:r>
        <w:t xml:space="preserve">”</w:t>
      </w:r>
      <w:r>
        <w:t xml:space="preserve">, because it tells an operator exactly which resource to provision — and it means a view that tolerates staleness is cheap in a way that a hit-rate measurement would never reveal.</w:t>
      </w:r>
    </w:p>
    <w:p>
      <w:pPr>
        <w:pStyle w:val="BodyText"/>
      </w:pPr>
      <w:r>
        <w:t xml:space="preserve">The first attempt at this experiment measured only misses and hit rate and found no difference at all between rungs. That null was reported, investigated, and traced to instrumenting the wrong path; the corrected instrumentation is what Table 9.9 shows. It is recorded here because the sequence — null, diagnosis, re-instrumentation — is the part of an evaluation that is usually invisible and is often where the actual finding is.</w:t>
      </w:r>
    </w:p>
    <w:bookmarkEnd w:id="164"/>
    <w:bookmarkStart w:id="165" w:name="X7b713ce29546292eba6b99aef08b6f541fb9efb"/>
    <w:p>
      <w:pPr>
        <w:pStyle w:val="Heading3"/>
      </w:pPr>
      <w:r>
        <w:t xml:space="preserve">9.4.4 Write path: what the mechanisms cost (wall-clock, heavily caveated)</w:t>
      </w:r>
    </w:p>
    <w:p>
      <w:pPr>
        <w:pStyle w:val="FirstParagraph"/>
      </w:pPr>
      <w:r>
        <w:t xml:space="preserve">The only wall-clock measurement in this chapter.</w:t>
      </w:r>
      <w:r>
        <w:t xml:space="preserve"> </w:t>
      </w:r>
      <w:r>
        <w:rPr>
          <w:bCs/>
          <w:b/>
        </w:rPr>
        <w:t xml:space="preserve">In-memory, single-threaded, no durability, no consensus.</w:t>
      </w:r>
      <w:r>
        <w:t xml:space="preserve"> </w:t>
      </w:r>
      <w:r>
        <w:t xml:space="preserve">It measures what the commit rule and the hash chain cost, and nothing else. It is not a throughput claim and cannot be compared with any published database figure, all of which include durability.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Configuration</w:t>
            </w:r>
          </w:p>
        </w:tc>
        <w:tc>
          <w:tcPr/>
          <w:p>
            <w:pPr>
              <w:pStyle w:val="Compact"/>
              <w:jc w:val="left"/>
            </w:pPr>
            <w:r>
              <w:t xml:space="preserve">Hot-account share</w:t>
            </w:r>
          </w:p>
        </w:tc>
        <w:tc>
          <w:tcPr/>
          <w:p>
            <w:pPr>
              <w:pStyle w:val="Compact"/>
              <w:jc w:val="left"/>
            </w:pPr>
            <w:r>
              <w:t xml:space="preserve">Postings/sec (median)</w:t>
            </w:r>
          </w:p>
        </w:tc>
      </w:tr>
      <w:tr>
        <w:tc>
          <w:tcPr/>
          <w:p>
            <w:pPr>
              <w:pStyle w:val="Compact"/>
              <w:jc w:val="left"/>
            </w:pPr>
            <w:r>
              <w:t xml:space="preserve">chained</w:t>
            </w:r>
          </w:p>
        </w:tc>
        <w:tc>
          <w:tcPr/>
          <w:p>
            <w:pPr>
              <w:pStyle w:val="Compact"/>
              <w:jc w:val="left"/>
            </w:pPr>
            <w:r>
              <w:t xml:space="preserve">0.0</w:t>
            </w:r>
          </w:p>
        </w:tc>
        <w:tc>
          <w:tcPr/>
          <w:p>
            <w:pPr>
              <w:pStyle w:val="Compact"/>
              <w:jc w:val="left"/>
            </w:pPr>
            <w:r>
              <w:t xml:space="preserve">1,526,384</w:t>
            </w:r>
          </w:p>
        </w:tc>
      </w:tr>
      <w:tr>
        <w:tc>
          <w:tcPr/>
          <w:p>
            <w:pPr>
              <w:pStyle w:val="Compact"/>
              <w:jc w:val="left"/>
            </w:pPr>
            <w:r>
              <w:t xml:space="preserve">chained</w:t>
            </w:r>
          </w:p>
        </w:tc>
        <w:tc>
          <w:tcPr/>
          <w:p>
            <w:pPr>
              <w:pStyle w:val="Compact"/>
              <w:jc w:val="left"/>
            </w:pPr>
            <w:r>
              <w:t xml:space="preserve">0.5</w:t>
            </w:r>
          </w:p>
        </w:tc>
        <w:tc>
          <w:tcPr/>
          <w:p>
            <w:pPr>
              <w:pStyle w:val="Compact"/>
              <w:jc w:val="left"/>
            </w:pPr>
            <w:r>
              <w:t xml:space="preserve">1,739,657</w:t>
            </w:r>
          </w:p>
        </w:tc>
      </w:tr>
      <w:tr>
        <w:tc>
          <w:tcPr/>
          <w:p>
            <w:pPr>
              <w:pStyle w:val="Compact"/>
              <w:jc w:val="left"/>
            </w:pPr>
            <w:r>
              <w:t xml:space="preserve">chained</w:t>
            </w:r>
          </w:p>
        </w:tc>
        <w:tc>
          <w:tcPr/>
          <w:p>
            <w:pPr>
              <w:pStyle w:val="Compact"/>
              <w:jc w:val="left"/>
            </w:pPr>
            <w:r>
              <w:t xml:space="preserve">0.9</w:t>
            </w:r>
          </w:p>
        </w:tc>
        <w:tc>
          <w:tcPr/>
          <w:p>
            <w:pPr>
              <w:pStyle w:val="Compact"/>
              <w:jc w:val="left"/>
            </w:pPr>
            <w:r>
              <w:t xml:space="preserve">1,686,866</w:t>
            </w:r>
          </w:p>
        </w:tc>
      </w:tr>
      <w:tr>
        <w:tc>
          <w:tcPr/>
          <w:p>
            <w:pPr>
              <w:pStyle w:val="Compact"/>
              <w:jc w:val="left"/>
            </w:pPr>
            <w:r>
              <w:t xml:space="preserve">unchained</w:t>
            </w:r>
          </w:p>
        </w:tc>
        <w:tc>
          <w:tcPr/>
          <w:p>
            <w:pPr>
              <w:pStyle w:val="Compact"/>
              <w:jc w:val="left"/>
            </w:pPr>
            <w:r>
              <w:t xml:space="preserve">0.0</w:t>
            </w:r>
          </w:p>
        </w:tc>
        <w:tc>
          <w:tcPr/>
          <w:p>
            <w:pPr>
              <w:pStyle w:val="Compact"/>
              <w:jc w:val="left"/>
            </w:pPr>
            <w:r>
              <w:t xml:space="preserve">2,243,577</w:t>
            </w:r>
          </w:p>
        </w:tc>
      </w:tr>
      <w:tr>
        <w:tc>
          <w:tcPr/>
          <w:p>
            <w:pPr>
              <w:pStyle w:val="Compact"/>
              <w:jc w:val="left"/>
            </w:pPr>
            <w:r>
              <w:t xml:space="preserve">unchained</w:t>
            </w:r>
          </w:p>
        </w:tc>
        <w:tc>
          <w:tcPr/>
          <w:p>
            <w:pPr>
              <w:pStyle w:val="Compact"/>
              <w:jc w:val="left"/>
            </w:pPr>
            <w:r>
              <w:t xml:space="preserve">0.5</w:t>
            </w:r>
          </w:p>
        </w:tc>
        <w:tc>
          <w:tcPr/>
          <w:p>
            <w:pPr>
              <w:pStyle w:val="Compact"/>
              <w:jc w:val="left"/>
            </w:pPr>
            <w:r>
              <w:t xml:space="preserve">2,107,468</w:t>
            </w:r>
          </w:p>
        </w:tc>
      </w:tr>
      <w:tr>
        <w:tc>
          <w:tcPr/>
          <w:p>
            <w:pPr>
              <w:pStyle w:val="Compact"/>
              <w:jc w:val="left"/>
            </w:pPr>
            <w:r>
              <w:t xml:space="preserve">unchained</w:t>
            </w:r>
          </w:p>
        </w:tc>
        <w:tc>
          <w:tcPr/>
          <w:p>
            <w:pPr>
              <w:pStyle w:val="Compact"/>
              <w:jc w:val="left"/>
            </w:pPr>
            <w:r>
              <w:t xml:space="preserve">0.9</w:t>
            </w:r>
          </w:p>
        </w:tc>
        <w:tc>
          <w:tcPr/>
          <w:p>
            <w:pPr>
              <w:pStyle w:val="Compact"/>
              <w:jc w:val="left"/>
            </w:pPr>
            <w:r>
              <w:t xml:space="preserve">2,222,726</w:t>
            </w:r>
          </w:p>
        </w:tc>
      </w:tr>
    </w:tbl>
    <w:p>
      <w:pPr>
        <w:pStyle w:val="BodyText"/>
      </w:pPr>
      <w:r>
        <w:rPr>
          <w:iCs/>
          <w:i/>
        </w:rPr>
        <w:t xml:space="preserve">Table 9.10 — Mechanism cost only. Hash chaining costs roughly 30% of admission throughput on this platform.</w:t>
      </w:r>
    </w:p>
    <w:p>
      <w:pPr>
        <w:pStyle w:val="BodyText"/>
      </w:pPr>
      <w:r>
        <w:t xml:space="preserve">Two readings. The useful one:</w:t>
      </w:r>
      <w:r>
        <w:t xml:space="preserve"> </w:t>
      </w:r>
      <w:r>
        <w:rPr>
          <w:bCs/>
          <w:b/>
        </w:rPr>
        <w:t xml:space="preserve">hash chaining costs about 30%</w:t>
      </w:r>
      <w:r>
        <w:t xml:space="preserve"> </w:t>
      </w:r>
      <w:r>
        <w:t xml:space="preserve">of the in-memory admission path — a real number for a real mechanism, and one an implementer can weigh. The important one:</w:t>
      </w:r>
      <w:r>
        <w:t xml:space="preserve"> </w:t>
      </w:r>
      <w:r>
        <w:rPr>
          <w:bCs/>
          <w:b/>
        </w:rPr>
        <w:t xml:space="preserve">hot-account share has no effect, and that is a limitation of the instrument, not a finding about the design.</w:t>
      </w:r>
      <w:r>
        <w:t xml:space="preserve"> </w:t>
      </w:r>
      <w:r>
        <w:t xml:space="preserve">Contention is a concurrency phenomenon and this prototype is single-threaded, so the flat column measures the absence of an experiment rather than the absence of a problem. The contention question is genuinely open here and is answered in the literature rather than by this prototype: two independent production write-ups report that the shared settlement account is a structural hot key in double-entry systems, one reporting a per-account ceiling of 3–4 update operations per second raised to about 30 by 250 ms batching windows, the other routing hot-account entries to an asynchronous path with a 60-second bound rather than sharding the account. Those are the numbers a reader should weigh; §9.9 states the concurrency experiment that would let this thesis contribute its own.</w:t>
      </w:r>
    </w:p>
    <w:bookmarkEnd w:id="165"/>
    <w:bookmarkEnd w:id="166"/>
    <w:bookmarkStart w:id="169" w:name="X946a8e3f9ff6b1a7091f9f10b6b9412a7635c61"/>
    <w:p>
      <w:pPr>
        <w:pStyle w:val="Heading2"/>
      </w:pPr>
      <w:r>
        <w:t xml:space="preserve">9.5 Evaluation Design for the Unmeasured Parts</w:t>
      </w:r>
    </w:p>
    <w:p>
      <w:pPr>
        <w:pStyle w:val="FirstParagraph"/>
      </w:pPr>
      <w:r>
        <w:t xml:space="preserve">Everything below is protocol and prediction. No cell is filled.</w:t>
      </w:r>
    </w:p>
    <w:bookmarkStart w:id="167" w:name="baselines-and-the-question-each-answers"/>
    <w:p>
      <w:pPr>
        <w:pStyle w:val="Heading3"/>
      </w:pPr>
      <w:r>
        <w:t xml:space="preserve">9.5.1 Baselines and the question each answers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Baseline</w:t>
            </w:r>
          </w:p>
        </w:tc>
        <w:tc>
          <w:tcPr/>
          <w:p>
            <w:pPr>
              <w:pStyle w:val="Compact"/>
              <w:jc w:val="left"/>
            </w:pPr>
            <w:r>
              <w:t xml:space="preserve">Question it answers</w:t>
            </w:r>
          </w:p>
        </w:tc>
        <w:tc>
          <w:tcPr/>
          <w:p>
            <w:pPr>
              <w:pStyle w:val="Compact"/>
              <w:jc w:val="left"/>
            </w:pPr>
            <w:r>
              <w:t xml:space="preserve">Status</w:t>
            </w:r>
          </w:p>
        </w:tc>
      </w:tr>
      <w:tr>
        <w:tc>
          <w:tcPr/>
          <w:p>
            <w:pPr>
              <w:pStyle w:val="Compact"/>
              <w:jc w:val="left"/>
            </w:pPr>
            <w:r>
              <w:t xml:space="preserve">PostgreSQL / MySQL with trigger-maintained balances</w:t>
            </w:r>
          </w:p>
        </w:tc>
        <w:tc>
          <w:tcPr/>
          <w:p>
            <w:pPr>
              <w:pStyle w:val="Compact"/>
              <w:jc w:val="left"/>
            </w:pPr>
            <w:r>
              <w:t xml:space="preserve">Does the aligned design beat the industry-default shape?</w:t>
            </w:r>
          </w:p>
        </w:tc>
        <w:tc>
          <w:tcPr/>
          <w:p>
            <w:pPr>
              <w:pStyle w:val="Compact"/>
              <w:jc w:val="left"/>
            </w:pPr>
            <w:r>
              <w:rPr>
                <w:iCs/>
                <w:i/>
              </w:rPr>
              <w:t xml:space="preserve">to be measured</w:t>
            </w:r>
          </w:p>
        </w:tc>
      </w:tr>
      <w:tr>
        <w:tc>
          <w:tcPr/>
          <w:p>
            <w:pPr>
              <w:pStyle w:val="Compact"/>
              <w:jc w:val="left"/>
            </w:pPr>
            <w:r>
              <w:t xml:space="preserve">Total-materialization IVM engine (Materialize/Feldera class)</w:t>
            </w:r>
          </w:p>
        </w:tc>
        <w:tc>
          <w:tcPr/>
          <w:p>
            <w:pPr>
              <w:pStyle w:val="Compact"/>
              <w:jc w:val="left"/>
            </w:pPr>
            <w:r>
              <w:t xml:space="preserve">Isolates</w:t>
            </w:r>
            <w:r>
              <w:t xml:space="preserve"> </w:t>
            </w:r>
            <w:r>
              <w:rPr>
                <w:bCs/>
                <w:b/>
              </w:rPr>
              <w:t xml:space="preserve">partiality</w:t>
            </w:r>
            <w:r>
              <w:t xml:space="preserve"> </w:t>
            </w:r>
            <w:r>
              <w:t xml:space="preserve">as the single variable</w:t>
            </w:r>
          </w:p>
        </w:tc>
        <w:tc>
          <w:tcPr/>
          <w:p>
            <w:pPr>
              <w:pStyle w:val="Compact"/>
              <w:jc w:val="left"/>
            </w:pPr>
            <w:r>
              <w:rPr>
                <w:iCs/>
                <w:i/>
              </w:rPr>
              <w:t xml:space="preserve">to be measured</w:t>
            </w:r>
          </w:p>
        </w:tc>
      </w:tr>
      <w:tr>
        <w:tc>
          <w:tcPr/>
          <w:p>
            <w:pPr>
              <w:pStyle w:val="Compact"/>
              <w:jc w:val="left"/>
            </w:pPr>
            <w:r>
              <w:t xml:space="preserve">Nilestream with anchoring disabled</w:t>
            </w:r>
          </w:p>
        </w:tc>
        <w:tc>
          <w:tcPr/>
          <w:p>
            <w:pPr>
              <w:pStyle w:val="Compact"/>
              <w:jc w:val="left"/>
            </w:pPr>
            <w:r>
              <w:t xml:space="preserve">Prices this thesis’s own machinery</w:t>
            </w:r>
          </w:p>
        </w:tc>
        <w:tc>
          <w:tcPr/>
          <w:p>
            <w:pPr>
              <w:pStyle w:val="Compact"/>
              <w:jc w:val="left"/>
            </w:pPr>
            <w:r>
              <w:rPr>
                <w:iCs/>
                <w:i/>
              </w:rPr>
              <w:t xml:space="preserve">to be measured</w:t>
            </w:r>
          </w:p>
        </w:tc>
      </w:tr>
      <w:tr>
        <w:tc>
          <w:tcPr/>
          <w:p>
            <w:pPr>
              <w:pStyle w:val="Compact"/>
              <w:jc w:val="left"/>
            </w:pPr>
            <w:r>
              <w:t xml:space="preserve">Purpose-built ledger</w:t>
            </w:r>
          </w:p>
        </w:tc>
        <w:tc>
          <w:tcPr/>
          <w:p>
            <w:pPr>
              <w:pStyle w:val="Compact"/>
              <w:jc w:val="left"/>
            </w:pPr>
            <w:r>
              <w:t xml:space="preserve">Is the write path competitive as a write path?</w:t>
            </w:r>
          </w:p>
        </w:tc>
        <w:tc>
          <w:tcPr/>
          <w:p>
            <w:pPr>
              <w:pStyle w:val="Compact"/>
              <w:jc w:val="left"/>
            </w:pPr>
            <w:r>
              <w:rPr>
                <w:iCs/>
                <w:i/>
              </w:rPr>
              <w:t xml:space="preserve">to be measured</w:t>
            </w:r>
          </w:p>
        </w:tc>
      </w:tr>
      <w:tr>
        <w:tc>
          <w:tcPr/>
          <w:p>
            <w:pPr>
              <w:pStyle w:val="Compact"/>
              <w:jc w:val="left"/>
            </w:pPr>
            <w:r>
              <w:t xml:space="preserve">Full materialization on identical workload</w:t>
            </w:r>
          </w:p>
        </w:tc>
        <w:tc>
          <w:tcPr/>
          <w:p>
            <w:pPr>
              <w:pStyle w:val="Compact"/>
              <w:jc w:val="left"/>
            </w:pPr>
            <w:r>
              <w:t xml:space="preserve">Read-side comparison</w:t>
            </w:r>
          </w:p>
        </w:tc>
        <w:tc>
          <w:tcPr/>
          <w:p>
            <w:pPr>
              <w:pStyle w:val="Compact"/>
              <w:jc w:val="left"/>
            </w:pPr>
            <w:r>
              <w:rPr>
                <w:bCs/>
                <w:b/>
              </w:rPr>
              <w:t xml:space="preserve">measured, §9.3</w:t>
            </w:r>
          </w:p>
        </w:tc>
      </w:tr>
      <w:tr>
        <w:tc>
          <w:tcPr/>
          <w:p>
            <w:pPr>
              <w:pStyle w:val="Compact"/>
              <w:jc w:val="left"/>
            </w:pPr>
            <w:r>
              <w:t xml:space="preserve">Randomized eviction</w:t>
            </w:r>
          </w:p>
        </w:tc>
        <w:tc>
          <w:tcPr/>
          <w:p>
            <w:pPr>
              <w:pStyle w:val="Compact"/>
              <w:jc w:val="left"/>
            </w:pPr>
            <w:r>
              <w:t xml:space="preserve">Is replacing it worth it?</w:t>
            </w:r>
          </w:p>
        </w:tc>
        <w:tc>
          <w:tcPr/>
          <w:p>
            <w:pPr>
              <w:pStyle w:val="Compact"/>
              <w:jc w:val="left"/>
            </w:pPr>
            <w:r>
              <w:rPr>
                <w:bCs/>
                <w:b/>
              </w:rPr>
              <w:t xml:space="preserve">measured, §9.4.2</w:t>
            </w:r>
          </w:p>
        </w:tc>
      </w:tr>
    </w:tbl>
    <w:p>
      <w:pPr>
        <w:pStyle w:val="BodyText"/>
      </w:pPr>
      <w:r>
        <w:t xml:space="preserve">Two rules are fixed in advance. Vendor performance claims without published methodology, hardware and workload definition are excluded as baselines — including a widely-cited 150,080-transactions-per-second core-banking figure that discloses neither transaction definition, isolation level, nor durability setting. And any TPC-derived workload run here is unaudited by definition, so it will be reported as</w:t>
      </w:r>
      <w:r>
        <w:t xml:space="preserve"> </w:t>
      </w:r>
      <w:r>
        <w:t xml:space="preserve">“</w:t>
      </w:r>
      <w:r>
        <w:t xml:space="preserve">TPC-C-derived</w:t>
      </w:r>
      <w:r>
        <w:t xml:space="preserve">”</w:t>
      </w:r>
      <w:r>
        <w:t xml:space="preserve"> </w:t>
      </w:r>
      <w:r>
        <w:t xml:space="preserve">and never as a</w:t>
      </w:r>
      <w:r>
        <w:t xml:space="preserve"> </w:t>
      </w:r>
      <w:r>
        <w:rPr>
          <w:rStyle w:val="VerbatimChar"/>
        </w:rPr>
        <w:t xml:space="preserve">tpmC</w:t>
      </w:r>
      <w:r>
        <w:t xml:space="preserve"> </w:t>
      </w:r>
      <w:r>
        <w:t xml:space="preserve">result, in line with the TPC’s own comparability rules.</w:t>
      </w:r>
    </w:p>
    <w:bookmarkEnd w:id="167"/>
    <w:bookmarkStart w:id="168" w:name="predicted-directions-with-sources"/>
    <w:p>
      <w:pPr>
        <w:pStyle w:val="Heading3"/>
      </w:pPr>
      <w:r>
        <w:t xml:space="preserve">9.5.2 Predicted directions, with sources</w:t>
      </w:r>
    </w:p>
    <w:p>
      <w:pPr>
        <w:numPr>
          <w:ilvl w:val="0"/>
          <w:numId w:val="1017"/>
        </w:numPr>
        <w:pStyle w:val="Compact"/>
      </w:pPr>
      <w:r>
        <w:t xml:space="preserve">Ledger write path with durability: throughput within a small constant factor of a purpose-built baseline.</w:t>
      </w:r>
      <w:r>
        <w:t xml:space="preserve"> </w:t>
      </w:r>
      <w:r>
        <w:rPr>
          <w:iCs/>
          <w:i/>
        </w:rPr>
        <w:t xml:space="preserve">Source:</w:t>
      </w:r>
      <w:r>
        <w:t xml:space="preserve"> </w:t>
      </w:r>
      <w:r>
        <w:t xml:space="preserve">the write path performs the same work plus hash chaining, whose cost is now measured at ≈30% (§9.4.4).</w:t>
      </w:r>
      <w:r>
        <w:t xml:space="preserve"> </w:t>
      </w:r>
      <w:r>
        <w:rPr>
          <w:iCs/>
          <w:i/>
        </w:rPr>
        <w:t xml:space="preserve">Refuted by:</w:t>
      </w:r>
      <w:r>
        <w:t xml:space="preserve"> </w:t>
      </w:r>
      <w:r>
        <w:t xml:space="preserve">a gap larger than one order of magnitude.</w:t>
      </w:r>
    </w:p>
    <w:p>
      <w:pPr>
        <w:numPr>
          <w:ilvl w:val="0"/>
          <w:numId w:val="1017"/>
        </w:numPr>
        <w:pStyle w:val="Compact"/>
      </w:pPr>
      <w:r>
        <w:t xml:space="preserve">Reconstruction latency under load stays inside an authorization budget in the winning region of the phase diagram.</w:t>
      </w:r>
      <w:r>
        <w:t xml:space="preserve"> </w:t>
      </w:r>
      <w:r>
        <w:rPr>
          <w:iCs/>
          <w:i/>
        </w:rPr>
        <w:t xml:space="preserve">Source:</w:t>
      </w:r>
      <w:r>
        <w:t xml:space="preserve"> </w:t>
      </w:r>
      <w:r>
        <w:t xml:space="preserve">Table 9.7’s bounded per-reconstruction work under checkpointing.</w:t>
      </w:r>
    </w:p>
    <w:p>
      <w:pPr>
        <w:numPr>
          <w:ilvl w:val="0"/>
          <w:numId w:val="1017"/>
        </w:numPr>
        <w:pStyle w:val="Compact"/>
      </w:pPr>
      <w:r>
        <w:t xml:space="preserve">Bounded-staleness views cost ~1/k in maintenance.</w:t>
      </w:r>
      <w:r>
        <w:t xml:space="preserve"> </w:t>
      </w:r>
      <w:r>
        <w:rPr>
          <w:iCs/>
          <w:i/>
        </w:rPr>
        <w:t xml:space="preserve">Source:</w:t>
      </w:r>
      <w:r>
        <w:t xml:space="preserve"> </w:t>
      </w:r>
      <w:r>
        <w:t xml:space="preserve">Table 9.9, to be confirmed with concurrency and real coordination.</w:t>
      </w:r>
    </w:p>
    <w:bookmarkEnd w:id="168"/>
    <w:bookmarkEnd w:id="169"/>
    <w:bookmarkStart w:id="170" w:name="X5c12130fd98bf4cfb81076f10fea814aa205246"/>
    <w:p>
      <w:pPr>
        <w:pStyle w:val="Heading2"/>
      </w:pPr>
      <w:r>
        <w:t xml:space="preserve">9.6 Correctness Evaluation Beyond Conservation</w:t>
      </w:r>
    </w:p>
    <w:p>
      <w:pPr>
        <w:pStyle w:val="FirstParagraph"/>
      </w:pPr>
      <w:r>
        <w:t xml:space="preserve">The conservation suite (§9.2) is necessary and insufficient (§9.2.2). The full programme adds: black-box anomaly inference over recorded histories, checking for the Adya phenomena G0, G1a/b/c, G-single and G2 including real-time and per-process edges; adversarial fault campaigns (crash at each protocol step class, eviction storms, duplicate and reordered delivery, recovery mid-upquery); and a mutant corpus of programs that must be</w:t>
      </w:r>
      <w:r>
        <w:t xml:space="preserve"> </w:t>
      </w:r>
      <w:r>
        <w:rPr>
          <w:iCs/>
          <w:i/>
        </w:rPr>
        <w:t xml:space="preserve">rejected</w:t>
      </w:r>
      <w:r>
        <w:t xml:space="preserve"> </w:t>
      </w:r>
      <w:r>
        <w:t xml:space="preserve">at compile time. Acceptance is zero surviving violations, with any violation diagnosed as either an implementation defect or a model gap and reported as such.</w:t>
      </w:r>
    </w:p>
    <w:p>
      <w:pPr>
        <w:pStyle w:val="BodyText"/>
      </w:pPr>
      <w:r>
        <w:t xml:space="preserve">A model-checking strand is included with a stated precedent and a stated limit. Formal specification of a consistency ladder has found real defects in a shipped system: a TLA+ specification of a commercial database’s five advertised consistency levels revealed that two of them were indistinguishable to a client performing individual reads and writes, and that under strongly-consistent writes the bounded-staleness rung was subject to no bound at all. That is a directly analogous precedent and a cautionary one:</w:t>
      </w:r>
      <w:r>
        <w:t xml:space="preserve"> </w:t>
      </w:r>
      <w:r>
        <w:rPr>
          <w:bCs/>
          <w:b/>
        </w:rPr>
        <w:t xml:space="preserve">a ladder can be advertised with five rungs and have four.</w:t>
      </w:r>
      <w:r>
        <w:t xml:space="preserve"> </w:t>
      </w:r>
      <w:r>
        <w:t xml:space="preserve">The limit is equally clear from the same literature: model checking establishes design-level safety, not that the implementation refines the design.</w:t>
      </w:r>
    </w:p>
    <w:bookmarkEnd w:id="170"/>
    <w:bookmarkStart w:id="171" w:name="X7416efa47b6c1bbca502d2e2d8dbe01ac9c8d4f"/>
    <w:p>
      <w:pPr>
        <w:pStyle w:val="Heading2"/>
      </w:pPr>
      <w:r>
        <w:t xml:space="preserve">9.7 Generality and SQL Coverage — a Claim That Had to Be Restructured</w:t>
      </w:r>
    </w:p>
    <w:p>
      <w:pPr>
        <w:pStyle w:val="FirstParagraph"/>
      </w:pPr>
      <w:r>
        <w:t xml:space="preserve">The previous draft proposed to establish SQL-completeness partly by</w:t>
      </w:r>
      <w:r>
        <w:t xml:space="preserve"> </w:t>
      </w:r>
      <w:r>
        <w:t xml:space="preserve">“</w:t>
      </w:r>
      <w:r>
        <w:t xml:space="preserve">passing an industry SQL-conformance suite.</w:t>
      </w:r>
      <w:r>
        <w:t xml:space="preserve">”</w:t>
      </w:r>
      <w:r>
        <w:t xml:space="preserve"> </w:t>
      </w:r>
      <w:r>
        <w:rPr>
          <w:bCs/>
          <w:b/>
        </w:rPr>
        <w:t xml:space="preserve">That argument is not available, and the reason is a finding of this revision.</w:t>
      </w:r>
    </w:p>
    <w:p>
      <w:pPr>
        <w:pStyle w:val="BodyText"/>
      </w:pPr>
      <w:r>
        <w:t xml:space="preserve">The only officially-blessed SQL conformance suite ever produced targets SQL-92, was frozen in December 1996, and the validation programme that certified against it was terminated on 1 July 1997. NIST’s own user guide states that it</w:t>
      </w:r>
      <w:r>
        <w:t xml:space="preserve"> </w:t>
      </w:r>
      <w:r>
        <w:t xml:space="preserve">“</w:t>
      </w:r>
      <w:r>
        <w:t xml:space="preserve">would be incorrect for implementations to claim conformance … simply by virtue of correct performance of these tests.</w:t>
      </w:r>
      <w:r>
        <w:t xml:space="preserve">”</w:t>
      </w:r>
      <w:r>
        <w:t xml:space="preserve"> </w:t>
      </w:r>
      <w:r>
        <w:t xml:space="preserve">The widely-used modern alternative is a</w:t>
      </w:r>
      <w:r>
        <w:t xml:space="preserve"> </w:t>
      </w:r>
      <w:r>
        <w:rPr>
          <w:iCs/>
          <w:i/>
        </w:rPr>
        <w:t xml:space="preserve">differential</w:t>
      </w:r>
      <w:r>
        <w:t xml:space="preserve"> </w:t>
      </w:r>
      <w:r>
        <w:t xml:space="preserve">tester, comparing engines against one another rather than against the standard, and explicitly excludes transactional behaviour and concurrency from its scope. No authoritative, current, complete SQL:2016/2023 conformance corpus exists, and the standard’s licensing obstructs building an open one.</w:t>
      </w:r>
    </w:p>
    <w:p>
      <w:pPr>
        <w:pStyle w:val="BodyText"/>
      </w:pPr>
      <w:r>
        <w:t xml:space="preserve">The claim is therefore restructured into three parts, of which the primary one is a proof obligation rather than a test:</w:t>
      </w:r>
    </w:p>
    <w:p>
      <w:pPr>
        <w:numPr>
          <w:ilvl w:val="0"/>
          <w:numId w:val="1018"/>
        </w:numPr>
        <w:pStyle w:val="Compact"/>
      </w:pPr>
      <w:r>
        <w:rPr>
          <w:bCs/>
          <w:b/>
        </w:rPr>
        <w:t xml:space="preserve">Translation completeness (primary, a theorem).</w:t>
      </w:r>
      <w:r>
        <w:t xml:space="preserve"> </w:t>
      </w:r>
      <w:r>
        <w:t xml:space="preserve">A total, semantics-preserving compilation of a</w:t>
      </w:r>
      <w:r>
        <w:t xml:space="preserve"> </w:t>
      </w:r>
      <w:r>
        <w:rPr>
          <w:iCs/>
          <w:i/>
        </w:rPr>
        <w:t xml:space="preserve">stated</w:t>
      </w:r>
      <w:r>
        <w:t xml:space="preserve"> </w:t>
      </w:r>
      <w:r>
        <w:t xml:space="preserve">SQL fragment into the typed IR, proved by structural induction and gated by golden-file α-equivalence tests. This is stronger than any conformance run, because it quantifies over all programs in the fragment rather than over a corpus.</w:t>
      </w:r>
    </w:p>
    <w:p>
      <w:pPr>
        <w:numPr>
          <w:ilvl w:val="0"/>
          <w:numId w:val="1018"/>
        </w:numPr>
        <w:pStyle w:val="Compact"/>
      </w:pPr>
      <w:r>
        <w:rPr>
          <w:bCs/>
          <w:b/>
        </w:rPr>
        <w:t xml:space="preserve">Feature coverage (corroboration).</w:t>
      </w:r>
      <w:r>
        <w:t xml:space="preserve"> </w:t>
      </w:r>
      <w:r>
        <w:t xml:space="preserve">A per-feature evidence table against the normatively enumerated mandatory feature list in the standard’s own Annex F.</w:t>
      </w:r>
    </w:p>
    <w:p>
      <w:pPr>
        <w:numPr>
          <w:ilvl w:val="0"/>
          <w:numId w:val="1018"/>
        </w:numPr>
        <w:pStyle w:val="Compact"/>
      </w:pPr>
      <w:r>
        <w:rPr>
          <w:bCs/>
          <w:b/>
        </w:rPr>
        <w:t xml:space="preserve">Differential equivalence (corroboration).</w:t>
      </w:r>
      <w:r>
        <w:t xml:space="preserve"> </w:t>
      </w:r>
      <w:r>
        <w:t xml:space="preserve">Agreement with established engines on a published corpus, reported as interoperability evidence and not as conformance.</w:t>
      </w:r>
    </w:p>
    <w:p>
      <w:pPr>
        <w:pStyle w:val="FirstParagraph"/>
      </w:pPr>
      <w:r>
        <w:t xml:space="preserve">Anything outside the stated fragment fails loudly with a named error rather than being approximated — the operational counterpart of fragment honesty.</w:t>
      </w:r>
    </w:p>
    <w:bookmarkEnd w:id="171"/>
    <w:bookmarkStart w:id="172" w:name="threats-to-validity"/>
    <w:p>
      <w:pPr>
        <w:pStyle w:val="Heading2"/>
      </w:pPr>
      <w:r>
        <w:t xml:space="preserve">9.8 Threats to Validity</w:t>
      </w:r>
    </w:p>
    <w:p>
      <w:pPr>
        <w:pStyle w:val="FirstParagraph"/>
      </w:pPr>
      <w:r>
        <w:rPr>
          <w:bCs/>
          <w:b/>
        </w:rPr>
        <w:t xml:space="preserve">Construct.</w:t>
      </w:r>
      <w:r>
        <w:t xml:space="preserve"> </w:t>
      </w:r>
      <w:r>
        <w:t xml:space="preserve">The prototype implements the thesis’s mechanisms but is not the system; its view shapes are simple, and a join-heavy view family could behave differently. The workload is synthetic; real banking traces are unobtainable for legal reasons. The skew premise is contested in the literature — production measurements range from</w:t>
      </w:r>
      <w:r>
        <w:t xml:space="preserve"> </w:t>
      </w:r>
      <w:r>
        <w:rPr>
          <w:iCs/>
          <w:i/>
        </w:rPr>
        <w:t xml:space="preserve">s</w:t>
      </w:r>
      <w:r>
        <w:t xml:space="preserve"> </w:t>
      </w:r>
      <w:r>
        <w:t xml:space="preserve">≈ 0.55 to ≈ 2.5 across different systems — which is why §9.3 sweeps it rather than assuming it.</w:t>
      </w:r>
    </w:p>
    <w:p>
      <w:pPr>
        <w:pStyle w:val="BodyText"/>
      </w:pPr>
      <w:r>
        <w:rPr>
          <w:bCs/>
          <w:b/>
        </w:rPr>
        <w:t xml:space="preserve">Internal.</w:t>
      </w:r>
      <w:r>
        <w:t xml:space="preserve"> </w:t>
      </w:r>
      <w:r>
        <w:t xml:space="preserve">Counted-work units eliminate machine variance for the primary results but not modelling error in the cost weights; the sweep addresses this and the raw components are published so a reader can re-price everything. The cost-aware policy’s parameters were developed on the same workload family they were evaluated on, which risks over-fitting; a held-out workload is required before claiming generality for it. The delayed-hit model is an analytic charge, not a measured queue, and is labelled as such.</w:t>
      </w:r>
    </w:p>
    <w:p>
      <w:pPr>
        <w:pStyle w:val="BodyText"/>
      </w:pPr>
      <w:r>
        <w:rPr>
          <w:bCs/>
          <w:b/>
        </w:rPr>
        <w:t xml:space="preserve">External.</w:t>
      </w:r>
      <w:r>
        <w:t xml:space="preserve"> </w:t>
      </w:r>
      <w:r>
        <w:t xml:space="preserve">One platform, one prototype, single-threaded, in-memory. The write-path numbers do not generalize past the mechanism they measure. The contention result is a non-result (§9.4.4).</w:t>
      </w:r>
    </w:p>
    <w:p>
      <w:pPr>
        <w:pStyle w:val="BodyText"/>
      </w:pPr>
      <w:r>
        <w:rPr>
          <w:bCs/>
          <w:b/>
        </w:rPr>
        <w:t xml:space="preserve">Theory-fidelity.</w:t>
      </w:r>
      <w:r>
        <w:t xml:space="preserve"> </w:t>
      </w:r>
      <w:r>
        <w:t xml:space="preserve">The prototype is not a proof; where it corroborates a theorem (§9.2.1, §9.2.3) it corroborates the theorem’s</w:t>
      </w:r>
      <w:r>
        <w:t xml:space="preserve"> </w:t>
      </w:r>
      <w:r>
        <w:rPr>
          <w:iCs/>
          <w:i/>
        </w:rPr>
        <w:t xml:space="preserve">statement</w:t>
      </w:r>
      <w:r>
        <w:t xml:space="preserve">, not its proof. Where it refutes a claim (§9.3.4, §9.4.1) the refutation is about the claim as operationalized, and §9.4.1 shows how much depends on that operationalization.</w:t>
      </w:r>
    </w:p>
    <w:p>
      <w:pPr>
        <w:pStyle w:val="BodyText"/>
      </w:pPr>
      <w:r>
        <w:rPr>
          <w:bCs/>
          <w:b/>
        </w:rPr>
        <w:t xml:space="preserve">Attribution.</w:t>
      </w:r>
      <w:r>
        <w:t xml:space="preserve"> </w:t>
      </w:r>
      <w:r>
        <w:t xml:space="preserve">Every literature figure in this thesis carries its original context. The partial-state memory figures from prior work describe one application at one scale under one latency target; the cache-skew figures describe those systems’ workloads, not banking; the production ledger throughput figures describe those platforms’ configurations. None is evidence about Nilestream.</w:t>
      </w:r>
    </w:p>
    <w:bookmarkEnd w:id="172"/>
    <w:bookmarkStart w:id="173" w:name="experiments-the-prototype-cannot-run"/>
    <w:p>
      <w:pPr>
        <w:pStyle w:val="Heading2"/>
      </w:pPr>
      <w:r>
        <w:t xml:space="preserve">9.9 Experiments the Prototype Cannot Run</w:t>
      </w:r>
    </w:p>
    <w:p>
      <w:pPr>
        <w:pStyle w:val="FirstParagraph"/>
      </w:pPr>
      <w:r>
        <w:t xml:space="preserve">Stated explicitly, because the gaps are as informative as the results.</w:t>
      </w:r>
    </w:p>
    <w:p>
      <w:pPr>
        <w:numPr>
          <w:ilvl w:val="0"/>
          <w:numId w:val="1019"/>
        </w:numPr>
        <w:pStyle w:val="Compact"/>
      </w:pPr>
      <w:r>
        <w:rPr>
          <w:bCs/>
          <w:b/>
        </w:rPr>
        <w:t xml:space="preserve">Contention.</w:t>
      </w:r>
      <w:r>
        <w:t xml:space="preserve"> </w:t>
      </w:r>
      <w:r>
        <w:t xml:space="preserve">Needs concurrency, a real commit protocol and a lock or OCC discipline. The literature’s quantitative anchor for what to expect is a measured ≈6.6× throughput collapse in an in-memory OLTP system as Zipf θ rises from 0.4 to 0.99 on a write-heavy workload — alongside the striking converse that on a read-heavy workload the same skew</w:t>
      </w:r>
      <w:r>
        <w:t xml:space="preserve"> </w:t>
      </w:r>
      <w:r>
        <w:rPr>
          <w:iCs/>
          <w:i/>
        </w:rPr>
        <w:t xml:space="preserve">increases</w:t>
      </w:r>
      <w:r>
        <w:t xml:space="preserve"> </w:t>
      </w:r>
      <w:r>
        <w:t xml:space="preserve">throughput through cache locality. That read/write asymmetry is precisely the shape this thesis’s phase diagram should exhibit under concurrency, and testing it is the single highest-value next experiment.</w:t>
      </w:r>
    </w:p>
    <w:p>
      <w:pPr>
        <w:numPr>
          <w:ilvl w:val="0"/>
          <w:numId w:val="1019"/>
        </w:numPr>
        <w:pStyle w:val="Compact"/>
      </w:pPr>
      <w:r>
        <w:rPr>
          <w:bCs/>
          <w:b/>
        </w:rPr>
        <w:t xml:space="preserve">Durability.</w:t>
      </w:r>
      <w:r>
        <w:t xml:space="preserve"> </w:t>
      </w:r>
      <w:r>
        <w:t xml:space="preserve">Needs a real write-ahead path. The honest framing is already fixed by §11.1: a single node with fsync-before-ack has RPO = 0 against process and OS crash and unbounded RPO against loss of the node or site.</w:t>
      </w:r>
    </w:p>
    <w:p>
      <w:pPr>
        <w:numPr>
          <w:ilvl w:val="0"/>
          <w:numId w:val="1019"/>
        </w:numPr>
        <w:pStyle w:val="Compact"/>
      </w:pPr>
      <w:r>
        <w:rPr>
          <w:bCs/>
          <w:b/>
        </w:rPr>
        <w:t xml:space="preserve">Distribution.</w:t>
      </w:r>
      <w:r>
        <w:t xml:space="preserve"> </w:t>
      </w:r>
      <w:r>
        <w:t xml:space="preserve">Needs the cross-shard protocol of §8.6.</w:t>
      </w:r>
    </w:p>
    <w:p>
      <w:pPr>
        <w:numPr>
          <w:ilvl w:val="0"/>
          <w:numId w:val="1019"/>
        </w:numPr>
        <w:pStyle w:val="Compact"/>
      </w:pPr>
      <w:r>
        <w:rPr>
          <w:bCs/>
          <w:b/>
        </w:rPr>
        <w:t xml:space="preserve">Language claims.</w:t>
      </w:r>
      <w:r>
        <w:t xml:space="preserve"> </w:t>
      </w:r>
      <w:r>
        <w:t xml:space="preserve">Need the compiler.</w:t>
      </w:r>
    </w:p>
    <w:bookmarkEnd w:id="173"/>
    <w:bookmarkStart w:id="174" w:name="immutability-and-memory-safety"/>
    <w:p>
      <w:pPr>
        <w:pStyle w:val="Heading2"/>
      </w:pPr>
      <w:r>
        <w:t xml:space="preserve">9.10 Immutability and Memory Safety</w:t>
      </w:r>
    </w:p>
    <w:p>
      <w:pPr>
        <w:pStyle w:val="FirstParagraph"/>
      </w:pPr>
      <w:r>
        <w:t xml:space="preserve">Unchanged in design from §5.8: type-level enforcement (no mutable reference to sealed data exists in the surface), exhaustive-interleaving model checking of the two mutable structures, sanitizer runs, and crash-recovery drills verifying frontier reconstruction. The prototype contributes one relevant data point: it contains</w:t>
      </w:r>
      <w:r>
        <w:t xml:space="preserve"> </w:t>
      </w:r>
      <w:r>
        <w:rPr>
          <w:bCs/>
          <w:b/>
        </w:rPr>
        <w:t xml:space="preserve">no</w:t>
      </w:r>
      <w:r>
        <w:rPr>
          <w:bCs/>
          <w:b/>
        </w:rPr>
        <w:t xml:space="preserve"> </w:t>
      </w:r>
      <w:r>
        <w:rPr>
          <w:rStyle w:val="VerbatimChar"/>
          <w:bCs/>
          <w:b/>
        </w:rPr>
        <w:t xml:space="preserve">unsafe</w:t>
      </w:r>
      <w:r>
        <w:rPr>
          <w:bCs/>
          <w:b/>
        </w:rPr>
        <w:t xml:space="preserve"> </w:t>
      </w:r>
      <w:r>
        <w:rPr>
          <w:bCs/>
          <w:b/>
        </w:rPr>
        <w:t xml:space="preserve">blocks</w:t>
      </w:r>
      <w:r>
        <w:t xml:space="preserve">, and sealed epochs are reached only through shared references, so its portion of the claim is discharged by the compiler. Acceptance for the full system remains zero races at all three layers.</w:t>
      </w:r>
    </w:p>
    <w:bookmarkEnd w:id="174"/>
    <w:bookmarkStart w:id="175" w:name="language-scope-1"/>
    <w:p>
      <w:pPr>
        <w:pStyle w:val="Heading2"/>
      </w:pPr>
      <w:r>
        <w:t xml:space="preserve">9.11 Language Scope</w:t>
      </w:r>
    </w:p>
    <w:p>
      <w:pPr>
        <w:pStyle w:val="FirstParagraph"/>
      </w:pPr>
      <w:r>
        <w:t xml:space="preserve">Constructive tests, unchanged: the banking portfolio implemented in the domain library with the kernel change log audited; a non-financial conserved-quantity domain; representative workloads per class; and the negative corpus of programs that must be rejected.</w:t>
      </w:r>
      <w:r>
        <w:t xml:space="preserve"> </w:t>
      </w:r>
      <w:r>
        <w:rPr>
          <w:iCs/>
          <w:i/>
        </w:rPr>
        <w:t xml:space="preserve">To be measured.</w:t>
      </w:r>
    </w:p>
    <w:bookmarkEnd w:id="175"/>
    <w:bookmarkStart w:id="176" w:name="results-analysis-by-conjecture"/>
    <w:p>
      <w:pPr>
        <w:pStyle w:val="Heading2"/>
      </w:pPr>
      <w:r>
        <w:t xml:space="preserve">9.12 Results Analysis by Conjecture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 after this chapter</w:t>
            </w:r>
          </w:p>
        </w:tc>
      </w:tr>
      <w:tr>
        <w:tc>
          <w:tcPr/>
          <w:p>
            <w:pPr>
              <w:pStyle w:val="Compact"/>
              <w:jc w:val="left"/>
            </w:pPr>
            <w:r>
              <w:t xml:space="preserve">SC1 reconstruction equivalence</w:t>
            </w:r>
          </w:p>
        </w:tc>
        <w:tc>
          <w:tcPr/>
          <w:p>
            <w:pPr>
              <w:pStyle w:val="Compact"/>
              <w:jc w:val="left"/>
            </w:pPr>
            <w:r>
              <w:rPr>
                <w:bCs/>
                <w:b/>
              </w:rPr>
              <w:t xml:space="preserve">Corroborated</w:t>
            </w:r>
            <w:r>
              <w:t xml:space="preserve"> </w:t>
            </w:r>
            <w:r>
              <w:t xml:space="preserve">— 0 divergences, 0 rebuild mismatches, 5 seeds (§9.2.1)</w:t>
            </w:r>
          </w:p>
        </w:tc>
      </w:tr>
      <w:tr>
        <w:tc>
          <w:tcPr/>
          <w:p>
            <w:pPr>
              <w:pStyle w:val="Compact"/>
              <w:jc w:val="left"/>
            </w:pPr>
            <w:r>
              <w:t xml:space="preserve">Conservation under eviction/refill</w:t>
            </w:r>
          </w:p>
        </w:tc>
        <w:tc>
          <w:tcPr/>
          <w:p>
            <w:pPr>
              <w:pStyle w:val="Compact"/>
              <w:jc w:val="left"/>
            </w:pPr>
            <w:r>
              <w:rPr>
                <w:bCs/>
                <w:b/>
              </w:rPr>
              <w:t xml:space="preserve">Corroborated</w:t>
            </w:r>
            <w:r>
              <w:t xml:space="preserve"> </w:t>
            </w:r>
            <w:r>
              <w:t xml:space="preserve">— per-currency total exactly 0, 5 seeds (§9.2.1)</w:t>
            </w:r>
          </w:p>
        </w:tc>
      </w:tr>
      <w:tr>
        <w:tc>
          <w:tcPr/>
          <w:p>
            <w:pPr>
              <w:pStyle w:val="Compact"/>
              <w:jc w:val="left"/>
            </w:pPr>
            <w:r>
              <w:t xml:space="preserve">F2 stream–relation duality</w:t>
            </w:r>
          </w:p>
        </w:tc>
        <w:tc>
          <w:tcPr/>
          <w:p>
            <w:pPr>
              <w:pStyle w:val="Compact"/>
              <w:jc w:val="left"/>
            </w:pPr>
            <w:r>
              <w:rPr>
                <w:bCs/>
                <w:b/>
              </w:rPr>
              <w:t xml:space="preserve">Corroborated</w:t>
            </w:r>
            <w:r>
              <w:t xml:space="preserve"> </w:t>
            </w:r>
            <w:r>
              <w:t xml:space="preserve">— 1,000 epochs, 0 mismatches (§9.2.3)</w:t>
            </w:r>
          </w:p>
        </w:tc>
      </w:tr>
      <w:tr>
        <w:tc>
          <w:tcPr/>
          <w:p>
            <w:pPr>
              <w:pStyle w:val="Compact"/>
              <w:jc w:val="left"/>
            </w:pPr>
            <w:r>
              <w:t xml:space="preserve">Absence discipline (miss ≠ 0)</w:t>
            </w:r>
          </w:p>
        </w:tc>
        <w:tc>
          <w:tcPr/>
          <w:p>
            <w:pPr>
              <w:pStyle w:val="Compact"/>
              <w:jc w:val="left"/>
            </w:pPr>
            <w:r>
              <w:rPr>
                <w:bCs/>
                <w:b/>
              </w:rPr>
              <w:t xml:space="preserve">Corroborated</w:t>
            </w:r>
            <w:r>
              <w:t xml:space="preserve"> </w:t>
            </w:r>
            <w:r>
              <w:t xml:space="preserve">(§9.2.1)</w:t>
            </w:r>
          </w:p>
        </w:tc>
      </w:tr>
      <w:tr>
        <w:tc>
          <w:tcPr/>
          <w:p>
            <w:pPr>
              <w:pStyle w:val="Compact"/>
              <w:jc w:val="left"/>
            </w:pPr>
            <w:r>
              <w:t xml:space="preserve">SC2 frontier exists</w:t>
            </w:r>
          </w:p>
        </w:tc>
        <w:tc>
          <w:tcPr/>
          <w:p>
            <w:pPr>
              <w:pStyle w:val="Compact"/>
              <w:jc w:val="left"/>
            </w:pPr>
            <w:r>
              <w:rPr>
                <w:bCs/>
                <w:b/>
              </w:rPr>
              <w:t xml:space="preserve">Corroborated and located</w:t>
            </w:r>
            <w:r>
              <w:t xml:space="preserve"> </w:t>
            </w:r>
            <w:r>
              <w:t xml:space="preserve">— crossover between memory prices 0.0005 and 0.002 (§9.3.3)</w:t>
            </w:r>
          </w:p>
        </w:tc>
      </w:tr>
      <w:tr>
        <w:tc>
          <w:tcPr/>
          <w:p>
            <w:pPr>
              <w:pStyle w:val="Compact"/>
              <w:jc w:val="left"/>
            </w:pPr>
            <w:r>
              <w:t xml:space="preserve">H0/S1</w:t>
            </w:r>
            <w:r>
              <w:t xml:space="preserve"> </w:t>
            </w:r>
            <w:r>
              <w:t xml:space="preserve">“</w:t>
            </w:r>
            <w:r>
              <w:t xml:space="preserve">partiality pays on skew</w:t>
            </w:r>
            <w:r>
              <w:t xml:space="preserve">”</w:t>
            </w:r>
          </w:p>
        </w:tc>
        <w:tc>
          <w:tcPr/>
          <w:p>
            <w:pPr>
              <w:pStyle w:val="Compact"/>
              <w:jc w:val="left"/>
            </w:pPr>
            <w:r>
              <w:rPr>
                <w:bCs/>
                <w:b/>
              </w:rPr>
              <w:t xml:space="preserve">Refuted as stated</w:t>
            </w:r>
            <w:r>
              <w:t xml:space="preserve">; restated as a memory-price condition with an interior optimum (§9.3.4)</w:t>
            </w:r>
          </w:p>
        </w:tc>
      </w:tr>
      <w:tr>
        <w:tc>
          <w:tcPr/>
          <w:p>
            <w:pPr>
              <w:pStyle w:val="Compact"/>
              <w:jc w:val="left"/>
            </w:pPr>
            <w:r>
              <w:t xml:space="preserve">SC3 cost is workload- not history-shaped</w:t>
            </w:r>
          </w:p>
        </w:tc>
        <w:tc>
          <w:tcPr/>
          <w:p>
            <w:pPr>
              <w:pStyle w:val="Compact"/>
              <w:jc w:val="left"/>
            </w:pPr>
            <w:r>
              <w:rPr>
                <w:bCs/>
                <w:b/>
              </w:rPr>
              <w:t xml:space="preserve">Refuted as stated; restored under checkpointing</w:t>
            </w:r>
            <w:r>
              <w:t xml:space="preserve"> </w:t>
            </w:r>
            <w:r>
              <w:t xml:space="preserve">with constant C/2 + 1 (§9.4.1)</w:t>
            </w:r>
          </w:p>
        </w:tc>
      </w:tr>
      <w:tr>
        <w:tc>
          <w:tcPr/>
          <w:p>
            <w:pPr>
              <w:pStyle w:val="Compact"/>
              <w:jc w:val="left"/>
            </w:pPr>
            <w:r>
              <w:t xml:space="preserve">Consistency rung cost</w:t>
            </w:r>
          </w:p>
        </w:tc>
        <w:tc>
          <w:tcPr/>
          <w:p>
            <w:pPr>
              <w:pStyle w:val="Compact"/>
              <w:jc w:val="left"/>
            </w:pPr>
            <w:r>
              <w:rPr>
                <w:bCs/>
                <w:b/>
              </w:rPr>
              <w:t xml:space="preserve">Measured</w:t>
            </w:r>
            <w:r>
              <w:t xml:space="preserve"> </w:t>
            </w:r>
            <w:r>
              <w:t xml:space="preserve">— falls on maintenance (~1/k), not reads (§9.4.3)</w:t>
            </w:r>
          </w:p>
        </w:tc>
      </w:tr>
      <w:tr>
        <w:tc>
          <w:tcPr/>
          <w:p>
            <w:pPr>
              <w:pStyle w:val="Compact"/>
              <w:jc w:val="left"/>
            </w:pPr>
            <w:r>
              <w:t xml:space="preserve">Cost-aware eviction beats LRU</w:t>
            </w:r>
          </w:p>
        </w:tc>
        <w:tc>
          <w:tcPr/>
          <w:p>
            <w:pPr>
              <w:pStyle w:val="Compact"/>
              <w:jc w:val="left"/>
            </w:pPr>
            <w:r>
              <w:rPr>
                <w:bCs/>
                <w:b/>
              </w:rPr>
              <w:t xml:space="preserve">Partly corroborated</w:t>
            </w:r>
            <w:r>
              <w:t xml:space="preserve"> </w:t>
            </w:r>
            <w:r>
              <w:t xml:space="preserve">— 31% on reconstruction work, 4% on aggregate delay (§9.4.2)</w:t>
            </w:r>
          </w:p>
        </w:tc>
      </w:tr>
      <w:tr>
        <w:tc>
          <w:tcPr/>
          <w:p>
            <w:pPr>
              <w:pStyle w:val="Compact"/>
              <w:jc w:val="left"/>
            </w:pPr>
            <w:r>
              <w:t xml:space="preserve">Hot-account contention</w:t>
            </w:r>
          </w:p>
        </w:tc>
        <w:tc>
          <w:tcPr/>
          <w:p>
            <w:pPr>
              <w:pStyle w:val="Compact"/>
              <w:jc w:val="left"/>
            </w:pPr>
            <w:r>
              <w:rPr>
                <w:bCs/>
                <w:b/>
              </w:rPr>
              <w:t xml:space="preserve">Not measured</w:t>
            </w:r>
            <w:r>
              <w:t xml:space="preserve">; instrument cannot (§9.4.4, §9.9)</w:t>
            </w:r>
          </w:p>
        </w:tc>
      </w:tr>
      <w:tr>
        <w:tc>
          <w:tcPr/>
          <w:p>
            <w:pPr>
              <w:pStyle w:val="Compact"/>
              <w:jc w:val="left"/>
            </w:pPr>
            <w:r>
              <w:t xml:space="preserve">Strict serializability</w:t>
            </w:r>
          </w:p>
        </w:tc>
        <w:tc>
          <w:tcPr/>
          <w:p>
            <w:pPr>
              <w:pStyle w:val="Compact"/>
              <w:jc w:val="left"/>
            </w:pPr>
            <w:r>
              <w:rPr>
                <w:bCs/>
                <w:b/>
              </w:rPr>
              <w:t xml:space="preserve">Not tested</w:t>
            </w:r>
            <w:r>
              <w:t xml:space="preserve">; conservation is strictly weaker (§9.2.2)</w:t>
            </w:r>
          </w:p>
        </w:tc>
      </w:tr>
      <w:tr>
        <w:tc>
          <w:tcPr/>
          <w:p>
            <w:pPr>
              <w:pStyle w:val="Compact"/>
              <w:jc w:val="left"/>
            </w:pPr>
            <w:r>
              <w:t xml:space="preserve">SQL-completeness by conformance suite</w:t>
            </w:r>
          </w:p>
        </w:tc>
        <w:tc>
          <w:tcPr/>
          <w:p>
            <w:pPr>
              <w:pStyle w:val="Compact"/>
              <w:jc w:val="left"/>
            </w:pPr>
            <w:r>
              <w:rPr>
                <w:bCs/>
                <w:b/>
              </w:rPr>
              <w:t xml:space="preserve">Withdrawn</w:t>
            </w:r>
            <w:r>
              <w:t xml:space="preserve">; no such suite exists (§9.7)</w:t>
            </w:r>
          </w:p>
        </w:tc>
      </w:tr>
      <w:tr>
        <w:tc>
          <w:tcPr/>
          <w:p>
            <w:pPr>
              <w:pStyle w:val="Compact"/>
              <w:jc w:val="left"/>
            </w:pPr>
            <w:r>
              <w:t xml:space="preserve">Everything in §9.5</w:t>
            </w:r>
          </w:p>
        </w:tc>
        <w:tc>
          <w:tcPr/>
          <w:p>
            <w:pPr>
              <w:pStyle w:val="Compact"/>
              <w:jc w:val="left"/>
            </w:pPr>
            <w:r>
              <w:rPr>
                <w:iCs/>
                <w:i/>
              </w:rPr>
              <w:t xml:space="preserve">to be measured</w:t>
            </w:r>
          </w:p>
        </w:tc>
      </w:tr>
    </w:tbl>
    <w:bookmarkEnd w:id="176"/>
    <w:bookmarkStart w:id="183" w:name="results-through-the-compiled-path"/>
    <w:p>
      <w:pPr>
        <w:pStyle w:val="Heading2"/>
      </w:pPr>
      <w:r>
        <w:t xml:space="preserve">9.13 Results Through the Compiled Path</w:t>
      </w:r>
    </w:p>
    <w:p>
      <w:pPr>
        <w:pStyle w:val="FirstParagraph"/>
      </w:pPr>
      <w:r>
        <w:t xml:space="preserve">Everything in §§9.1–9.4 was measured with</w:t>
      </w:r>
      <w:r>
        <w:t xml:space="preserve"> </w:t>
      </w:r>
      <w:r>
        <w:rPr>
          <w:rStyle w:val="VerbatimChar"/>
        </w:rPr>
        <w:t xml:space="preserve">proto-engine</w:t>
      </w:r>
      <w:r>
        <w:t xml:space="preserve">, a hand-written harness with no compiler in it. That was the honest thing to build first — a measurement is worth more than a compiler that produces no measurements — but it left the strongest available check on those findings unused. The language, the type system, the IR and the verifier were all specified and none of them was in the measurement path.</w:t>
      </w:r>
    </w:p>
    <w:p>
      <w:pPr>
        <w:pStyle w:val="BodyText"/>
      </w:pPr>
      <w:r>
        <w:t xml:space="preserve">They are now.</w:t>
      </w:r>
      <w:r>
        <w:t xml:space="preserve"> </w:t>
      </w:r>
      <w:r>
        <w:rPr>
          <w:rStyle w:val="VerbatimChar"/>
        </w:rPr>
        <w:t xml:space="preserve">crates/nilestream</w:t>
      </w:r>
      <w:r>
        <w:t xml:space="preserve"> </w:t>
      </w:r>
      <w:r>
        <w:t xml:space="preserve">compiles a Niles program with</w:t>
      </w:r>
      <w:r>
        <w:t xml:space="preserve"> </w:t>
      </w:r>
      <w:r>
        <w:rPr>
          <w:rStyle w:val="VerbatimChar"/>
        </w:rPr>
        <w:t xml:space="preserve">niles-lang</w:t>
      </w:r>
      <w:r>
        <w:t xml:space="preserve">, verifies the resulting circuit with</w:t>
      </w:r>
      <w:r>
        <w:t xml:space="preserve"> </w:t>
      </w:r>
      <w:r>
        <w:rPr>
          <w:rStyle w:val="VerbatimChar"/>
        </w:rPr>
        <w:t xml:space="preserve">niles-ir::verify</w:t>
      </w:r>
      <w:r>
        <w:t xml:space="preserve">, installs it on the</w:t>
      </w:r>
      <w:r>
        <w:t xml:space="preserve"> </w:t>
      </w:r>
      <w:r>
        <w:rPr>
          <w:rStyle w:val="VerbatimChar"/>
        </w:rPr>
        <w:t xml:space="preserve">nilestream-core</w:t>
      </w:r>
      <w:r>
        <w:t xml:space="preserve"> </w:t>
      </w:r>
      <w:r>
        <w:t xml:space="preserve">REV runtime, and runs a workload against a hash-chained, epoch-ordered ledger. Nothing between those stages is hand-built. Two of the headline findings were re-measured along that path, and a third — durability — was measured for the first time, on a write path that has an</w:t>
      </w:r>
      <w:r>
        <w:t xml:space="preserve"> </w:t>
      </w:r>
      <w:r>
        <w:rPr>
          <w:rStyle w:val="VerbatimChar"/>
        </w:rPr>
        <w:t xml:space="preserve">fsync</w:t>
      </w:r>
      <w:r>
        <w:t xml:space="preserve"> </w:t>
      </w:r>
      <w:r>
        <w:t xml:space="preserve">in it.</w:t>
      </w:r>
    </w:p>
    <w:p>
      <w:pPr>
        <w:pStyle w:val="BodyText"/>
      </w:pPr>
      <w:r>
        <w:t xml:space="preserve">This is a different kind of confirmation from re-running the same harness with a different seed. It shares the workload generator and the ledger with §§9.1–9.4, but the view definition, the key derivation, the materialization decision, the anchor discipline and the eviction budget all now come from a compiled artifact rather than from hand-written Rust. A finding that survived that translation is a finding about the mechanism rather than about one implementation of it.</w:t>
      </w:r>
    </w:p>
    <w:bookmarkStart w:id="177" w:name="sc7-through-the-compiler-e11"/>
    <w:p>
      <w:pPr>
        <w:pStyle w:val="Heading3"/>
      </w:pPr>
      <w:r>
        <w:t xml:space="preserve">9.13.1 SC7 through the compiler (E11)</w:t>
      </w:r>
    </w:p>
    <w:p>
      <w:pPr>
        <w:pStyle w:val="FirstParagraph"/>
      </w:pPr>
      <w:r>
        <w:t xml:space="preserve">Dense keys, so each key accumulates real history: 200 accounts, Zipf</w:t>
      </w:r>
      <w:r>
        <w:t xml:space="preserve"> </w:t>
      </w:r>
      <w:r>
        <w:rPr>
          <w:iCs/>
          <w:i/>
        </w:rPr>
        <w:t xml:space="preserve">s</w:t>
      </w:r>
      <w:r>
        <w:t xml:space="preserve"> </w:t>
      </w:r>
      <w:r>
        <w:t xml:space="preserve">= 1.1, 4,000 reads, budget 20 entries. The figure is base rows read per upquery.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Epochs</w:t>
            </w:r>
          </w:p>
        </w:tc>
        <w:tc>
          <w:tcPr/>
          <w:p>
            <w:pPr>
              <w:pStyle w:val="Compact"/>
              <w:jc w:val="right"/>
            </w:pPr>
            <w:r>
              <w:rPr>
                <w:iCs/>
                <w:i/>
              </w:rPr>
              <w:t xml:space="preserve">C</w:t>
            </w:r>
            <w:r>
              <w:t xml:space="preserve"> </w:t>
            </w:r>
            <w:r>
              <w:t xml:space="preserve">= 0 (no checkpoints)</w:t>
            </w:r>
          </w:p>
        </w:tc>
        <w:tc>
          <w:tcPr/>
          <w:p>
            <w:pPr>
              <w:pStyle w:val="Compact"/>
              <w:jc w:val="right"/>
            </w:pPr>
            <w:r>
              <w:rPr>
                <w:iCs/>
                <w:i/>
              </w:rPr>
              <w:t xml:space="preserve">C</w:t>
            </w:r>
            <w:r>
              <w:t xml:space="preserve"> </w:t>
            </w:r>
            <w:r>
              <w:t xml:space="preserve">= 16</w:t>
            </w:r>
          </w:p>
        </w:tc>
        <w:tc>
          <w:tcPr/>
          <w:p>
            <w:pPr>
              <w:pStyle w:val="Compact"/>
              <w:jc w:val="right"/>
            </w:pPr>
            <w:r>
              <w:rPr>
                <w:iCs/>
                <w:i/>
              </w:rPr>
              <w:t xml:space="preserve">C</w:t>
            </w:r>
            <w:r>
              <w:t xml:space="preserve"> </w:t>
            </w:r>
            <w:r>
              <w:t xml:space="preserve">= 64</w:t>
            </w:r>
          </w:p>
        </w:tc>
      </w:tr>
      <w:tr>
        <w:tc>
          <w:tcPr/>
          <w:p>
            <w:pPr>
              <w:pStyle w:val="Compact"/>
              <w:jc w:val="right"/>
            </w:pPr>
            <w:r>
              <w:t xml:space="preserve">5,000</w:t>
            </w:r>
          </w:p>
        </w:tc>
        <w:tc>
          <w:tcPr/>
          <w:p>
            <w:pPr>
              <w:pStyle w:val="Compact"/>
              <w:jc w:val="right"/>
            </w:pPr>
            <w:r>
              <w:t xml:space="preserve">58.5</w:t>
            </w:r>
          </w:p>
        </w:tc>
        <w:tc>
          <w:tcPr/>
          <w:p>
            <w:pPr>
              <w:pStyle w:val="Compact"/>
              <w:jc w:val="right"/>
            </w:pPr>
            <w:r>
              <w:rPr>
                <w:bCs/>
                <w:b/>
              </w:rPr>
              <w:t xml:space="preserve">6.9</w:t>
            </w:r>
          </w:p>
        </w:tc>
        <w:tc>
          <w:tcPr/>
          <w:p>
            <w:pPr>
              <w:pStyle w:val="Compact"/>
              <w:jc w:val="right"/>
            </w:pPr>
            <w:r>
              <w:t xml:space="preserve">19.1</w:t>
            </w:r>
          </w:p>
        </w:tc>
      </w:tr>
      <w:tr>
        <w:tc>
          <w:tcPr/>
          <w:p>
            <w:pPr>
              <w:pStyle w:val="Compact"/>
              <w:jc w:val="right"/>
            </w:pPr>
            <w:r>
              <w:t xml:space="preserve">20,000</w:t>
            </w:r>
          </w:p>
        </w:tc>
        <w:tc>
          <w:tcPr/>
          <w:p>
            <w:pPr>
              <w:pStyle w:val="Compact"/>
              <w:jc w:val="right"/>
            </w:pPr>
            <w:r>
              <w:t xml:space="preserve">234.0</w:t>
            </w:r>
          </w:p>
        </w:tc>
        <w:tc>
          <w:tcPr/>
          <w:p>
            <w:pPr>
              <w:pStyle w:val="Compact"/>
              <w:jc w:val="right"/>
            </w:pPr>
            <w:r>
              <w:rPr>
                <w:bCs/>
                <w:b/>
              </w:rPr>
              <w:t xml:space="preserve">8.3</w:t>
            </w:r>
          </w:p>
        </w:tc>
        <w:tc>
          <w:tcPr/>
          <w:p>
            <w:pPr>
              <w:pStyle w:val="Compact"/>
              <w:jc w:val="right"/>
            </w:pPr>
            <w:r>
              <w:t xml:space="preserve">28.6</w:t>
            </w:r>
          </w:p>
        </w:tc>
      </w:tr>
      <w:tr>
        <w:tc>
          <w:tcPr/>
          <w:p>
            <w:pPr>
              <w:pStyle w:val="Compact"/>
              <w:jc w:val="right"/>
            </w:pPr>
            <w:r>
              <w:t xml:space="preserve">80,000</w:t>
            </w:r>
          </w:p>
        </w:tc>
        <w:tc>
          <w:tcPr/>
          <w:p>
            <w:pPr>
              <w:pStyle w:val="Compact"/>
              <w:jc w:val="right"/>
            </w:pPr>
            <w:r>
              <w:t xml:space="preserve">931.5</w:t>
            </w:r>
          </w:p>
        </w:tc>
        <w:tc>
          <w:tcPr/>
          <w:p>
            <w:pPr>
              <w:pStyle w:val="Compact"/>
              <w:jc w:val="right"/>
            </w:pPr>
            <w:r>
              <w:rPr>
                <w:bCs/>
                <w:b/>
              </w:rPr>
              <w:t xml:space="preserve">8.4</w:t>
            </w:r>
          </w:p>
        </w:tc>
        <w:tc>
          <w:tcPr/>
          <w:p>
            <w:pPr>
              <w:pStyle w:val="Compact"/>
              <w:jc w:val="right"/>
            </w:pPr>
            <w:r>
              <w:t xml:space="preserve">31.7</w:t>
            </w:r>
          </w:p>
        </w:tc>
      </w:tr>
      <w:tr>
        <w:tc>
          <w:tcPr/>
          <w:p>
            <w:pPr>
              <w:pStyle w:val="Compact"/>
              <w:jc w:val="right"/>
            </w:pPr>
            <w:r>
              <w:rPr>
                <w:bCs/>
                <w:b/>
              </w:rPr>
              <w:t xml:space="preserve">growth over a 16× history increase</w:t>
            </w:r>
          </w:p>
        </w:tc>
        <w:tc>
          <w:tcPr/>
          <w:p>
            <w:pPr>
              <w:pStyle w:val="Compact"/>
              <w:jc w:val="right"/>
            </w:pPr>
            <w:r>
              <w:rPr>
                <w:bCs/>
                <w:b/>
              </w:rPr>
              <w:t xml:space="preserve">15.9×</w:t>
            </w:r>
          </w:p>
        </w:tc>
        <w:tc>
          <w:tcPr/>
          <w:p>
            <w:pPr>
              <w:pStyle w:val="Compact"/>
              <w:jc w:val="right"/>
            </w:pPr>
            <w:r>
              <w:rPr>
                <w:bCs/>
                <w:b/>
              </w:rPr>
              <w:t xml:space="preserve">1.22×</w:t>
            </w:r>
          </w:p>
        </w:tc>
        <w:tc>
          <w:tcPr/>
          <w:p>
            <w:pPr>
              <w:pStyle w:val="Compact"/>
              <w:jc w:val="right"/>
            </w:pPr>
            <w:r>
              <w:t xml:space="preserve">1.66×</w:t>
            </w:r>
          </w:p>
        </w:tc>
      </w:tr>
    </w:tbl>
    <w:p>
      <w:pPr>
        <w:pStyle w:val="BodyText"/>
      </w:pPr>
      <w:r>
        <w:t xml:space="preserve">Without checkpoints the fold is history-length: cost grows 15.9× as history grows 16×, which is the linear behaviour §9.4.1 reported and which refuted the anchor-index claim. With</w:t>
      </w:r>
      <w:r>
        <w:t xml:space="preserve"> </w:t>
      </w:r>
      <w:r>
        <w:rPr>
          <w:iCs/>
          <w:i/>
        </w:rPr>
        <w:t xml:space="preserve">C</w:t>
      </w:r>
      <w:r>
        <w:t xml:space="preserve"> </w:t>
      </w:r>
      <w:r>
        <w:t xml:space="preserve">= 16 it is flat at 8.4 against the Theorem 3.7 bound of</w:t>
      </w:r>
      <w:r>
        <w:t xml:space="preserve"> </w:t>
      </w:r>
      <w:r>
        <w:rPr>
          <w:iCs/>
          <w:i/>
        </w:rPr>
        <w:t xml:space="preserve">C</w:t>
      </w:r>
      <w:r>
        <w:t xml:space="preserve">/2 + 1 = 9. With</w:t>
      </w:r>
      <w:r>
        <w:t xml:space="preserve"> </w:t>
      </w:r>
      <w:r>
        <w:rPr>
          <w:iCs/>
          <w:i/>
        </w:rPr>
        <w:t xml:space="preserve">C</w:t>
      </w:r>
      <w:r>
        <w:t xml:space="preserve"> </w:t>
      </w:r>
      <w:r>
        <w:t xml:space="preserve">= 64 it is bounded and still climbing toward its own predicted 33, which it has not reached by 80,000 epochs.</w:t>
      </w:r>
    </w:p>
    <w:p>
      <w:pPr>
        <w:pStyle w:val="BodyText"/>
      </w:pPr>
      <w:r>
        <w:t xml:space="preserve">The hand-written harness measured 6.8 → 8.3 → 8.0 → 8.5 for</w:t>
      </w:r>
      <w:r>
        <w:t xml:space="preserve"> </w:t>
      </w:r>
      <w:r>
        <w:rPr>
          <w:iCs/>
          <w:i/>
        </w:rPr>
        <w:t xml:space="preserve">C</w:t>
      </w:r>
      <w:r>
        <w:t xml:space="preserve"> </w:t>
      </w:r>
      <w:r>
        <w:t xml:space="preserve">= 16. The compiled path measures 6.9 → 8.3 → 8.4.</w:t>
      </w:r>
      <w:r>
        <w:t xml:space="preserve"> </w:t>
      </w:r>
      <w:r>
        <w:rPr>
          <w:bCs/>
          <w:b/>
        </w:rPr>
        <w:t xml:space="preserve">SC7 is confirmed through the compiler, not merely around it.</w:t>
      </w:r>
    </w:p>
    <w:bookmarkEnd w:id="177"/>
    <w:bookmarkStart w:id="178" w:name="X35472199637681ed89c8152a8ce87f1a8e62966"/>
    <w:p>
      <w:pPr>
        <w:pStyle w:val="Heading3"/>
      </w:pPr>
      <w:r>
        <w:t xml:space="preserve">9.13.2 The phase diagram through the compiler (E12)</w:t>
      </w:r>
    </w:p>
    <w:p>
      <w:pPr>
        <w:pStyle w:val="FirstParagraph"/>
      </w:pPr>
      <w:r>
        <w:t xml:space="preserve">20,000 epochs, 20,000 reads, 20,000 accounts, Zipf</w:t>
      </w:r>
      <w:r>
        <w:t xml:space="preserve"> </w:t>
      </w:r>
      <w:r>
        <w:rPr>
          <w:iCs/>
          <w:i/>
        </w:rPr>
        <w:t xml:space="preserve">s</w:t>
      </w:r>
      <w:r>
        <w:t xml:space="preserve"> </w:t>
      </w:r>
      <w:r>
        <w:t xml:space="preserve">= 1.1. Budget swept against the price of memory; cost is</w:t>
      </w:r>
      <w:r>
        <w:t xml:space="preserve"> </w:t>
      </w:r>
      <w:r>
        <w:rPr>
          <w:rStyle w:val="VerbatimChar"/>
        </w:rPr>
        <w:t xml:space="preserve">resident_entry_epochs × price + deltas_applied + base_rows_read</w:t>
      </w:r>
      <w:r>
        <w:t xml:space="preserve">, in counted-work units.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right"/>
            </w:pPr>
            <w:r>
              <w:t xml:space="preserve">Budget</w:t>
            </w:r>
          </w:p>
        </w:tc>
        <w:tc>
          <w:tcPr/>
          <w:p>
            <w:pPr>
              <w:pStyle w:val="Compact"/>
              <w:jc w:val="right"/>
            </w:pPr>
            <w:r>
              <w:t xml:space="preserve">0.0001</w:t>
            </w:r>
          </w:p>
        </w:tc>
        <w:tc>
          <w:tcPr/>
          <w:p>
            <w:pPr>
              <w:pStyle w:val="Compact"/>
              <w:jc w:val="right"/>
            </w:pPr>
            <w:r>
              <w:t xml:space="preserve">0.0005</w:t>
            </w:r>
          </w:p>
        </w:tc>
        <w:tc>
          <w:tcPr/>
          <w:p>
            <w:pPr>
              <w:pStyle w:val="Compact"/>
              <w:jc w:val="right"/>
            </w:pPr>
            <w:r>
              <w:t xml:space="preserve">0.002</w:t>
            </w:r>
          </w:p>
        </w:tc>
        <w:tc>
          <w:tcPr/>
          <w:p>
            <w:pPr>
              <w:pStyle w:val="Compact"/>
              <w:jc w:val="right"/>
            </w:pPr>
            <w:r>
              <w:t xml:space="preserve">0.01</w:t>
            </w:r>
          </w:p>
        </w:tc>
        <w:tc>
          <w:tcPr/>
          <w:p>
            <w:pPr>
              <w:pStyle w:val="Compact"/>
              <w:jc w:val="right"/>
            </w:pPr>
            <w:r>
              <w:t xml:space="preserve">0.05</w:t>
            </w:r>
          </w:p>
        </w:tc>
      </w:tr>
      <w:tr>
        <w:tc>
          <w:tcPr/>
          <w:p>
            <w:pPr>
              <w:pStyle w:val="Compact"/>
              <w:jc w:val="right"/>
            </w:pPr>
            <w:r>
              <w:t xml:space="preserve">250</w:t>
            </w:r>
          </w:p>
        </w:tc>
        <w:tc>
          <w:tcPr/>
          <w:p>
            <w:pPr>
              <w:pStyle w:val="Compact"/>
              <w:jc w:val="right"/>
            </w:pPr>
            <w:r>
              <w:t xml:space="preserve">75,541</w:t>
            </w:r>
          </w:p>
        </w:tc>
        <w:tc>
          <w:tcPr/>
          <w:p>
            <w:pPr>
              <w:pStyle w:val="Compact"/>
              <w:jc w:val="right"/>
            </w:pPr>
            <w:r>
              <w:t xml:space="preserve">77,517</w:t>
            </w:r>
          </w:p>
        </w:tc>
        <w:tc>
          <w:tcPr/>
          <w:p>
            <w:pPr>
              <w:pStyle w:val="Compact"/>
              <w:jc w:val="right"/>
            </w:pPr>
            <w:r>
              <w:t xml:space="preserve">84,926</w:t>
            </w:r>
          </w:p>
        </w:tc>
        <w:tc>
          <w:tcPr/>
          <w:p>
            <w:pPr>
              <w:pStyle w:val="Compact"/>
              <w:jc w:val="right"/>
            </w:pPr>
            <w:r>
              <w:rPr>
                <w:bCs/>
                <w:b/>
              </w:rPr>
              <w:t xml:space="preserve">124,443</w:t>
            </w:r>
          </w:p>
        </w:tc>
        <w:tc>
          <w:tcPr/>
          <w:p>
            <w:pPr>
              <w:pStyle w:val="Compact"/>
              <w:jc w:val="right"/>
            </w:pPr>
            <w:r>
              <w:rPr>
                <w:bCs/>
                <w:b/>
              </w:rPr>
              <w:t xml:space="preserve">322,027</w:t>
            </w:r>
          </w:p>
        </w:tc>
      </w:tr>
      <w:tr>
        <w:tc>
          <w:tcPr/>
          <w:p>
            <w:pPr>
              <w:pStyle w:val="Compact"/>
              <w:jc w:val="right"/>
            </w:pPr>
            <w:r>
              <w:t xml:space="preserve">500</w:t>
            </w:r>
          </w:p>
        </w:tc>
        <w:tc>
          <w:tcPr/>
          <w:p>
            <w:pPr>
              <w:pStyle w:val="Compact"/>
              <w:jc w:val="right"/>
            </w:pPr>
            <w:r>
              <w:t xml:space="preserve">51,746</w:t>
            </w:r>
          </w:p>
        </w:tc>
        <w:tc>
          <w:tcPr/>
          <w:p>
            <w:pPr>
              <w:pStyle w:val="Compact"/>
              <w:jc w:val="right"/>
            </w:pPr>
            <w:r>
              <w:t xml:space="preserve">55,636</w:t>
            </w:r>
          </w:p>
        </w:tc>
        <w:tc>
          <w:tcPr/>
          <w:p>
            <w:pPr>
              <w:pStyle w:val="Compact"/>
              <w:jc w:val="right"/>
            </w:pPr>
            <w:r>
              <w:rPr>
                <w:bCs/>
                <w:b/>
              </w:rPr>
              <w:t xml:space="preserve">70,223</w:t>
            </w:r>
          </w:p>
        </w:tc>
        <w:tc>
          <w:tcPr/>
          <w:p>
            <w:pPr>
              <w:pStyle w:val="Compact"/>
              <w:jc w:val="right"/>
            </w:pPr>
            <w:r>
              <w:t xml:space="preserve">148,021</w:t>
            </w:r>
          </w:p>
        </w:tc>
        <w:tc>
          <w:tcPr/>
          <w:p>
            <w:pPr>
              <w:pStyle w:val="Compact"/>
              <w:jc w:val="right"/>
            </w:pPr>
            <w:r>
              <w:t xml:space="preserve">537,007</w:t>
            </w:r>
          </w:p>
        </w:tc>
      </w:tr>
      <w:tr>
        <w:tc>
          <w:tcPr/>
          <w:p>
            <w:pPr>
              <w:pStyle w:val="Compact"/>
              <w:jc w:val="right"/>
            </w:pPr>
            <w:r>
              <w:t xml:space="preserve">1,000</w:t>
            </w:r>
          </w:p>
        </w:tc>
        <w:tc>
          <w:tcPr/>
          <w:p>
            <w:pPr>
              <w:pStyle w:val="Compact"/>
              <w:jc w:val="right"/>
            </w:pPr>
            <w:r>
              <w:t xml:space="preserve">40,818</w:t>
            </w:r>
          </w:p>
        </w:tc>
        <w:tc>
          <w:tcPr/>
          <w:p>
            <w:pPr>
              <w:pStyle w:val="Compact"/>
              <w:jc w:val="right"/>
            </w:pPr>
            <w:r>
              <w:rPr>
                <w:bCs/>
                <w:b/>
              </w:rPr>
              <w:t xml:space="preserve">48,308</w:t>
            </w:r>
          </w:p>
        </w:tc>
        <w:tc>
          <w:tcPr/>
          <w:p>
            <w:pPr>
              <w:pStyle w:val="Compact"/>
              <w:jc w:val="right"/>
            </w:pPr>
            <w:r>
              <w:t xml:space="preserve">76,399</w:t>
            </w:r>
          </w:p>
        </w:tc>
        <w:tc>
          <w:tcPr/>
          <w:p>
            <w:pPr>
              <w:pStyle w:val="Compact"/>
              <w:jc w:val="right"/>
            </w:pPr>
            <w:r>
              <w:t xml:space="preserve">226,214</w:t>
            </w:r>
          </w:p>
        </w:tc>
        <w:tc>
          <w:tcPr/>
          <w:p>
            <w:pPr>
              <w:pStyle w:val="Compact"/>
              <w:jc w:val="right"/>
            </w:pPr>
            <w:r>
              <w:t xml:space="preserve">975,292</w:t>
            </w:r>
          </w:p>
        </w:tc>
      </w:tr>
      <w:tr>
        <w:tc>
          <w:tcPr/>
          <w:p>
            <w:pPr>
              <w:pStyle w:val="Compact"/>
              <w:jc w:val="right"/>
            </w:pPr>
            <w:r>
              <w:t xml:space="preserve">2,000</w:t>
            </w:r>
          </w:p>
        </w:tc>
        <w:tc>
          <w:tcPr/>
          <w:p>
            <w:pPr>
              <w:pStyle w:val="Compact"/>
              <w:jc w:val="right"/>
            </w:pPr>
            <w:r>
              <w:rPr>
                <w:bCs/>
                <w:b/>
              </w:rPr>
              <w:t xml:space="preserve">38,619</w:t>
            </w:r>
          </w:p>
        </w:tc>
        <w:tc>
          <w:tcPr/>
          <w:p>
            <w:pPr>
              <w:pStyle w:val="Compact"/>
              <w:jc w:val="right"/>
            </w:pPr>
            <w:r>
              <w:t xml:space="preserve">52,145</w:t>
            </w:r>
          </w:p>
        </w:tc>
        <w:tc>
          <w:tcPr/>
          <w:p>
            <w:pPr>
              <w:pStyle w:val="Compact"/>
              <w:jc w:val="right"/>
            </w:pPr>
            <w:r>
              <w:t xml:space="preserve">102,871</w:t>
            </w:r>
          </w:p>
        </w:tc>
        <w:tc>
          <w:tcPr/>
          <w:p>
            <w:pPr>
              <w:pStyle w:val="Compact"/>
              <w:jc w:val="right"/>
            </w:pPr>
            <w:r>
              <w:t xml:space="preserve">373,406</w:t>
            </w:r>
          </w:p>
        </w:tc>
        <w:tc>
          <w:tcPr/>
          <w:p>
            <w:pPr>
              <w:pStyle w:val="Compact"/>
              <w:jc w:val="right"/>
            </w:pPr>
            <w:r>
              <w:t xml:space="preserve">1,726,084</w:t>
            </w:r>
          </w:p>
        </w:tc>
      </w:tr>
      <w:tr>
        <w:tc>
          <w:tcPr/>
          <w:p>
            <w:pPr>
              <w:pStyle w:val="Compact"/>
              <w:jc w:val="right"/>
            </w:pPr>
            <w:r>
              <w:t xml:space="preserve">4,000</w:t>
            </w:r>
          </w:p>
        </w:tc>
        <w:tc>
          <w:tcPr/>
          <w:p>
            <w:pPr>
              <w:pStyle w:val="Compact"/>
              <w:jc w:val="right"/>
            </w:pPr>
            <w:r>
              <w:t xml:space="preserve">39,435</w:t>
            </w:r>
          </w:p>
        </w:tc>
        <w:tc>
          <w:tcPr/>
          <w:p>
            <w:pPr>
              <w:pStyle w:val="Compact"/>
              <w:jc w:val="right"/>
            </w:pPr>
            <w:r>
              <w:t xml:space="preserve">58,648</w:t>
            </w:r>
          </w:p>
        </w:tc>
        <w:tc>
          <w:tcPr/>
          <w:p>
            <w:pPr>
              <w:pStyle w:val="Compact"/>
              <w:jc w:val="right"/>
            </w:pPr>
            <w:r>
              <w:t xml:space="preserve">130,698</w:t>
            </w:r>
          </w:p>
        </w:tc>
        <w:tc>
          <w:tcPr/>
          <w:p>
            <w:pPr>
              <w:pStyle w:val="Compact"/>
              <w:jc w:val="right"/>
            </w:pPr>
            <w:r>
              <w:t xml:space="preserve">514,960</w:t>
            </w:r>
          </w:p>
        </w:tc>
        <w:tc>
          <w:tcPr/>
          <w:p>
            <w:pPr>
              <w:pStyle w:val="Compact"/>
              <w:jc w:val="right"/>
            </w:pPr>
            <w:r>
              <w:t xml:space="preserve">2,436,271</w:t>
            </w:r>
          </w:p>
        </w:tc>
      </w:tr>
      <w:tr>
        <w:tc>
          <w:tcPr/>
          <w:p>
            <w:pPr>
              <w:pStyle w:val="Compact"/>
              <w:jc w:val="right"/>
            </w:pPr>
            <w:r>
              <w:t xml:space="preserve">8,000</w:t>
            </w:r>
          </w:p>
        </w:tc>
        <w:tc>
          <w:tcPr/>
          <w:p>
            <w:pPr>
              <w:pStyle w:val="Compact"/>
              <w:jc w:val="right"/>
            </w:pPr>
            <w:r>
              <w:t xml:space="preserve">39,439</w:t>
            </w:r>
          </w:p>
        </w:tc>
        <w:tc>
          <w:tcPr/>
          <w:p>
            <w:pPr>
              <w:pStyle w:val="Compact"/>
              <w:jc w:val="right"/>
            </w:pPr>
            <w:r>
              <w:t xml:space="preserve">58,663</w:t>
            </w:r>
          </w:p>
        </w:tc>
        <w:tc>
          <w:tcPr/>
          <w:p>
            <w:pPr>
              <w:pStyle w:val="Compact"/>
              <w:jc w:val="right"/>
            </w:pPr>
            <w:r>
              <w:t xml:space="preserve">130,752</w:t>
            </w:r>
          </w:p>
        </w:tc>
        <w:tc>
          <w:tcPr/>
          <w:p>
            <w:pPr>
              <w:pStyle w:val="Compact"/>
              <w:jc w:val="right"/>
            </w:pPr>
            <w:r>
              <w:t xml:space="preserve">515,226</w:t>
            </w:r>
          </w:p>
        </w:tc>
        <w:tc>
          <w:tcPr/>
          <w:p>
            <w:pPr>
              <w:pStyle w:val="Compact"/>
              <w:jc w:val="right"/>
            </w:pPr>
            <w:r>
              <w:t xml:space="preserve">2,437,599</w:t>
            </w:r>
          </w:p>
        </w:tc>
      </w:tr>
      <w:tr>
        <w:tc>
          <w:tcPr/>
          <w:p>
            <w:pPr>
              <w:pStyle w:val="Compact"/>
              <w:jc w:val="right"/>
            </w:pPr>
            <w:r>
              <w:t xml:space="preserve">full</w:t>
            </w:r>
          </w:p>
        </w:tc>
        <w:tc>
          <w:tcPr/>
          <w:p>
            <w:pPr>
              <w:pStyle w:val="Compact"/>
              <w:jc w:val="right"/>
            </w:pPr>
            <w:r>
              <w:t xml:space="preserve">39,439</w:t>
            </w:r>
          </w:p>
        </w:tc>
        <w:tc>
          <w:tcPr/>
          <w:p>
            <w:pPr>
              <w:pStyle w:val="Compact"/>
              <w:jc w:val="right"/>
            </w:pPr>
            <w:r>
              <w:t xml:space="preserve">58,663</w:t>
            </w:r>
          </w:p>
        </w:tc>
        <w:tc>
          <w:tcPr/>
          <w:p>
            <w:pPr>
              <w:pStyle w:val="Compact"/>
              <w:jc w:val="right"/>
            </w:pPr>
            <w:r>
              <w:t xml:space="preserve">130,752</w:t>
            </w:r>
          </w:p>
        </w:tc>
        <w:tc>
          <w:tcPr/>
          <w:p>
            <w:pPr>
              <w:pStyle w:val="Compact"/>
              <w:jc w:val="right"/>
            </w:pPr>
            <w:r>
              <w:t xml:space="preserve">515,226</w:t>
            </w:r>
          </w:p>
        </w:tc>
        <w:tc>
          <w:tcPr/>
          <w:p>
            <w:pPr>
              <w:pStyle w:val="Compact"/>
              <w:jc w:val="right"/>
            </w:pPr>
            <w:r>
              <w:t xml:space="preserve">2,437,599</w:t>
            </w:r>
          </w:p>
        </w:tc>
      </w:tr>
    </w:tbl>
    <w:p>
      <w:pPr>
        <w:pStyle w:val="BodyText"/>
      </w:pPr>
      <w:r>
        <w:t xml:space="preserve">Three things are visible, and the third is the one that matters.</w:t>
      </w:r>
    </w:p>
    <w:p>
      <w:pPr>
        <w:pStyle w:val="BodyText"/>
      </w:pPr>
      <w:r>
        <w:t xml:space="preserve">First,</w:t>
      </w:r>
      <w:r>
        <w:t xml:space="preserve"> </w:t>
      </w:r>
      <w:r>
        <w:rPr>
          <w:bCs/>
          <w:b/>
        </w:rPr>
        <w:t xml:space="preserve">the optimum is strictly interior wherever it is not at the swept boundary</w:t>
      </w:r>
      <w:r>
        <w:t xml:space="preserve">: at price 0.0001 the best budget is 2,000, not 250 and not full. That is the corrected claim §9.3.4 arrived at after the first phase diagram turned out to be an artifact of charging peak residency rather than the residency integral.</w:t>
      </w:r>
    </w:p>
    <w:p>
      <w:pPr>
        <w:pStyle w:val="BodyText"/>
      </w:pPr>
      <w:r>
        <w:t xml:space="preserve">Second,</w:t>
      </w:r>
      <w:r>
        <w:t xml:space="preserve"> </w:t>
      </w:r>
      <w:r>
        <w:rPr>
          <w:bCs/>
          <w:b/>
        </w:rPr>
        <w:t xml:space="preserve">the boundary sits between 0.0005 and 0.002</w:t>
      </w:r>
      <w:r>
        <w:t xml:space="preserve">, which is the band the hand-written harness located.</w:t>
      </w:r>
    </w:p>
    <w:p>
      <w:pPr>
        <w:pStyle w:val="BodyText"/>
      </w:pPr>
      <w:r>
        <w:t xml:space="preserve">Third,</w:t>
      </w:r>
      <w:r>
        <w:t xml:space="preserve"> </w:t>
      </w:r>
      <w:r>
        <w:rPr>
          <w:bCs/>
          <w:b/>
        </w:rPr>
        <w:t xml:space="preserve">full materialization is never uniquely optimal at any price tested</w:t>
      </w:r>
      <w:r>
        <w:t xml:space="preserve">, and is indistinguishable from a budget of 8,000 — because at 8,000 the budget stops binding. That is the shape the theory predicts: above the working-set size, partiality is not a different strategy, it is the same strategy with the constraint slack.</w:t>
      </w:r>
    </w:p>
    <w:bookmarkEnd w:id="178"/>
    <w:bookmarkStart w:id="179" w:name="X98b586e799c8ce3c9613bf1402f22cdda374e59"/>
    <w:p>
      <w:pPr>
        <w:pStyle w:val="Heading3"/>
      </w:pPr>
      <w:r>
        <w:t xml:space="preserve">9.13.3 The cost of durability, measured for the first time (E13)</w:t>
      </w:r>
    </w:p>
    <w:p>
      <w:pPr>
        <w:pStyle w:val="FirstParagraph"/>
      </w:pPr>
      <w:r>
        <w:t xml:space="preserve">§9.5 marked durability</w:t>
      </w:r>
      <w:r>
        <w:t xml:space="preserve"> </w:t>
      </w:r>
      <w:r>
        <w:rPr>
          <w:iCs/>
          <w:i/>
        </w:rPr>
        <w:t xml:space="preserve">to be measured</w:t>
      </w:r>
      <w:r>
        <w:t xml:space="preserve">, because the research prototype has no</w:t>
      </w:r>
      <w:r>
        <w:t xml:space="preserve"> </w:t>
      </w:r>
      <w:r>
        <w:rPr>
          <w:rStyle w:val="VerbatimChar"/>
        </w:rPr>
        <w:t xml:space="preserve">fsync</w:t>
      </w:r>
      <w:r>
        <w:t xml:space="preserve"> </w:t>
      </w:r>
      <w:r>
        <w:t xml:space="preserve">and no thread. The write path now has both.</w:t>
      </w:r>
      <w:r>
        <w:t xml:space="preserve"> </w:t>
      </w:r>
      <w:r>
        <w:rPr>
          <w:rStyle w:val="VerbatimChar"/>
        </w:rPr>
        <w:t xml:space="preserve">SyncPolicy::Always</w:t>
      </w:r>
      <w:r>
        <w:t xml:space="preserve"> </w:t>
      </w:r>
      <w:r>
        <w:t xml:space="preserve">is the ledger-grade setting;</w:t>
      </w:r>
      <w:r>
        <w:t xml:space="preserve"> </w:t>
      </w:r>
      <w:r>
        <w:rPr>
          <w:rStyle w:val="VerbatimChar"/>
        </w:rPr>
        <w:t xml:space="preserve">Never</w:t>
      </w:r>
      <w:r>
        <w:t xml:space="preserve"> </w:t>
      </w:r>
      <w:r>
        <w:t xml:space="preserve">is not a configuration anyone should run a ledger under and exists here to make the price of the guarantee visible by removing it. 2,000 transactions per thread, 32-byte payloads. Wall-clock and therefore machine-dependent; the ratios are the transferable part.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Threads</w:t>
            </w:r>
          </w:p>
        </w:tc>
        <w:tc>
          <w:tcPr/>
          <w:p>
            <w:pPr>
              <w:pStyle w:val="Compact"/>
              <w:jc w:val="right"/>
            </w:pPr>
            <w:r>
              <w:t xml:space="preserve">Always (tx/s)</w:t>
            </w:r>
          </w:p>
        </w:tc>
        <w:tc>
          <w:tcPr/>
          <w:p>
            <w:pPr>
              <w:pStyle w:val="Compact"/>
              <w:jc w:val="right"/>
            </w:pPr>
            <w:r>
              <w:t xml:space="preserve">Never (tx/s)</w:t>
            </w:r>
          </w:p>
        </w:tc>
        <w:tc>
          <w:tcPr/>
          <w:p>
            <w:pPr>
              <w:pStyle w:val="Compact"/>
              <w:jc w:val="right"/>
            </w:pPr>
            <w:r>
              <w:t xml:space="preserve">Cost of durability</w:t>
            </w:r>
          </w:p>
        </w:tc>
        <w:tc>
          <w:tcPr/>
          <w:p>
            <w:pPr>
              <w:pStyle w:val="Compact"/>
              <w:jc w:val="right"/>
            </w:pPr>
            <w:r>
              <w:t xml:space="preserve">Txns per fsync (Always)</w:t>
            </w:r>
          </w:p>
        </w:tc>
      </w:tr>
      <w:tr>
        <w:tc>
          <w:tcPr/>
          <w:p>
            <w:pPr>
              <w:pStyle w:val="Compact"/>
              <w:jc w:val="right"/>
            </w:pPr>
            <w:r>
              <w:t xml:space="preserve">1</w:t>
            </w:r>
          </w:p>
        </w:tc>
        <w:tc>
          <w:tcPr/>
          <w:p>
            <w:pPr>
              <w:pStyle w:val="Compact"/>
              <w:jc w:val="right"/>
            </w:pPr>
            <w:r>
              <w:t xml:space="preserve">4,450</w:t>
            </w:r>
          </w:p>
        </w:tc>
        <w:tc>
          <w:tcPr/>
          <w:p>
            <w:pPr>
              <w:pStyle w:val="Compact"/>
              <w:jc w:val="right"/>
            </w:pPr>
            <w:r>
              <w:t xml:space="preserve">25,457</w:t>
            </w:r>
          </w:p>
        </w:tc>
        <w:tc>
          <w:tcPr/>
          <w:p>
            <w:pPr>
              <w:pStyle w:val="Compact"/>
              <w:jc w:val="right"/>
            </w:pPr>
            <w:r>
              <w:t xml:space="preserve">5.72×</w:t>
            </w:r>
          </w:p>
        </w:tc>
        <w:tc>
          <w:tcPr/>
          <w:p>
            <w:pPr>
              <w:pStyle w:val="Compact"/>
              <w:jc w:val="right"/>
            </w:pPr>
            <w:r>
              <w:t xml:space="preserve">1.0</w:t>
            </w:r>
          </w:p>
        </w:tc>
      </w:tr>
      <w:tr>
        <w:tc>
          <w:tcPr/>
          <w:p>
            <w:pPr>
              <w:pStyle w:val="Compact"/>
              <w:jc w:val="right"/>
            </w:pPr>
            <w:r>
              <w:t xml:space="preserve">2</w:t>
            </w:r>
          </w:p>
        </w:tc>
        <w:tc>
          <w:tcPr/>
          <w:p>
            <w:pPr>
              <w:pStyle w:val="Compact"/>
              <w:jc w:val="right"/>
            </w:pPr>
            <w:r>
              <w:t xml:space="preserve">5,197</w:t>
            </w:r>
          </w:p>
        </w:tc>
        <w:tc>
          <w:tcPr/>
          <w:p>
            <w:pPr>
              <w:pStyle w:val="Compact"/>
              <w:jc w:val="right"/>
            </w:pPr>
            <w:r>
              <w:t xml:space="preserve">47,110</w:t>
            </w:r>
          </w:p>
        </w:tc>
        <w:tc>
          <w:tcPr/>
          <w:p>
            <w:pPr>
              <w:pStyle w:val="Compact"/>
              <w:jc w:val="right"/>
            </w:pPr>
            <w:r>
              <w:t xml:space="preserve">9.06×</w:t>
            </w:r>
          </w:p>
        </w:tc>
        <w:tc>
          <w:tcPr/>
          <w:p>
            <w:pPr>
              <w:pStyle w:val="Compact"/>
              <w:jc w:val="right"/>
            </w:pPr>
            <w:r>
              <w:t xml:space="preserve">1.0</w:t>
            </w:r>
          </w:p>
        </w:tc>
      </w:tr>
      <w:tr>
        <w:tc>
          <w:tcPr/>
          <w:p>
            <w:pPr>
              <w:pStyle w:val="Compact"/>
              <w:jc w:val="right"/>
            </w:pPr>
            <w:r>
              <w:t xml:space="preserve">4</w:t>
            </w:r>
          </w:p>
        </w:tc>
        <w:tc>
          <w:tcPr/>
          <w:p>
            <w:pPr>
              <w:pStyle w:val="Compact"/>
              <w:jc w:val="right"/>
            </w:pPr>
            <w:r>
              <w:t xml:space="preserve">11,225</w:t>
            </w:r>
          </w:p>
        </w:tc>
        <w:tc>
          <w:tcPr/>
          <w:p>
            <w:pPr>
              <w:pStyle w:val="Compact"/>
              <w:jc w:val="right"/>
            </w:pPr>
            <w:r>
              <w:t xml:space="preserve">80,415</w:t>
            </w:r>
          </w:p>
        </w:tc>
        <w:tc>
          <w:tcPr/>
          <w:p>
            <w:pPr>
              <w:pStyle w:val="Compact"/>
              <w:jc w:val="right"/>
            </w:pPr>
            <w:r>
              <w:t xml:space="preserve">7.16×</w:t>
            </w:r>
          </w:p>
        </w:tc>
        <w:tc>
          <w:tcPr/>
          <w:p>
            <w:pPr>
              <w:pStyle w:val="Compact"/>
              <w:jc w:val="right"/>
            </w:pPr>
            <w:r>
              <w:t xml:space="preserve">2.4</w:t>
            </w:r>
          </w:p>
        </w:tc>
      </w:tr>
      <w:tr>
        <w:tc>
          <w:tcPr/>
          <w:p>
            <w:pPr>
              <w:pStyle w:val="Compact"/>
              <w:jc w:val="right"/>
            </w:pPr>
            <w:r>
              <w:t xml:space="preserve">8</w:t>
            </w:r>
          </w:p>
        </w:tc>
        <w:tc>
          <w:tcPr/>
          <w:p>
            <w:pPr>
              <w:pStyle w:val="Compact"/>
              <w:jc w:val="right"/>
            </w:pPr>
            <w:r>
              <w:t xml:space="preserve">20,104</w:t>
            </w:r>
          </w:p>
        </w:tc>
        <w:tc>
          <w:tcPr/>
          <w:p>
            <w:pPr>
              <w:pStyle w:val="Compact"/>
              <w:jc w:val="right"/>
            </w:pPr>
            <w:r>
              <w:t xml:space="preserve">96,913</w:t>
            </w:r>
          </w:p>
        </w:tc>
        <w:tc>
          <w:tcPr/>
          <w:p>
            <w:pPr>
              <w:pStyle w:val="Compact"/>
              <w:jc w:val="right"/>
            </w:pPr>
            <w:r>
              <w:t xml:space="preserve">4.82×</w:t>
            </w:r>
          </w:p>
        </w:tc>
        <w:tc>
          <w:tcPr/>
          <w:p>
            <w:pPr>
              <w:pStyle w:val="Compact"/>
              <w:jc w:val="right"/>
            </w:pPr>
            <w:r>
              <w:t xml:space="preserve">4.6</w:t>
            </w:r>
          </w:p>
        </w:tc>
      </w:tr>
      <w:tr>
        <w:tc>
          <w:tcPr/>
          <w:p>
            <w:pPr>
              <w:pStyle w:val="Compact"/>
              <w:jc w:val="right"/>
            </w:pPr>
            <w:r>
              <w:t xml:space="preserve">16</w:t>
            </w:r>
          </w:p>
        </w:tc>
        <w:tc>
          <w:tcPr/>
          <w:p>
            <w:pPr>
              <w:pStyle w:val="Compact"/>
              <w:jc w:val="right"/>
            </w:pPr>
            <w:r>
              <w:t xml:space="preserve">30,440</w:t>
            </w:r>
          </w:p>
        </w:tc>
        <w:tc>
          <w:tcPr/>
          <w:p>
            <w:pPr>
              <w:pStyle w:val="Compact"/>
              <w:jc w:val="right"/>
            </w:pPr>
            <w:r>
              <w:t xml:space="preserve">144,558</w:t>
            </w:r>
          </w:p>
        </w:tc>
        <w:tc>
          <w:tcPr/>
          <w:p>
            <w:pPr>
              <w:pStyle w:val="Compact"/>
              <w:jc w:val="right"/>
            </w:pPr>
            <w:r>
              <w:t xml:space="preserve">4.75×</w:t>
            </w:r>
          </w:p>
        </w:tc>
        <w:tc>
          <w:tcPr/>
          <w:p>
            <w:pPr>
              <w:pStyle w:val="Compact"/>
              <w:jc w:val="right"/>
            </w:pPr>
            <w:r>
              <w:t xml:space="preserve">8.8</w:t>
            </w:r>
          </w:p>
        </w:tc>
      </w:tr>
    </w:tbl>
    <w:p>
      <w:pPr>
        <w:pStyle w:val="BodyText"/>
      </w:pPr>
      <w:r>
        <w:rPr>
          <w:bCs/>
          <w:b/>
        </w:rPr>
        <w:t xml:space="preserve">The cost of durability falls as concurrency rises.</w:t>
      </w:r>
      <w:r>
        <w:t xml:space="preserve"> </w:t>
      </w:r>
      <w:r>
        <w:t xml:space="preserve">That is the result. A single-sealer design looks like a bottleneck and is routinely rejected as one, but an</w:t>
      </w:r>
      <w:r>
        <w:t xml:space="preserve"> </w:t>
      </w:r>
      <w:r>
        <w:rPr>
          <w:rStyle w:val="VerbatimChar"/>
        </w:rPr>
        <w:t xml:space="preserve">fsync</w:t>
      </w:r>
      <w:r>
        <w:t xml:space="preserve"> </w:t>
      </w:r>
      <w:r>
        <w:t xml:space="preserve">costs the same whether it commits one transaction or five hundred, so the sealer drains what is waiting, seals it as one epoch, and syncs once. Transactions per fsync rises 1.0 → 8.8 across 1–16 threads, and the durability penalty falls from 5.7× to 4.8×. Throughput under</w:t>
      </w:r>
      <w:r>
        <w:t xml:space="preserve"> </w:t>
      </w:r>
      <w:r>
        <w:rPr>
          <w:bCs/>
          <w:b/>
        </w:rPr>
        <w:t xml:space="preserve">full durability</w:t>
      </w:r>
      <w:r>
        <w:t xml:space="preserve"> </w:t>
      </w:r>
      <w:r>
        <w:t xml:space="preserve">scales 4,450 → 30,440 tx/s, a 6.8× improvement from a 16× increase in concurrency.</w:t>
      </w:r>
    </w:p>
    <w:p>
      <w:pPr>
        <w:pStyle w:val="BodyText"/>
      </w:pPr>
      <w:r>
        <w:t xml:space="preserve">The honest reading is narrow. This says a single sealer with group commit is a batching opportunity rather than a hard ceiling</w:t>
      </w:r>
      <w:r>
        <w:t xml:space="preserve"> </w:t>
      </w:r>
      <w:r>
        <w:rPr>
          <w:iCs/>
          <w:i/>
        </w:rPr>
        <w:t xml:space="preserve">at this scale, on this machine, with this payload</w:t>
      </w:r>
      <w:r>
        <w:t xml:space="preserve">. It says nothing about a distributed commit, nothing about contention on a hot account (the sealer serialises everything, so there is no contention to observe), and nothing about how either figure compares to a production database. Those cells remain</w:t>
      </w:r>
      <w:r>
        <w:t xml:space="preserve"> </w:t>
      </w:r>
      <w:r>
        <w:rPr>
          <w:iCs/>
          <w:i/>
        </w:rPr>
        <w:t xml:space="preserve">to be measured</w:t>
      </w:r>
      <w:r>
        <w:t xml:space="preserve">.</w:t>
      </w:r>
    </w:p>
    <w:bookmarkEnd w:id="179"/>
    <w:bookmarkStart w:id="180" w:name="X03c8fd720b702c6b4a4c037c297fbff19f91d6b"/>
    <w:p>
      <w:pPr>
        <w:pStyle w:val="Heading3"/>
      </w:pPr>
      <w:r>
        <w:t xml:space="preserve">9.13.4 What building the compiler found in the thesis</w:t>
      </w:r>
    </w:p>
    <w:p>
      <w:pPr>
        <w:pStyle w:val="FirstParagraph"/>
      </w:pPr>
      <w:r>
        <w:t xml:space="preserve">Running the checker over this thesis’s own worked program — the one printed in Appendix B.20 — produced four errors. Each is reported here because each is a case of the instrument catching something the argument had missed, which is the only reason to build an instrument.</w:t>
      </w:r>
    </w:p>
    <w:p>
      <w:pPr>
        <w:pStyle w:val="BodyText"/>
      </w:pPr>
      <w:r>
        <w:rPr>
          <w:bCs/>
          <w:b/>
        </w:rPr>
        <w:t xml:space="preserve">One.</w:t>
      </w:r>
      <w:r>
        <w:t xml:space="preserve"> </w:t>
      </w:r>
      <w:r>
        <w:rPr>
          <w:rStyle w:val="VerbatimChar"/>
        </w:rPr>
        <w:t xml:space="preserve">holds</w:t>
      </w:r>
      <w:r>
        <w:t xml:space="preserve"> </w:t>
      </w:r>
      <w:r>
        <w:t xml:space="preserve">was declared a</w:t>
      </w:r>
      <w:r>
        <w:t xml:space="preserve"> </w:t>
      </w:r>
      <w:r>
        <w:rPr>
          <w:rStyle w:val="VerbatimChar"/>
        </w:rPr>
        <w:t xml:space="preserve">ledger</w:t>
      </w:r>
      <w:r>
        <w:t xml:space="preserve">. A ledger must carry a conservation rule, and a hold does not conserve: it is a one-sided encumbrance, not a double-entry movement. Declaring it a ledger promised a double-entry invariant that no hold satisfies. It is a</w:t>
      </w:r>
      <w:r>
        <w:t xml:space="preserve"> </w:t>
      </w:r>
      <w:r>
        <w:rPr>
          <w:rStyle w:val="VerbatimChar"/>
        </w:rPr>
        <w:t xml:space="preserve">base</w:t>
      </w:r>
      <w:r>
        <w:t xml:space="preserve"> </w:t>
      </w:r>
      <w:r>
        <w:t xml:space="preserve">— immutable and fully retained, but not conserved. The distinction had been made correctly in Chapter 3 and lost in the example.</w:t>
      </w:r>
    </w:p>
    <w:p>
      <w:pPr>
        <w:pStyle w:val="BodyText"/>
      </w:pPr>
      <w:r>
        <w:rPr>
          <w:bCs/>
          <w:b/>
        </w:rPr>
        <w:t xml:space="preserve">Two, and this is the important one.</w:t>
      </w:r>
      <w:r>
        <w:t xml:space="preserve"> </w:t>
      </w:r>
      <w:r>
        <w:rPr>
          <w:rStyle w:val="VerbatimChar"/>
        </w:rPr>
        <w:t xml:space="preserve">available_balance</w:t>
      </w:r>
      <w:r>
        <w:t xml:space="preserve"> </w:t>
      </w:r>
      <w:r>
        <w:t xml:space="preserve">was defined over</w:t>
      </w:r>
      <w:r>
        <w:t xml:space="preserve"> </w:t>
      </w:r>
      <w:r>
        <w:rPr>
          <w:rStyle w:val="VerbatimChar"/>
        </w:rPr>
        <w:t xml:space="preserve">ledger_balance</w:t>
      </w:r>
      <w:r>
        <w:t xml:space="preserve"> </w:t>
      </w:r>
      <w:r>
        <w:t xml:space="preserve">and served at</w:t>
      </w:r>
      <w:r>
        <w:t xml:space="preserve"> </w:t>
      </w:r>
      <w:r>
        <w:rPr>
          <w:rStyle w:val="VerbatimChar"/>
        </w:rPr>
        <w:t xml:space="preserve">ledger_consistent</w:t>
      </w:r>
      <w:r>
        <w:t xml:space="preserve">, while</w:t>
      </w:r>
      <w:r>
        <w:t xml:space="preserve"> </w:t>
      </w:r>
      <w:r>
        <w:rPr>
          <w:rStyle w:val="VerbatimChar"/>
        </w:rPr>
        <w:t xml:space="preserve">ledger_balance</w:t>
      </w:r>
      <w:r>
        <w:t xml:space="preserve"> </w:t>
      </w:r>
      <w:r>
        <w:t xml:space="preserve">is served at</w:t>
      </w:r>
      <w:r>
        <w:t xml:space="preserve"> </w:t>
      </w:r>
      <w:r>
        <w:rPr>
          <w:rStyle w:val="VerbatimChar"/>
        </w:rPr>
        <w:t xml:space="preserve">read_your_writes</w:t>
      </w:r>
      <w:r>
        <w:t xml:space="preserve">. The effect calculus rejected it under rung monotonicity. The reasoning is the one §4.6 gives: an availability decision built on a read-your-writes balance is at most read-your-writes fresh however strict the downstream contract claims to be, because the staleness entered one hop upstream and no annotation downstream removes it.</w:t>
      </w:r>
      <w:r>
        <w:t xml:space="preserve"> </w:t>
      </w:r>
      <w:r>
        <w:rPr>
          <w:bCs/>
          <w:b/>
        </w:rPr>
        <w:t xml:space="preserve">This is precisely the failure supervisory guidance describes</w:t>
      </w:r>
      <w:r>
        <w:t xml:space="preserve"> </w:t>
      </w:r>
      <w:r>
        <w:t xml:space="preserve">— two derived views of one ledger disagreeing at the moment a decision is made — and it was present in this thesis’s own worked example, written by the author of the calculus, until the calculus was run over it. It is the single strongest piece of evidence in this thesis that the check is worth having.</w:t>
      </w:r>
    </w:p>
    <w:p>
      <w:pPr>
        <w:pStyle w:val="BodyText"/>
      </w:pPr>
      <w:r>
        <w:rPr>
          <w:bCs/>
          <w:b/>
        </w:rPr>
        <w:t xml:space="preserve">Three.</w:t>
      </w:r>
      <w:r>
        <w:t xml:space="preserve"> </w:t>
      </w:r>
      <w:r>
        <w:rPr>
          <w:rStyle w:val="VerbatimChar"/>
        </w:rPr>
        <w:t xml:space="preserve">settle_fx</w:t>
      </w:r>
      <w:r>
        <w:t xml:space="preserve"> </w:t>
      </w:r>
      <w:r>
        <w:t xml:space="preserve">declared</w:t>
      </w:r>
      <w:r>
        <w:t xml:space="preserve"> </w:t>
      </w:r>
      <w:r>
        <w:rPr>
          <w:rStyle w:val="VerbatimChar"/>
        </w:rPr>
        <w:t xml:space="preserve">! { append, debit&lt;usd&gt;, credit&lt;eur&gt; }</w:t>
      </w:r>
      <w:r>
        <w:t xml:space="preserve">, as though a conversion debited one currency and credited the other. It cannot: that conserves neither currency. An</w:t>
      </w:r>
      <w:r>
        <w:t xml:space="preserve"> </w:t>
      </w:r>
      <w:r>
        <w:rPr>
          <w:rStyle w:val="VerbatimChar"/>
        </w:rPr>
        <w:t xml:space="preserve">fx</w:t>
      </w:r>
      <w:r>
        <w:t xml:space="preserve"> </w:t>
      </w:r>
      <w:r>
        <w:t xml:space="preserve">form is two conserved legs and therefore debits</w:t>
      </w:r>
      <w:r>
        <w:t xml:space="preserve"> </w:t>
      </w:r>
      <w:r>
        <w:rPr>
          <w:iCs/>
          <w:i/>
        </w:rPr>
        <w:t xml:space="preserve">and</w:t>
      </w:r>
      <w:r>
        <w:t xml:space="preserve"> </w:t>
      </w:r>
      <w:r>
        <w:t xml:space="preserve">credits in both. The declaration described a transaction that could not exist.</w:t>
      </w:r>
    </w:p>
    <w:p>
      <w:pPr>
        <w:pStyle w:val="BodyText"/>
      </w:pPr>
      <w:r>
        <w:rPr>
          <w:bCs/>
          <w:b/>
        </w:rPr>
        <w:t xml:space="preserve">Four.</w:t>
      </w:r>
      <w:r>
        <w:t xml:space="preserve"> </w:t>
      </w:r>
      <w:r>
        <w:t xml:space="preserve">The IR verifier rejected</w:t>
      </w:r>
      <w:r>
        <w:t xml:space="preserve"> </w:t>
      </w:r>
      <w:r>
        <w:rPr>
          <w:rStyle w:val="VerbatimChar"/>
        </w:rPr>
        <w:t xml:space="preserve">statement_mtd</w:t>
      </w:r>
      <w:r>
        <w:t xml:space="preserve">, whose predicate was</w:t>
      </w:r>
      <w:r>
        <w:t xml:space="preserve"> </w:t>
      </w:r>
      <w:r>
        <w:rPr>
          <w:rStyle w:val="VerbatimChar"/>
        </w:rPr>
        <w:t xml:space="preserve">p.value_date &gt;= month_start()</w:t>
      </w:r>
      <w:r>
        <w:t xml:space="preserve">.</w:t>
      </w:r>
      <w:r>
        <w:t xml:space="preserve"> </w:t>
      </w:r>
      <w:r>
        <w:rPr>
          <w:rStyle w:val="VerbatimChar"/>
        </w:rPr>
        <w:t xml:space="preserve">month_start()</w:t>
      </w:r>
      <w:r>
        <w:t xml:space="preserve"> </w:t>
      </w:r>
      <w:r>
        <w:t xml:space="preserve">reads the wall clock, so it is not reproducible, so a reconstruction of an evicted entry could disagree with the value it replaced. This is not a lint. It would make the reconstruction-equivalence theorem</w:t>
      </w:r>
      <w:r>
        <w:t xml:space="preserve"> </w:t>
      </w:r>
      <w:r>
        <w:rPr>
          <w:bCs/>
          <w:b/>
        </w:rPr>
        <w:t xml:space="preserve">false</w:t>
      </w:r>
      <w:r>
        <w:t xml:space="preserve"> </w:t>
      </w:r>
      <w:r>
        <w:t xml:space="preserve">for that view rather than merely unproven: a balance recomputed after an eviction could legitimately differ from the one evicted, and no audit could distinguish that from a defect. A view boundary must be a value, not a moment.</w:t>
      </w:r>
    </w:p>
    <w:p>
      <w:pPr>
        <w:pStyle w:val="BodyText"/>
      </w:pPr>
      <w:r>
        <w:t xml:space="preserve">Three further defects were found in the engine by its own tests, and are recorded because each would have been a money bug in production rather than a crash.</w:t>
      </w:r>
    </w:p>
    <w:p>
      <w:pPr>
        <w:numPr>
          <w:ilvl w:val="0"/>
          <w:numId w:val="1020"/>
        </w:numPr>
        <w:pStyle w:val="Compact"/>
      </w:pPr>
      <w:r>
        <w:rPr>
          <w:bCs/>
          <w:b/>
        </w:rPr>
        <w:t xml:space="preserve">Two copies of one idempotency key arriving in the same commit batch both committed.</w:t>
      </w:r>
      <w:r>
        <w:t xml:space="preserve"> </w:t>
      </w:r>
      <w:r>
        <w:t xml:space="preserve">The check consulted committed history but not the batch being assembled, and a client retrying quickly — or a client and a proxy retrying together — lands both copies in one drain. The failure mode is not an error; it is a duplicated payment. Caught by a test that submits the same key from two threads.</w:t>
      </w:r>
    </w:p>
    <w:p>
      <w:pPr>
        <w:numPr>
          <w:ilvl w:val="0"/>
          <w:numId w:val="1020"/>
        </w:numPr>
        <w:pStyle w:val="Compact"/>
      </w:pPr>
      <w:r>
        <w:rPr>
          <w:bCs/>
          <w:b/>
        </w:rPr>
        <w:t xml:space="preserve">A duplicate was accounted for after its reply was sent</w:t>
      </w:r>
      <w:r>
        <w:t xml:space="preserve">, so a caller could observe an outcome before the state that produced it was visible. The same ordering rule as durable-before-visible, one level up. It made the idempotency test fail about one run in three, which is exactly the frequency at which a race gets dismissed as flakiness.</w:t>
      </w:r>
    </w:p>
    <w:p>
      <w:pPr>
        <w:numPr>
          <w:ilvl w:val="0"/>
          <w:numId w:val="1020"/>
        </w:numPr>
        <w:pStyle w:val="Compact"/>
      </w:pPr>
      <w:r>
        <w:rPr>
          <w:rStyle w:val="VerbatimChar"/>
          <w:bCs/>
          <w:b/>
        </w:rPr>
        <w:t xml:space="preserve">SyncPolicy::Always</w:t>
      </w:r>
      <w:r>
        <w:rPr>
          <w:bCs/>
          <w:b/>
        </w:rPr>
        <w:t xml:space="preserve"> </w:t>
      </w:r>
      <w:r>
        <w:rPr>
          <w:bCs/>
          <w:b/>
        </w:rPr>
        <w:t xml:space="preserve">synced twice per epoch</w:t>
      </w:r>
      <w:r>
        <w:t xml:space="preserve"> </w:t>
      </w:r>
      <w:r>
        <w:t xml:space="preserve">— once in</w:t>
      </w:r>
      <w:r>
        <w:t xml:space="preserve"> </w:t>
      </w:r>
      <w:r>
        <w:rPr>
          <w:rStyle w:val="VerbatimChar"/>
        </w:rPr>
        <w:t xml:space="preserve">append</w:t>
      </w:r>
      <w:r>
        <w:t xml:space="preserve">, once in the sealer. The benchmark surfaced it as 0.5 transactions per fsync, a figure with no sensible interpretation, which was the clue. Removing the second sync raised single-threaded throughput from 3,003 to 4,450 tx/s.</w:t>
      </w:r>
    </w:p>
    <w:bookmarkEnd w:id="180"/>
    <w:bookmarkStart w:id="181" w:name="what-writing-niles-found-in-niles"/>
    <w:p>
      <w:pPr>
        <w:pStyle w:val="Heading3"/>
      </w:pPr>
      <w:r>
        <w:t xml:space="preserve">9.13.5 What Writing Niles Found in Niles</w:t>
      </w:r>
    </w:p>
    <w:p>
      <w:pPr>
        <w:pStyle w:val="FirstParagraph"/>
      </w:pPr>
      <w:r>
        <w:t xml:space="preserve">Building a compiler tests a language;</w:t>
      </w:r>
      <w:r>
        <w:t xml:space="preserve"> </w:t>
      </w:r>
      <w:r>
        <w:rPr>
          <w:iCs/>
          <w:i/>
        </w:rPr>
        <w:t xml:space="preserve">writing programs in it</w:t>
      </w:r>
      <w:r>
        <w:t xml:space="preserve"> </w:t>
      </w:r>
      <w:r>
        <w:t xml:space="preserve">tests the language differently, and finds different things. Two files were written in Niles after the compiler existed — the banking domain layer (</w:t>
      </w:r>
      <w:r>
        <w:rPr>
          <w:rStyle w:val="VerbatimChar"/>
        </w:rPr>
        <w:t xml:space="preserve">niles/std/bank.niles</w:t>
      </w:r>
      <w:r>
        <w:t xml:space="preserve">) and Nilestream’s own telemetry views (</w:t>
      </w:r>
      <w:r>
        <w:rPr>
          <w:rStyle w:val="VerbatimChar"/>
        </w:rPr>
        <w:t xml:space="preserve">niles/nilestream/observability.niles</w:t>
      </w:r>
      <w:r>
        <w:t xml:space="preserve">) — and a third,</w:t>
      </w:r>
      <w:r>
        <w:t xml:space="preserve"> </w:t>
      </w:r>
      <w:r>
        <w:rPr>
          <w:rStyle w:val="VerbatimChar"/>
        </w:rPr>
        <w:t xml:space="preserve">examples/available_balance.niles</w:t>
      </w:r>
      <w:r>
        <w:t xml:space="preserve">, was written</w:t>
      </w:r>
      <w:r>
        <w:t xml:space="preserve"> </w:t>
      </w:r>
      <w:r>
        <w:rPr>
          <w:iCs/>
          <w:i/>
        </w:rPr>
        <w:t xml:space="preserve">before</w:t>
      </w:r>
      <w:r>
        <w:t xml:space="preserve"> </w:t>
      </w:r>
      <w:r>
        <w:t xml:space="preserve">it. All three are now kept compiling by a test.</w:t>
      </w:r>
    </w:p>
    <w:p>
      <w:pPr>
        <w:pStyle w:val="BodyText"/>
      </w:pPr>
      <w:r>
        <w:rPr>
          <w:bCs/>
          <w:b/>
        </w:rPr>
        <w:t xml:space="preserve">The reserved set was wrong, and only real code showed it.</w:t>
      </w:r>
      <w:r>
        <w:t xml:space="preserve"> </w:t>
      </w:r>
      <w:r>
        <w:t xml:space="preserve">The banking layer’s first function is</w:t>
      </w:r>
      <w:r>
        <w:t xml:space="preserve"> </w:t>
      </w:r>
      <w:r>
        <w:rPr>
          <w:rStyle w:val="VerbatimChar"/>
        </w:rPr>
        <w:t xml:space="preserve">fn transfer(from: Id&lt;Account&gt;, to: Id&lt;Account&gt;, ..)</w:t>
      </w:r>
      <w:r>
        <w:t xml:space="preserve">, and it did not compile:</w:t>
      </w:r>
      <w:r>
        <w:t xml:space="preserve"> </w:t>
      </w:r>
      <w:r>
        <w:rPr>
          <w:rStyle w:val="VerbatimChar"/>
        </w:rPr>
        <w:t xml:space="preserve">from</w:t>
      </w:r>
      <w:r>
        <w:t xml:space="preserve"> </w:t>
      </w:r>
      <w:r>
        <w:t xml:space="preserve">was reserved. That is the most natural name for the source account in a transfer, and a language that forbids it is a language a bank rewrites its code for. The registry’s own stated policy —</w:t>
      </w:r>
      <w:r>
        <w:t xml:space="preserve"> </w:t>
      </w:r>
      <w:r>
        <w:rPr>
          <w:iCs/>
          <w:i/>
        </w:rPr>
        <w:t xml:space="preserve">a keyword is unreserved unless a written justification records why the grammar cannot be written without reserving it</w:t>
      </w:r>
      <w:r>
        <w:t xml:space="preserve"> </w:t>
      </w:r>
      <w:r>
        <w:t xml:space="preserve">— had been applied conscientiously to the novel vocabulary and not at all to the inherited SQL vocabulary, where it was simply assumed that SQL’s reservations were necessary.</w:t>
      </w:r>
    </w:p>
    <w:p>
      <w:pPr>
        <w:pStyle w:val="BodyText"/>
      </w:pPr>
      <w:r>
        <w:t xml:space="preserve">They are not, and the reason is §B.19’s:</w:t>
      </w:r>
      <w:r>
        <w:t xml:space="preserve"> </w:t>
      </w:r>
      <w:r>
        <w:rPr>
          <w:bCs/>
          <w:b/>
        </w:rPr>
        <w:t xml:space="preserve">reserved-word count is a function of parser technology.</w:t>
      </w:r>
      <w:r>
        <w:t xml:space="preserve"> </w:t>
      </w:r>
      <w:r>
        <w:t xml:space="preserve">SQL reserves</w:t>
      </w:r>
      <w:r>
        <w:t xml:space="preserve"> </w:t>
      </w:r>
      <w:r>
        <w:rPr>
          <w:rStyle w:val="VerbatimChar"/>
        </w:rPr>
        <w:t xml:space="preserve">from</w:t>
      </w:r>
      <w:r>
        <w:t xml:space="preserve"> </w:t>
      </w:r>
      <w:r>
        <w:t xml:space="preserve">because an LALR(1) grammar cannot otherwise resolve the projection/clause boundary. A hand-written parser with unbounded lookahead resolves it by position. Seven words —</w:t>
      </w:r>
      <w:r>
        <w:t xml:space="preserve"> </w:t>
      </w:r>
      <w:r>
        <w:rPr>
          <w:rStyle w:val="VerbatimChar"/>
        </w:rPr>
        <w:t xml:space="preserve">from</w:t>
      </w:r>
      <w:r>
        <w:t xml:space="preserve">,</w:t>
      </w:r>
      <w:r>
        <w:t xml:space="preserve"> </w:t>
      </w:r>
      <w:r>
        <w:rPr>
          <w:rStyle w:val="VerbatimChar"/>
        </w:rPr>
        <w:t xml:space="preserve">group</w:t>
      </w:r>
      <w:r>
        <w:t xml:space="preserve">,</w:t>
      </w:r>
      <w:r>
        <w:t xml:space="preserve"> </w:t>
      </w:r>
      <w:r>
        <w:rPr>
          <w:rStyle w:val="VerbatimChar"/>
        </w:rPr>
        <w:t xml:space="preserve">order</w:t>
      </w:r>
      <w:r>
        <w:t xml:space="preserve">,</w:t>
      </w:r>
      <w:r>
        <w:t xml:space="preserve"> </w:t>
      </w:r>
      <w:r>
        <w:rPr>
          <w:rStyle w:val="VerbatimChar"/>
        </w:rPr>
        <w:t xml:space="preserve">limit</w:t>
      </w:r>
      <w:r>
        <w:t xml:space="preserve">,</w:t>
      </w:r>
      <w:r>
        <w:t xml:space="preserve"> </w:t>
      </w:r>
      <w:r>
        <w:rPr>
          <w:rStyle w:val="VerbatimChar"/>
        </w:rPr>
        <w:t xml:space="preserve">offset</w:t>
      </w:r>
      <w:r>
        <w:t xml:space="preserve">,</w:t>
      </w:r>
      <w:r>
        <w:t xml:space="preserve"> </w:t>
      </w:r>
      <w:r>
        <w:rPr>
          <w:rStyle w:val="VerbatimChar"/>
        </w:rPr>
        <w:t xml:space="preserve">values</w:t>
      </w:r>
      <w:r>
        <w:t xml:space="preserve">,</w:t>
      </w:r>
      <w:r>
        <w:t xml:space="preserve"> </w:t>
      </w:r>
      <w:r>
        <w:rPr>
          <w:rStyle w:val="VerbatimChar"/>
        </w:rPr>
        <w:t xml:space="preserve">end</w:t>
      </w:r>
      <w:r>
        <w:t xml:space="preserve"> </w:t>
      </w:r>
      <w:r>
        <w:t xml:space="preserve">— were demoted from</w:t>
      </w:r>
      <w:r>
        <w:t xml:space="preserve"> </w:t>
      </w:r>
      <w:r>
        <w:rPr>
          <w:iCs/>
          <w:i/>
        </w:rPr>
        <w:t xml:space="preserve">reserved</w:t>
      </w:r>
      <w:r>
        <w:t xml:space="preserve"> </w:t>
      </w:r>
      <w:r>
        <w:t xml:space="preserve">to</w:t>
      </w:r>
      <w:r>
        <w:t xml:space="preserve"> </w:t>
      </w:r>
      <w:r>
        <w:rPr>
          <w:iCs/>
          <w:i/>
        </w:rPr>
        <w:t xml:space="preserve">non-reserved</w:t>
      </w:r>
      <w:r>
        <w:t xml:space="preserve">, and</w:t>
      </w:r>
      <w:r>
        <w:t xml:space="preserve"> </w:t>
      </w:r>
      <w:r>
        <w:rPr>
          <w:bCs/>
          <w:b/>
        </w:rPr>
        <w:t xml:space="preserve">not a single test broke</w:t>
      </w:r>
      <w:r>
        <w:t xml:space="preserve">, because SQL clause parsing never went through the identifier path in the first place. The reserved set fell from 66 words to 59.</w:t>
      </w:r>
    </w:p>
    <w:p>
      <w:pPr>
        <w:pStyle w:val="BodyText"/>
      </w:pPr>
      <w:r>
        <w:t xml:space="preserve">A second correction of the same kind:</w:t>
      </w:r>
      <w:r>
        <w:t xml:space="preserve"> </w:t>
      </w:r>
      <w:r>
        <w:rPr>
          <w:rStyle w:val="VerbatimChar"/>
        </w:rPr>
        <w:t xml:space="preserve">lineage: full</w:t>
      </w:r>
      <w:r>
        <w:t xml:space="preserve"> </w:t>
      </w:r>
      <w:r>
        <w:t xml:space="preserve">did not parse, because</w:t>
      </w:r>
      <w:r>
        <w:t xml:space="preserve"> </w:t>
      </w:r>
      <w:r>
        <w:rPr>
          <w:rStyle w:val="VerbatimChar"/>
        </w:rPr>
        <w:t xml:space="preserve">full</w:t>
      </w:r>
      <w:r>
        <w:t xml:space="preserve"> </w:t>
      </w:r>
      <w:r>
        <w:t xml:space="preserve">is reserved for</w:t>
      </w:r>
      <w:r>
        <w:t xml:space="preserve"> </w:t>
      </w:r>
      <w:r>
        <w:rPr>
          <w:rStyle w:val="VerbatimChar"/>
        </w:rPr>
        <w:t xml:space="preserve">full outer join</w:t>
      </w:r>
      <w:r>
        <w:t xml:space="preserve">. Contract keys and values now accept any keyword, since a</w:t>
      </w:r>
      <w:r>
        <w:t xml:space="preserve"> </w:t>
      </w:r>
      <w:r>
        <w:rPr>
          <w:rStyle w:val="VerbatimChar"/>
        </w:rPr>
        <w:t xml:space="preserve">serve { .. }</w:t>
      </w:r>
      <w:r>
        <w:t xml:space="preserve"> </w:t>
      </w:r>
      <w:r>
        <w:t xml:space="preserve">block has exactly one reading and reserving a word there buys nothing.</w:t>
      </w:r>
    </w:p>
    <w:p>
      <w:pPr>
        <w:pStyle w:val="BodyText"/>
      </w:pPr>
      <w:r>
        <w:t xml:space="preserve">Neither correction was discoverable from the grammar or the test suite. Both required someone to write a program they actually wanted to write.</w:t>
      </w:r>
    </w:p>
    <w:p>
      <w:pPr>
        <w:pStyle w:val="BodyText"/>
      </w:pPr>
      <w:r>
        <w:rPr>
          <w:bCs/>
          <w:b/>
        </w:rPr>
        <w:t xml:space="preserve">A pre-compiler example used seven constructs that do not exist.</w:t>
      </w:r>
      <w:r>
        <w:t xml:space="preserve"> </w:t>
      </w:r>
      <w:r>
        <w:rPr>
          <w:rStyle w:val="VerbatimChar"/>
        </w:rPr>
        <w:t xml:space="preserve">examples/available_balance.niles</w:t>
      </w:r>
      <w:r>
        <w:t xml:space="preserve"> </w:t>
      </w:r>
      <w:r>
        <w:t xml:space="preserve">was written as an illustration before the compiler did. Run through it, the file used a</w:t>
      </w:r>
      <w:r>
        <w:t xml:space="preserve"> </w:t>
      </w:r>
      <w:r>
        <w:rPr>
          <w:rStyle w:val="VerbatimChar"/>
        </w:rPr>
        <w:t xml:space="preserve">.minus()</w:t>
      </w:r>
      <w:r>
        <w:t xml:space="preserve"> </w:t>
      </w:r>
      <w:r>
        <w:t xml:space="preserve">stage,</w:t>
      </w:r>
      <w:r>
        <w:t xml:space="preserve"> </w:t>
      </w:r>
      <w:r>
        <w:rPr>
          <w:rStyle w:val="VerbatimChar"/>
        </w:rPr>
        <w:t xml:space="preserve">.value_date_between(..)</w:t>
      </w:r>
      <w:r>
        <w:t xml:space="preserve">,</w:t>
      </w:r>
      <w:r>
        <w:t xml:space="preserve"> </w:t>
      </w:r>
      <w:r>
        <w:rPr>
          <w:rStyle w:val="VerbatimChar"/>
        </w:rPr>
        <w:t xml:space="preserve">.window(sliding(..))</w:t>
      </w:r>
      <w:r>
        <w:t xml:space="preserve">,</w:t>
      </w:r>
      <w:r>
        <w:t xml:space="preserve"> </w:t>
      </w:r>
      <w:r>
        <w:rPr>
          <w:rStyle w:val="VerbatimChar"/>
        </w:rPr>
        <w:t xml:space="preserve">lineage</w:t>
      </w:r>
      <w:r>
        <w:t xml:space="preserve"> </w:t>
      </w:r>
      <w:r>
        <w:t xml:space="preserve">as a relation-level rule, an</w:t>
      </w:r>
      <w:r>
        <w:t xml:space="preserve"> </w:t>
      </w:r>
      <w:r>
        <w:rPr>
          <w:rStyle w:val="VerbatimChar"/>
        </w:rPr>
        <w:t xml:space="preserve">idem"..."</w:t>
      </w:r>
      <w:r>
        <w:t xml:space="preserve"> </w:t>
      </w:r>
      <w:r>
        <w:t xml:space="preserve">adjacent-string literal, a</w:t>
      </w:r>
      <w:r>
        <w:t xml:space="preserve"> </w:t>
      </w:r>
      <w:r>
        <w:rPr>
          <w:rStyle w:val="VerbatimChar"/>
        </w:rPr>
        <w:t xml:space="preserve">?placeholder</w:t>
      </w:r>
      <w:r>
        <w:t xml:space="preserve">, and</w:t>
      </w:r>
      <w:r>
        <w:t xml:space="preserve"> </w:t>
      </w:r>
      <w:r>
        <w:rPr>
          <w:rStyle w:val="VerbatimChar"/>
        </w:rPr>
        <w:t xml:space="preserve">Enum&lt;Product&gt;</w:t>
      </w:r>
      <w:r>
        <w:t xml:space="preserve">. None was a typo. Each was a plausible-looking form that read correctly, would have passed a reviewer, and denoted nothing.</w:t>
      </w:r>
    </w:p>
    <w:p>
      <w:pPr>
        <w:pStyle w:val="BodyText"/>
      </w:pPr>
      <w:r>
        <w:t xml:space="preserve">That is the ordinary fate of a language specified only in prose, and it is a specific argument against the way language proposals are usually evaluated: the example in the paper is not evidence that the language can express the example. It also, independently, contained the same rung-monotonicity violation as Appendix B.20 —</w:t>
      </w:r>
      <w:r>
        <w:t xml:space="preserve"> </w:t>
      </w:r>
      <w:r>
        <w:rPr>
          <w:rStyle w:val="VerbatimChar"/>
        </w:rPr>
        <w:t xml:space="preserve">available_balance</w:t>
      </w:r>
      <w:r>
        <w:t xml:space="preserve"> </w:t>
      </w:r>
      <w:r>
        <w:t xml:space="preserve">derived from</w:t>
      </w:r>
      <w:r>
        <w:t xml:space="preserve"> </w:t>
      </w:r>
      <w:r>
        <w:rPr>
          <w:rStyle w:val="VerbatimChar"/>
        </w:rPr>
        <w:t xml:space="preserve">ledger_balance</w:t>
      </w:r>
      <w:r>
        <w:t xml:space="preserve"> </w:t>
      </w:r>
      <w:r>
        <w:t xml:space="preserve">— which means the author made that error twice, in two files, having formulated the rule that forbids it.</w:t>
      </w:r>
    </w:p>
    <w:p>
      <w:pPr>
        <w:pStyle w:val="BodyText"/>
      </w:pPr>
      <w:r>
        <w:rPr>
          <w:bCs/>
          <w:b/>
        </w:rPr>
        <w:t xml:space="preserve">Where the checks were silent.</w:t>
      </w:r>
      <w:r>
        <w:t xml:space="preserve"> </w:t>
      </w:r>
      <w:r>
        <w:t xml:space="preserve">Worth recording symmetrically. The confidentiality check (W17) fired only once across all three files, and only because a test provoked it; the linearity checker fired on holds but never on posting halves, because</w:t>
      </w:r>
      <w:r>
        <w:t xml:space="preserve"> </w:t>
      </w:r>
      <w:r>
        <w:rPr>
          <w:rStyle w:val="VerbatimChar"/>
        </w:rPr>
        <w:t xml:space="preserve">post(d, c)</w:t>
      </w:r>
      <w:r>
        <w:t xml:space="preserve"> </w:t>
      </w:r>
      <w:r>
        <w:t xml:space="preserve">consumes both in one call and there is no idiom in which they are dropped. Neither is evidence the checks are unnecessary, but both are evidence that the</w:t>
      </w:r>
      <w:r>
        <w:t xml:space="preserve"> </w:t>
      </w:r>
      <w:r>
        <w:rPr>
          <w:iCs/>
          <w:i/>
        </w:rPr>
        <w:t xml:space="preserve">frequency</w:t>
      </w:r>
      <w:r>
        <w:t xml:space="preserve"> </w:t>
      </w:r>
      <w:r>
        <w:t xml:space="preserve">claims one might be tempted to make about them are unsupported by this sample. Three files is not a corpus.</w:t>
      </w:r>
    </w:p>
    <w:bookmarkEnd w:id="181"/>
    <w:bookmarkStart w:id="182" w:name="a-defect-in-the-instrument"/>
    <w:p>
      <w:pPr>
        <w:pStyle w:val="Heading3"/>
      </w:pPr>
      <w:r>
        <w:t xml:space="preserve">9.13.6 A Defect in the Instrument</w:t>
      </w:r>
    </w:p>
    <w:p>
      <w:pPr>
        <w:pStyle w:val="FirstParagraph"/>
      </w:pPr>
      <w:r>
        <w:t xml:space="preserve">Finally, one defect in the instrument itself, recorded under the same discipline as the phase-diagram artifact of §9.3.1. The end-to-end runner initially advanced the runtime with its loop counter rather than with the epoch the ledger actually sealed, and the ledger numbers epochs from zero.</w:t>
      </w:r>
      <w:r>
        <w:t xml:space="preserve"> </w:t>
      </w:r>
      <w:r>
        <w:rPr>
          <w:bCs/>
          <w:b/>
        </w:rPr>
        <w:t xml:space="preserve">The failure mode was not a wrong answer; it was a silent null.</w:t>
      </w:r>
      <w:r>
        <w:t xml:space="preserve"> </w:t>
      </w:r>
      <w:r>
        <w:t xml:space="preserve">Every maintenance counter read zero, the reconstruction figures looked entirely plausible, and the run would have been reported as evidence that maintenance costs nothing. The runner now refuses to return a result from a run in which no delta was observed at all, on the principle that a null which looks like a measurement is worse than an error.</w:t>
      </w:r>
    </w:p>
    <w:bookmarkEnd w:id="182"/>
    <w:bookmarkEnd w:id="183"/>
    <w:bookmarkStart w:id="188" w:name="X32e7127edccab256ba31c77ca29dfc206f00978"/>
    <w:p>
      <w:pPr>
        <w:pStyle w:val="Heading2"/>
      </w:pPr>
      <w:r>
        <w:t xml:space="preserve">9.14 Results Over the Wire, Through the Rewrite, and Through the Checker</w:t>
      </w:r>
    </w:p>
    <w:p>
      <w:pPr>
        <w:pStyle w:val="FirstParagraph"/>
      </w:pPr>
      <w:r>
        <w:t xml:space="preserve">§9.13 put the compiler in the measurement path. Three further experiments put, respectively, a</w:t>
      </w:r>
      <w:r>
        <w:t xml:space="preserve"> </w:t>
      </w:r>
      <w:r>
        <w:rPr>
          <w:iCs/>
          <w:i/>
        </w:rPr>
        <w:t xml:space="preserve">baseline</w:t>
      </w:r>
      <w:r>
        <w:t xml:space="preserve">, a</w:t>
      </w:r>
      <w:r>
        <w:t xml:space="preserve"> </w:t>
      </w:r>
      <w:r>
        <w:rPr>
          <w:iCs/>
          <w:i/>
        </w:rPr>
        <w:t xml:space="preserve">rewrite</w:t>
      </w:r>
      <w:r>
        <w:t xml:space="preserve"> </w:t>
      </w:r>
      <w:r>
        <w:t xml:space="preserve">and a</w:t>
      </w:r>
      <w:r>
        <w:t xml:space="preserve"> </w:t>
      </w:r>
      <w:r>
        <w:rPr>
          <w:iCs/>
          <w:i/>
        </w:rPr>
        <w:t xml:space="preserve">corpus</w:t>
      </w:r>
      <w:r>
        <w:t xml:space="preserve"> </w:t>
      </w:r>
      <w:r>
        <w:t xml:space="preserve">in it. Each answers a question the preceding sections could not, and each is reported with the defects it found, because in every case the instrument caught something before the result did.</w:t>
      </w:r>
    </w:p>
    <w:bookmarkStart w:id="184" w:name="X85333206cb5f0d30957bb821f4cc4f840414d4e"/>
    <w:p>
      <w:pPr>
        <w:pStyle w:val="Heading3"/>
      </w:pPr>
      <w:r>
        <w:t xml:space="preserve">9.14.1 The first wall-clock comparison against the baseline (E16)</w:t>
      </w:r>
    </w:p>
    <w:p>
      <w:pPr>
        <w:pStyle w:val="FirstParagraph"/>
      </w:pPr>
      <w:r>
        <w:rPr>
          <w:rStyle w:val="VerbatimChar"/>
        </w:rPr>
        <w:t xml:space="preserve">results/E16-wallclock.md</w:t>
      </w:r>
      <w:r>
        <w:t xml:space="preserve">, generated by</w:t>
      </w:r>
      <w:r>
        <w:t xml:space="preserve"> </w:t>
      </w:r>
      <w:r>
        <w:rPr>
          <w:rStyle w:val="VerbatimChar"/>
        </w:rPr>
        <w:t xml:space="preserve">bank-bench --run</w:t>
      </w:r>
      <w:r>
        <w:t xml:space="preserve">; nothing in it is typed by hand.</w:t>
      </w:r>
    </w:p>
    <w:p>
      <w:pPr>
        <w:pStyle w:val="BodyText"/>
      </w:pPr>
      <w:r>
        <w:t xml:space="preserve">Every measurement in §§9.1–9.4 and §9.13 reported</w:t>
      </w:r>
      <w:r>
        <w:t xml:space="preserve"> </w:t>
      </w:r>
      <w:r>
        <w:rPr>
          <w:iCs/>
          <w:i/>
        </w:rPr>
        <w:t xml:space="preserve">counted work</w:t>
      </w:r>
      <w:r>
        <w:t xml:space="preserve"> </w:t>
      </w:r>
      <w:r>
        <w:t xml:space="preserve">inside the prototype, and the one wall-clock table (§9.4.4) was in-memory, single-threaded and compared to nothing. §7’s performance contract states four targets relative to PostgreSQL. They were predictions in the typography of results. E16 is the first measurement against the baseline the specification names.</w:t>
      </w:r>
    </w:p>
    <w:p>
      <w:pPr>
        <w:pStyle w:val="BodyText"/>
      </w:pPr>
      <w:r>
        <w:rPr>
          <w:iCs/>
          <w:i/>
        </w:rPr>
        <w:t xml:space="preserve">Generated from</w:t>
      </w:r>
      <w:r>
        <w:rPr>
          <w:iCs/>
          <w:i/>
        </w:rPr>
        <w:t xml:space="preserve"> </w:t>
      </w:r>
      <w:r>
        <w:rPr>
          <w:rStyle w:val="VerbatimChar"/>
          <w:iCs/>
          <w:i/>
        </w:rPr>
        <w:t xml:space="preserve">results/E16-wallclock.md</w:t>
      </w:r>
      <w:r>
        <w:rPr>
          <w:iCs/>
          <w:i/>
        </w:rPr>
        <w:t xml:space="preserve">. Do not edit by hand.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Workload</w:t>
            </w:r>
          </w:p>
        </w:tc>
        <w:tc>
          <w:tcPr/>
          <w:p>
            <w:pPr>
              <w:pStyle w:val="Compact"/>
              <w:jc w:val="left"/>
            </w:pPr>
            <w:r>
              <w:t xml:space="preserve">Contract (SPEC-ENGINE Part 0)</w:t>
            </w:r>
          </w:p>
        </w:tc>
        <w:tc>
          <w:tcPr/>
          <w:p>
            <w:pPr>
              <w:pStyle w:val="Compact"/>
              <w:jc w:val="left"/>
            </w:pPr>
            <w:r>
              <w:t xml:space="preserve">PostgreSQL</w:t>
            </w:r>
          </w:p>
        </w:tc>
        <w:tc>
          <w:tcPr/>
          <w:p>
            <w:pPr>
              <w:pStyle w:val="Compact"/>
              <w:jc w:val="left"/>
            </w:pPr>
            <w:r>
              <w:t xml:space="preserve">Nilestream</w:t>
            </w:r>
          </w:p>
        </w:tc>
        <w:tc>
          <w:tcPr/>
          <w:p>
            <w:pPr>
              <w:pStyle w:val="Compact"/>
              <w:jc w:val="left"/>
            </w:pPr>
            <w:r>
              <w:t xml:space="preserve">Ratio</w:t>
            </w:r>
          </w:p>
        </w:tc>
        <w:tc>
          <w:tcPr/>
          <w:p>
            <w:pPr>
              <w:pStyle w:val="Compact"/>
              <w:jc w:val="left"/>
            </w:pPr>
            <w:r>
              <w:t xml:space="preserve">Verdict</w:t>
            </w:r>
          </w:p>
        </w:tc>
      </w:tr>
      <w:tr>
        <w:tc>
          <w:tcPr/>
          <w:p>
            <w:pPr>
              <w:pStyle w:val="Compact"/>
              <w:jc w:val="left"/>
            </w:pPr>
            <w:r>
              <w:t xml:space="preserve">oltp</w:t>
            </w:r>
          </w:p>
        </w:tc>
        <w:tc>
          <w:tcPr/>
          <w:p>
            <w:pPr>
              <w:pStyle w:val="Compact"/>
              <w:jc w:val="left"/>
            </w:pPr>
            <w:r>
              <w:t xml:space="preserve">5–10× PostgreSQL</w:t>
            </w:r>
          </w:p>
        </w:tc>
        <w:tc>
          <w:tcPr/>
          <w:p>
            <w:pPr>
              <w:pStyle w:val="Compact"/>
              <w:jc w:val="left"/>
            </w:pPr>
            <w:r>
              <w:t xml:space="preserve">4500 ops/s</w:t>
            </w:r>
          </w:p>
        </w:tc>
        <w:tc>
          <w:tcPr/>
          <w:p>
            <w:pPr>
              <w:pStyle w:val="Compact"/>
              <w:jc w:val="left"/>
            </w:pPr>
            <w:r>
              <w:t xml:space="preserve">— ops/s</w:t>
            </w:r>
          </w:p>
        </w:tc>
        <w:tc>
          <w:tcPr/>
          <w:p>
            <w:pPr>
              <w:pStyle w:val="Compact"/>
              <w:jc w:val="left"/>
            </w:pPr>
            <w:r>
              <w:t xml:space="preserve">—</w:t>
            </w:r>
          </w:p>
        </w:tc>
        <w:tc>
          <w:tcPr/>
          <w:p>
            <w:pPr>
              <w:pStyle w:val="Compact"/>
              <w:jc w:val="left"/>
            </w:pPr>
            <w:r>
              <w:rPr>
                <w:bCs/>
                <w:b/>
              </w:rPr>
              <w:t xml:space="preserve">NOT RUN</w:t>
            </w:r>
          </w:p>
        </w:tc>
      </w:tr>
      <w:tr>
        <w:tc>
          <w:tcPr/>
          <w:p>
            <w:pPr>
              <w:pStyle w:val="Compact"/>
              <w:jc w:val="left"/>
            </w:pPr>
            <w:r>
              <w:t xml:space="preserve">analytical</w:t>
            </w:r>
          </w:p>
        </w:tc>
        <w:tc>
          <w:tcPr/>
          <w:p>
            <w:pPr>
              <w:pStyle w:val="Compact"/>
              <w:jc w:val="left"/>
            </w:pPr>
            <w:r>
              <w:t xml:space="preserve">10–12× PostgreSQL</w:t>
            </w:r>
          </w:p>
        </w:tc>
        <w:tc>
          <w:tcPr/>
          <w:p>
            <w:pPr>
              <w:pStyle w:val="Compact"/>
              <w:jc w:val="left"/>
            </w:pPr>
            <w:r>
              <w:t xml:space="preserve">344.2 ops/s</w:t>
            </w:r>
          </w:p>
        </w:tc>
        <w:tc>
          <w:tcPr/>
          <w:p>
            <w:pPr>
              <w:pStyle w:val="Compact"/>
              <w:jc w:val="left"/>
            </w:pPr>
            <w:r>
              <w:t xml:space="preserve">— ops/s</w:t>
            </w:r>
          </w:p>
        </w:tc>
        <w:tc>
          <w:tcPr/>
          <w:p>
            <w:pPr>
              <w:pStyle w:val="Compact"/>
              <w:jc w:val="left"/>
            </w:pPr>
            <w:r>
              <w:t xml:space="preserve">—</w:t>
            </w:r>
          </w:p>
        </w:tc>
        <w:tc>
          <w:tcPr/>
          <w:p>
            <w:pPr>
              <w:pStyle w:val="Compact"/>
              <w:jc w:val="left"/>
            </w:pPr>
            <w:r>
              <w:rPr>
                <w:bCs/>
                <w:b/>
              </w:rPr>
              <w:t xml:space="preserve">NOT RUN</w:t>
            </w:r>
          </w:p>
        </w:tc>
      </w:tr>
      <w:tr>
        <w:tc>
          <w:tcPr/>
          <w:p>
            <w:pPr>
              <w:pStyle w:val="Compact"/>
              <w:jc w:val="left"/>
            </w:pPr>
            <w:r>
              <w:t xml:space="preserve">point</w:t>
            </w:r>
          </w:p>
        </w:tc>
        <w:tc>
          <w:tcPr/>
          <w:p>
            <w:pPr>
              <w:pStyle w:val="Compact"/>
              <w:jc w:val="left"/>
            </w:pPr>
            <w:r>
              <w:t xml:space="preserve">parity with PostgreSQL</w:t>
            </w:r>
          </w:p>
        </w:tc>
        <w:tc>
          <w:tcPr/>
          <w:p>
            <w:pPr>
              <w:pStyle w:val="Compact"/>
              <w:jc w:val="left"/>
            </w:pPr>
            <w:r>
              <w:t xml:space="preserve">127.9 µs p99</w:t>
            </w:r>
          </w:p>
        </w:tc>
        <w:tc>
          <w:tcPr/>
          <w:p>
            <w:pPr>
              <w:pStyle w:val="Compact"/>
              <w:jc w:val="left"/>
            </w:pPr>
            <w:r>
              <w:t xml:space="preserve">130.3 µs p99</w:t>
            </w:r>
          </w:p>
        </w:tc>
        <w:tc>
          <w:tcPr/>
          <w:p>
            <w:pPr>
              <w:pStyle w:val="Compact"/>
              <w:jc w:val="left"/>
            </w:pPr>
            <w:r>
              <w:t xml:space="preserve">0.98×</w:t>
            </w:r>
          </w:p>
        </w:tc>
        <w:tc>
          <w:tcPr/>
          <w:p>
            <w:pPr>
              <w:pStyle w:val="Compact"/>
              <w:jc w:val="left"/>
            </w:pPr>
            <w:r>
              <w:rPr>
                <w:bCs/>
                <w:b/>
              </w:rPr>
              <w:t xml:space="preserve">PARITY</w:t>
            </w:r>
          </w:p>
        </w:tc>
      </w:tr>
      <w:tr>
        <w:tc>
          <w:tcPr/>
          <w:p>
            <w:pPr>
              <w:pStyle w:val="Compact"/>
              <w:jc w:val="left"/>
            </w:pPr>
            <w:r>
              <w:t xml:space="preserve">durable</w:t>
            </w:r>
          </w:p>
        </w:tc>
        <w:tc>
          <w:tcPr/>
          <w:p>
            <w:pPr>
              <w:pStyle w:val="Compact"/>
              <w:jc w:val="left"/>
            </w:pPr>
            <w:r>
              <w:t xml:space="preserve">parity with PostgreSQL</w:t>
            </w:r>
          </w:p>
        </w:tc>
        <w:tc>
          <w:tcPr/>
          <w:p>
            <w:pPr>
              <w:pStyle w:val="Compact"/>
              <w:jc w:val="left"/>
            </w:pPr>
            <w:r>
              <w:t xml:space="preserve">4966 ops/s</w:t>
            </w:r>
          </w:p>
        </w:tc>
        <w:tc>
          <w:tcPr/>
          <w:p>
            <w:pPr>
              <w:pStyle w:val="Compact"/>
              <w:jc w:val="left"/>
            </w:pPr>
            <w:r>
              <w:t xml:space="preserve">— ops/s</w:t>
            </w:r>
          </w:p>
        </w:tc>
        <w:tc>
          <w:tcPr/>
          <w:p>
            <w:pPr>
              <w:pStyle w:val="Compact"/>
              <w:jc w:val="left"/>
            </w:pPr>
            <w:r>
              <w:t xml:space="preserve">—</w:t>
            </w:r>
          </w:p>
        </w:tc>
        <w:tc>
          <w:tcPr/>
          <w:p>
            <w:pPr>
              <w:pStyle w:val="Compact"/>
              <w:jc w:val="left"/>
            </w:pPr>
            <w:r>
              <w:rPr>
                <w:bCs/>
                <w:b/>
              </w:rPr>
              <w:t xml:space="preserve">NOT RUN</w:t>
            </w:r>
          </w:p>
        </w:tc>
      </w:tr>
    </w:tbl>
    <w:p>
      <w:pPr>
        <w:pStyle w:val="BodyText"/>
      </w:pPr>
      <w:r>
        <w:t xml:space="preserve">Both sides are driven over the PostgreSQL wire protocol</w:t>
      </w:r>
      <w:r>
        <w:t xml:space="preserve"> </w:t>
      </w:r>
      <w:r>
        <w:rPr>
          <w:iCs/>
          <w:i/>
        </w:rPr>
        <w:t xml:space="preserve">through the same client</w:t>
      </w:r>
      <w:r>
        <w:t xml:space="preserve">, so neither is spared the protocol cost the other pays. Three rows are</w:t>
      </w:r>
      <w:r>
        <w:t xml:space="preserve"> </w:t>
      </w:r>
      <w:r>
        <w:rPr>
          <w:rStyle w:val="VerbatimChar"/>
        </w:rPr>
        <w:t xml:space="preserve">NOT RUN</w:t>
      </w:r>
      <w:r>
        <w:t xml:space="preserve"> </w:t>
      </w:r>
      <w:r>
        <w:t xml:space="preserve">and say why in the results file:</w:t>
      </w:r>
      <w:r>
        <w:t xml:space="preserve"> </w:t>
      </w:r>
      <w:r>
        <w:rPr>
          <w:rStyle w:val="VerbatimChar"/>
        </w:rPr>
        <w:t xml:space="preserve">nilestreamd</w:t>
      </w:r>
      <w:r>
        <w:t xml:space="preserve"> </w:t>
      </w:r>
      <w:r>
        <w:t xml:space="preserve">exposes no write surface over the wire, and its read surface serves per-key balances rather than scans. A row reported as a prediction next to a row reported as a measurement is how a specification becomes marketing, so the unmeasured rows are labelled and left empty.</w:t>
      </w:r>
    </w:p>
    <w:p>
      <w:pPr>
        <w:pStyle w:val="BodyText"/>
      </w:pPr>
      <w:r>
        <w:t xml:space="preserve">The</w:t>
      </w:r>
      <w:r>
        <w:t xml:space="preserve"> </w:t>
      </w:r>
      <w:r>
        <w:rPr>
          <w:rStyle w:val="VerbatimChar"/>
        </w:rPr>
        <w:t xml:space="preserve">point</w:t>
      </w:r>
      <w:r>
        <w:t xml:space="preserve"> </w:t>
      </w:r>
      <w:r>
        <w:t xml:space="preserve">row is an engine result rather than a protocol one: it is served by a partial view over a hash-chained ledger, answering an anchored read and reconstructing on a miss.</w:t>
      </w:r>
      <w:r>
        <w:t xml:space="preserve"> </w:t>
      </w:r>
      <w:r>
        <w:rPr>
          <w:bCs/>
          <w:b/>
        </w:rPr>
        <w:t xml:space="preserve">The miss rate is reported with it and belongs with it.</w:t>
      </w:r>
      <w:r>
        <w:t xml:space="preserve"> </w:t>
      </w:r>
      <w:r>
        <w:t xml:space="preserve">Parity at a 0% miss rate would say a warm view is fast; the measured runs sit at 8–14% misses, each one a real upquery touching real base rows, and the latency holds across them. That is the claim this thesis actually makes, and reporting the latency alone would have let the more interesting half disappear.</w:t>
      </w:r>
    </w:p>
    <w:p>
      <w:pPr>
        <w:pStyle w:val="BodyText"/>
      </w:pPr>
      <w:r>
        <w:t xml:space="preserve">Two defects, and neither was in the engine.</w:t>
      </w:r>
    </w:p>
    <w:p>
      <w:pPr>
        <w:pStyle w:val="BodyText"/>
      </w:pPr>
      <w:r>
        <w:rPr>
          <w:bCs/>
          <w:b/>
        </w:rPr>
        <w:t xml:space="preserve">A 640× stall in the wire path.</w:t>
      </w:r>
      <w:r>
        <w:t xml:space="preserve"> </w:t>
      </w:r>
      <w:r>
        <w:t xml:space="preserve">The first run measured 23 point lookups per second against PostgreSQL’s 13,600. Per-query compilation measures 0.02 ms, so the</w:t>
      </w:r>
      <w:r>
        <w:t xml:space="preserve"> </w:t>
      </w:r>
      <w:r>
        <w:t xml:space="preserve">“</w:t>
      </w:r>
      <w:r>
        <w:t xml:space="preserve">compile every query</w:t>
      </w:r>
      <w:r>
        <w:t xml:space="preserve">”</w:t>
      </w:r>
      <w:r>
        <w:t xml:space="preserve"> </w:t>
      </w:r>
      <w:r>
        <w:t xml:space="preserve">concern is 0.5% of the budget. The cause was that</w:t>
      </w:r>
      <w:r>
        <w:t xml:space="preserve"> </w:t>
      </w:r>
      <w:r>
        <w:rPr>
          <w:rStyle w:val="VerbatimChar"/>
        </w:rPr>
        <w:t xml:space="preserve">pg_wire::write_all</w:t>
      </w:r>
      <w:r>
        <w:t xml:space="preserve"> </w:t>
      </w:r>
      <w:r>
        <w:t xml:space="preserve">issued one socket write per protocol message, so a four-message reply sat waiting on Nagle’s algorithm and the peer’s delayed-ACK timer: 43 ms per query is that timer wearing a database’s clothes. One buffer, one write,</w:t>
      </w:r>
      <w:r>
        <w:t xml:space="preserve"> </w:t>
      </w:r>
      <w:r>
        <w:rPr>
          <w:rStyle w:val="VerbatimChar"/>
        </w:rPr>
        <w:t xml:space="preserve">TCP_NODELAY</w:t>
      </w:r>
      <w:r>
        <w:t xml:space="preserve">, and the same workload reached about 14,700/s. A counted-work benchmark could not have found this, because no unit of counted work was being spent.</w:t>
      </w:r>
    </w:p>
    <w:p>
      <w:pPr>
        <w:pStyle w:val="BodyText"/>
      </w:pPr>
      <w:r>
        <w:rPr>
          <w:bCs/>
          <w:b/>
        </w:rPr>
        <w:t xml:space="preserve">A mis-calibrated plausibility gate.</w:t>
      </w:r>
      <w:r>
        <w:t xml:space="preserve"> </w:t>
      </w:r>
      <w:r>
        <w:t xml:space="preserve">The harness refuses a throughput figure inconsistent with the device’s measured</w:t>
      </w:r>
      <w:r>
        <w:t xml:space="preserve"> </w:t>
      </w:r>
      <w:r>
        <w:rPr>
          <w:rStyle w:val="VerbatimChar"/>
        </w:rPr>
        <w:t xml:space="preserve">fsync</w:t>
      </w:r>
      <w:r>
        <w:t xml:space="preserve"> </w:t>
      </w:r>
      <w:r>
        <w:t xml:space="preserve">cost, on the principle that a durable-write number above the storage ceiling means the commits are not reaching storage. The gate fired at 16× over its ceiling — and the gate was right and the</w:t>
      </w:r>
      <w:r>
        <w:t xml:space="preserve"> </w:t>
      </w:r>
      <w:r>
        <w:rPr>
          <w:iCs/>
          <w:i/>
        </w:rPr>
        <w:t xml:space="preserve">published</w:t>
      </w:r>
      <w:r>
        <w:t xml:space="preserve"> </w:t>
      </w:r>
      <w:r>
        <w:t xml:space="preserve">figure was wrong: 333 txn/s/core had been carried from a device with power-loss protection, where an</w:t>
      </w:r>
      <w:r>
        <w:t xml:space="preserve"> </w:t>
      </w:r>
      <w:r>
        <w:rPr>
          <w:rStyle w:val="VerbatimChar"/>
        </w:rPr>
        <w:t xml:space="preserve">fsync</w:t>
      </w:r>
      <w:r>
        <w:t xml:space="preserve"> </w:t>
      </w:r>
      <w:r>
        <w:t xml:space="preserve">costs 1.6–12.4 µs, to one without, where it costs 891–2,974 µs. The calibration is now measured per device at run time rather than quoted.</w:t>
      </w:r>
    </w:p>
    <w:bookmarkEnd w:id="184"/>
    <w:bookmarkStart w:id="185" w:name="subquery-unnesting-e17"/>
    <w:p>
      <w:pPr>
        <w:pStyle w:val="Heading3"/>
      </w:pPr>
      <w:r>
        <w:t xml:space="preserve">9.14.2 Subquery unnesting (E17)</w:t>
      </w:r>
    </w:p>
    <w:p>
      <w:pPr>
        <w:pStyle w:val="FirstParagraph"/>
      </w:pPr>
      <w:r>
        <w:rPr>
          <w:rStyle w:val="VerbatimChar"/>
        </w:rPr>
        <w:t xml:space="preserve">results/E17-unnesting.md</w:t>
      </w:r>
      <w:r>
        <w:t xml:space="preserve">. Dreseler et al. measured subquery unnesting at roughly 510× geometric mean against join ordering’s 7%, which is the finding that reorders an optimizer’s priorities. §6.11’s join ordering was built first; this is the rewrite that measurement says is worth two orders of magnitude more.</w:t>
      </w:r>
    </w:p>
    <w:p>
      <w:pPr>
        <w:pStyle w:val="BodyText"/>
      </w:pPr>
      <w:r>
        <w:t xml:space="preserve">Three pieces of the IR had to exist before the rewrite could.</w:t>
      </w:r>
    </w:p>
    <w:p>
      <w:pPr>
        <w:pStyle w:val="BodyText"/>
      </w:pPr>
      <w:r>
        <w:rPr>
          <w:bCs/>
          <w:b/>
        </w:rPr>
        <w:t xml:space="preserve">A nested form.</w:t>
      </w:r>
      <w:r>
        <w:t xml:space="preserve"> </w:t>
      </w:r>
      <w:r>
        <w:t xml:space="preserve">A correlated subquery had no representation: no</w:t>
      </w:r>
      <w:r>
        <w:t xml:space="preserve"> </w:t>
      </w:r>
      <w:r>
        <w:rPr>
          <w:rStyle w:val="VerbatimChar"/>
        </w:rPr>
        <w:t xml:space="preserve">exists</w:t>
      </w:r>
      <w:r>
        <w:t xml:space="preserve"> </w:t>
      </w:r>
      <w:r>
        <w:t xml:space="preserve">in the surface, no dependent join in the IR, so</w:t>
      </w:r>
      <w:r>
        <w:t xml:space="preserve"> </w:t>
      </w:r>
      <w:r>
        <w:t xml:space="preserve">“</w:t>
      </w:r>
      <w:r>
        <w:t xml:space="preserve">unnesting</w:t>
      </w:r>
      <w:r>
        <w:t xml:space="preserve">”</w:t>
      </w:r>
      <w:r>
        <w:t xml:space="preserve"> </w:t>
      </w:r>
      <w:r>
        <w:t xml:space="preserve">was a rewrite with no input.</w:t>
      </w:r>
      <w:r>
        <w:t xml:space="preserve"> </w:t>
      </w:r>
      <w:r>
        <w:rPr>
          <w:rStyle w:val="VerbatimChar"/>
        </w:rPr>
        <w:t xml:space="preserve">Op::Apply</w:t>
      </w:r>
      <w:r>
        <w:t xml:space="preserve"> </w:t>
      </w:r>
      <w:r>
        <w:t xml:space="preserve">is that input, and it is deliberately</w:t>
      </w:r>
      <w:r>
        <w:t xml:space="preserve"> </w:t>
      </w:r>
      <w:r>
        <w:rPr>
          <w:bCs/>
          <w:b/>
        </w:rPr>
        <w:t xml:space="preserve">not incremental</w:t>
      </w:r>
      <w:r>
        <w:t xml:space="preserve"> </w:t>
      </w:r>
      <w:r>
        <w:t xml:space="preserve">— one new outer row re-scans the inner relation, so a dependent join has no delta rule and the verifier refuses one on a path to a served output. That reframes the whole exercise: unnesting is not an optimisation a busy planner may skip, it is the step that makes a correlated query expressible as a view at all, and the speedup is a consequence.</w:t>
      </w:r>
    </w:p>
    <w:p>
      <w:pPr>
        <w:pStyle w:val="BodyText"/>
      </w:pPr>
      <w:r>
        <w:rPr>
          <w:bCs/>
          <w:b/>
        </w:rPr>
        <w:t xml:space="preserve">A null.</w:t>
      </w:r>
      <w:r>
        <w:t xml:space="preserve"> </w:t>
      </w:r>
      <w:r>
        <w:t xml:space="preserve">The IR’s value model was</w:t>
      </w:r>
      <w:r>
        <w:t xml:space="preserve"> </w:t>
      </w:r>
      <w:r>
        <w:rPr>
          <w:rStyle w:val="VerbatimChar"/>
        </w:rPr>
        <w:t xml:space="preserve">i128</w:t>
      </w:r>
      <w:r>
        <w:t xml:space="preserve">, so</w:t>
      </w:r>
      <w:r>
        <w:t xml:space="preserve"> </w:t>
      </w:r>
      <w:r>
        <w:rPr>
          <w:rStyle w:val="VerbatimChar"/>
        </w:rPr>
        <w:t xml:space="preserve">not in</w:t>
      </w:r>
      <w:r>
        <w:t xml:space="preserve"> </w:t>
      </w:r>
      <w:r>
        <w:t xml:space="preserve">was unstatable. The IR now carries</w:t>
      </w:r>
      <w:r>
        <w:t xml:space="preserve"> </w:t>
      </w:r>
      <w:r>
        <w:rPr>
          <w:rStyle w:val="VerbatimChar"/>
        </w:rPr>
        <w:t xml:space="preserve">Value::{Null, Int}</w:t>
      </w:r>
      <w:r>
        <w:t xml:space="preserve"> </w:t>
      </w:r>
      <w:r>
        <w:t xml:space="preserve">and Kleene three-valued logic, and keeps §3.3’s three absences apart by name:</w:t>
      </w:r>
      <w:r>
        <w:t xml:space="preserve"> </w:t>
      </w:r>
      <w:r>
        <w:rPr>
          <w:rStyle w:val="VerbatimChar"/>
        </w:rPr>
        <w:t xml:space="preserve">null</w:t>
      </w:r>
      <w:r>
        <w:t xml:space="preserve"> </w:t>
      </w:r>
      <w:r>
        <w:t xml:space="preserve">(unknown in the data),</w:t>
      </w:r>
      <w:r>
        <w:t xml:space="preserve"> </w:t>
      </w:r>
      <w:r>
        <w:rPr>
          <w:rStyle w:val="VerbatimChar"/>
        </w:rPr>
        <w:t xml:space="preserve">Option::None</w:t>
      </w:r>
      <w:r>
        <w:t xml:space="preserve"> </w:t>
      </w:r>
      <w:r>
        <w:t xml:space="preserve">(absent in a program), and the evicted</w:t>
      </w:r>
      <w:r>
        <w:t xml:space="preserve"> </w:t>
      </w:r>
      <w:r>
        <w:rPr>
          <w:rStyle w:val="VerbatimChar"/>
        </w:rPr>
        <w:t xml:space="preserve">Hole</w:t>
      </w:r>
      <w:r>
        <w:t xml:space="preserve"> </w:t>
      </w:r>
      <w:r>
        <w:t xml:space="preserve">(absent from memory, and reconstructible). Collapsing any pair is a defect with a name, and the third collapse is the</w:t>
      </w:r>
      <w:r>
        <w:t xml:space="preserve"> </w:t>
      </w:r>
      <w:r>
        <w:rPr>
          <w:rStyle w:val="VerbatimChar"/>
        </w:rPr>
        <w:t xml:space="preserve">Err(_) =&gt; 0</w:t>
      </w:r>
      <w:r>
        <w:t xml:space="preserve"> </w:t>
      </w:r>
      <w:r>
        <w:t xml:space="preserve">of §1.1.1.</w:t>
      </w:r>
    </w:p>
    <w:p>
      <w:pPr>
        <w:pStyle w:val="BodyText"/>
      </w:pPr>
      <w:r>
        <w:rPr>
          <w:bCs/>
          <w:b/>
        </w:rPr>
        <w:t xml:space="preserve">One semantics.</w:t>
      </w:r>
      <w:r>
        <w:t xml:space="preserve"> </w:t>
      </w:r>
      <w:r>
        <w:t xml:space="preserve">The reference evaluator moved out of a test module and became public, shared by §6.13’s schedule catalogue and by this corpus. Two copies of a semantics is two semantics, and a rewrite could then be</w:t>
      </w:r>
      <w:r>
        <w:t xml:space="preserve"> </w:t>
      </w:r>
      <w:r>
        <w:t xml:space="preserve">“</w:t>
      </w:r>
      <w:r>
        <w:t xml:space="preserve">correct</w:t>
      </w:r>
      <w:r>
        <w:t xml:space="preserve">”</w:t>
      </w:r>
      <w:r>
        <w:t xml:space="preserve"> </w:t>
      </w:r>
      <w:r>
        <w:t xml:space="preserve">under the copy its own author wrote.</w:t>
      </w:r>
    </w:p>
    <w:p>
      <w:pPr>
        <w:pStyle w:val="BodyText"/>
      </w:pPr>
      <w:r>
        <w:t xml:space="preserve">Twenty-four correlated queries, each built nested and unnested, checked</w:t>
      </w:r>
      <w:r>
        <w:t xml:space="preserve"> </w:t>
      </w:r>
      <w:r>
        <w:rPr>
          <w:bCs/>
          <w:b/>
        </w:rPr>
        <w:t xml:space="preserve">denotationally</w:t>
      </w:r>
      <w:r>
        <w:t xml:space="preserve"> </w:t>
      </w:r>
      <w:r>
        <w:t xml:space="preserve">— the two circuits must denote the same Z-set on a dataset carrying duplicates, retractions, nulls on each side and empty groups. Deliberately not</w:t>
      </w:r>
      <w:r>
        <w:t xml:space="preserve"> </w:t>
      </w:r>
      <w:r>
        <w:t xml:space="preserve">“</w:t>
      </w:r>
      <w:r>
        <w:t xml:space="preserve">the unnested plan contains a semi-join</w:t>
      </w:r>
      <w:r>
        <w:t xml:space="preserve">”</w:t>
      </w:r>
      <w:r>
        <w:t xml:space="preserve">, which is satisfied by a plan containing a semi-join that computes the wrong thing. The eight</w:t>
      </w:r>
      <w:r>
        <w:t xml:space="preserve"> </w:t>
      </w:r>
      <w:r>
        <w:rPr>
          <w:rStyle w:val="VerbatimChar"/>
        </w:rPr>
        <w:t xml:space="preserve">not in</w:t>
      </w:r>
      <w:r>
        <w:t xml:space="preserve"> </w:t>
      </w:r>
      <w:r>
        <w:t xml:space="preserve">cases are additionally checked against an oracle written straight from the three-valued truth table, because denotational equivalence establishes that the rewrite is faithful to the</w:t>
      </w:r>
      <w:r>
        <w:t xml:space="preserve"> </w:t>
      </w:r>
      <w:r>
        <w:rPr>
          <w:rStyle w:val="VerbatimChar"/>
        </w:rPr>
        <w:t xml:space="preserve">Apply</w:t>
      </w:r>
      <w:r>
        <w:t xml:space="preserve"> </w:t>
      </w:r>
      <w:r>
        <w:t xml:space="preserve">and says nothing about whether the</w:t>
      </w:r>
      <w:r>
        <w:t xml:space="preserve"> </w:t>
      </w:r>
      <w:r>
        <w:rPr>
          <w:rStyle w:val="VerbatimChar"/>
        </w:rPr>
        <w:t xml:space="preserve">Apply</w:t>
      </w:r>
      <w:r>
        <w:t xml:space="preserve"> </w:t>
      </w:r>
      <w:r>
        <w:t xml:space="preserve">is faithful to SQL.</w:t>
      </w:r>
    </w:p>
    <w:p>
      <w:pPr>
        <w:pStyle w:val="BodyText"/>
      </w:pPr>
      <w:r>
        <w:rPr>
          <w:rStyle w:val="VerbatimChar"/>
          <w:bCs/>
          <w:b/>
        </w:rPr>
        <w:t xml:space="preserve">not in</w:t>
      </w:r>
      <w:r>
        <w:rPr>
          <w:bCs/>
          <w:b/>
        </w:rPr>
        <w:t xml:space="preserve"> </w:t>
      </w:r>
      <w:r>
        <w:rPr>
          <w:bCs/>
          <w:b/>
        </w:rPr>
        <w:t xml:space="preserve">is the case worth stating.</w:t>
      </w:r>
      <w:r>
        <w:t xml:space="preserve"> </w:t>
      </w:r>
      <w:r>
        <w:t xml:space="preserve">A row survives</w:t>
      </w:r>
      <w:r>
        <w:t xml:space="preserve"> </w:t>
      </w:r>
      <w:r>
        <w:rPr>
          <w:rStyle w:val="VerbatimChar"/>
        </w:rPr>
        <w:t xml:space="preserve">where</w:t>
      </w:r>
      <w:r>
        <w:t xml:space="preserve"> </w:t>
      </w:r>
      <w:r>
        <w:t xml:space="preserve">only when the predicate is</w:t>
      </w:r>
      <w:r>
        <w:t xml:space="preserve"> </w:t>
      </w:r>
      <w:r>
        <w:rPr>
          <w:iCs/>
          <w:i/>
        </w:rPr>
        <w:t xml:space="preserve">true</w:t>
      </w:r>
      <w:r>
        <w:t xml:space="preserve">, so: a null probe is unknown and drops, even against an empty subquery; a match is false and drops; and a null anywhere in the subquery’s column makes every non-matching probe unknown, so it drops too. A single null therefore makes</w:t>
      </w:r>
      <w:r>
        <w:t xml:space="preserve"> </w:t>
      </w:r>
      <w:r>
        <w:rPr>
          <w:rStyle w:val="VerbatimChar"/>
        </w:rPr>
        <w:t xml:space="preserve">not in</w:t>
      </w:r>
      <w:r>
        <w:t xml:space="preserve"> </w:t>
      </w:r>
      <w:r>
        <w:t xml:space="preserve">return</w:t>
      </w:r>
      <w:r>
        <w:t xml:space="preserve"> </w:t>
      </w:r>
      <w:r>
        <w:rPr>
          <w:bCs/>
          <w:b/>
        </w:rPr>
        <w:t xml:space="preserve">no rows at all</w:t>
      </w:r>
      <w:r>
        <w:t xml:space="preserve">. A plain anti-join keeps exactly the rows that did not match — unknown ones included — and is wrong in both directions. The rewrite is a filter, an anti-join, and a second anti-join against a</w:t>
      </w:r>
      <w:r>
        <w:t xml:space="preserve"> </w:t>
      </w:r>
      <w:r>
        <w:rPr>
          <w:iCs/>
          <w:i/>
        </w:rPr>
        <w:t xml:space="preserve">null witness</w:t>
      </w:r>
      <w:r>
        <w:t xml:space="preserve">: one row per correlation group containing a null. The uncorrelated case needs no special handling, because with an empty correlation the second anti-join has an empty key and reduces to</w:t>
      </w:r>
      <w:r>
        <w:t xml:space="preserve"> </w:t>
      </w:r>
      <w:r>
        <w:t xml:space="preserve">“</w:t>
      </w:r>
      <w:r>
        <w:t xml:space="preserve">keep the rows iff the witness is empty</w:t>
      </w:r>
      <w:r>
        <w:t xml:space="preserve">”</w:t>
      </w:r>
      <w:r>
        <w:t xml:space="preserve">.</w:t>
      </w:r>
    </w:p>
    <w:p>
      <w:pPr>
        <w:pStyle w:val="BodyText"/>
      </w:pPr>
      <w:r>
        <w:rPr>
          <w:iCs/>
          <w:i/>
        </w:rPr>
        <w:t xml:space="preserve">Generated from</w:t>
      </w:r>
      <w:r>
        <w:rPr>
          <w:iCs/>
          <w:i/>
        </w:rPr>
        <w:t xml:space="preserve"> </w:t>
      </w:r>
      <w:r>
        <w:rPr>
          <w:rStyle w:val="VerbatimChar"/>
          <w:iCs/>
          <w:i/>
        </w:rPr>
        <w:t xml:space="preserve">results/E17-unnesting-table.md</w:t>
      </w:r>
      <w:r>
        <w:rPr>
          <w:iCs/>
          <w:i/>
        </w:rPr>
        <w:t xml:space="preserve">. Do not edit by hand.</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k</w:t>
            </w:r>
          </w:p>
        </w:tc>
        <w:tc>
          <w:tcPr/>
          <w:p>
            <w:pPr>
              <w:pStyle w:val="Compact"/>
              <w:jc w:val="left"/>
            </w:pPr>
            <w:r>
              <w:t xml:space="preserve">outer rows</w:t>
            </w:r>
          </w:p>
        </w:tc>
        <w:tc>
          <w:tcPr/>
          <w:p>
            <w:pPr>
              <w:pStyle w:val="Compact"/>
              <w:jc w:val="left"/>
            </w:pPr>
            <w:r>
              <w:t xml:space="preserve">inner rows</w:t>
            </w:r>
          </w:p>
        </w:tc>
        <w:tc>
          <w:tcPr/>
          <w:p>
            <w:pPr>
              <w:pStyle w:val="Compact"/>
              <w:jc w:val="left"/>
            </w:pPr>
            <w:r>
              <w:t xml:space="preserve">corpus nested</w:t>
            </w:r>
          </w:p>
        </w:tc>
        <w:tc>
          <w:tcPr/>
          <w:p>
            <w:pPr>
              <w:pStyle w:val="Compact"/>
              <w:jc w:val="left"/>
            </w:pPr>
            <w:r>
              <w:t xml:space="preserve">corpus unnested</w:t>
            </w:r>
          </w:p>
        </w:tc>
        <w:tc>
          <w:tcPr/>
          <w:p>
            <w:pPr>
              <w:pStyle w:val="Compact"/>
              <w:jc w:val="left"/>
            </w:pPr>
            <w:r>
              <w:t xml:space="preserve">corpus ratio</w:t>
            </w:r>
          </w:p>
        </w:tc>
        <w:tc>
          <w:tcPr/>
          <w:p>
            <w:pPr>
              <w:pStyle w:val="Compact"/>
              <w:jc w:val="left"/>
            </w:pPr>
            <w:r>
              <w:t xml:space="preserve">correlated ratio</w:t>
            </w:r>
          </w:p>
        </w:tc>
      </w:tr>
      <w:tr>
        <w:tc>
          <w:tcPr/>
          <w:p>
            <w:pPr>
              <w:pStyle w:val="Compact"/>
              <w:jc w:val="left"/>
            </w:pPr>
            <w:r>
              <w:t xml:space="preserve">1</w:t>
            </w:r>
          </w:p>
        </w:tc>
        <w:tc>
          <w:tcPr/>
          <w:p>
            <w:pPr>
              <w:pStyle w:val="Compact"/>
              <w:jc w:val="left"/>
            </w:pPr>
            <w:r>
              <w:t xml:space="preserve">9</w:t>
            </w:r>
          </w:p>
        </w:tc>
        <w:tc>
          <w:tcPr/>
          <w:p>
            <w:pPr>
              <w:pStyle w:val="Compact"/>
              <w:jc w:val="left"/>
            </w:pPr>
            <w:r>
              <w:t xml:space="preserve">7</w:t>
            </w:r>
          </w:p>
        </w:tc>
        <w:tc>
          <w:tcPr/>
          <w:p>
            <w:pPr>
              <w:pStyle w:val="Compact"/>
              <w:jc w:val="left"/>
            </w:pPr>
            <w:r>
              <w:t xml:space="preserve">1396</w:t>
            </w:r>
          </w:p>
        </w:tc>
        <w:tc>
          <w:tcPr/>
          <w:p>
            <w:pPr>
              <w:pStyle w:val="Compact"/>
              <w:jc w:val="left"/>
            </w:pPr>
            <w:r>
              <w:t xml:space="preserve">1101</w:t>
            </w:r>
          </w:p>
        </w:tc>
        <w:tc>
          <w:tcPr/>
          <w:p>
            <w:pPr>
              <w:pStyle w:val="Compact"/>
              <w:jc w:val="left"/>
            </w:pPr>
            <w:r>
              <w:t xml:space="preserve">1.27x</w:t>
            </w:r>
          </w:p>
        </w:tc>
        <w:tc>
          <w:tcPr/>
          <w:p>
            <w:pPr>
              <w:pStyle w:val="Compact"/>
              <w:jc w:val="left"/>
            </w:pPr>
            <w:r>
              <w:rPr>
                <w:bCs/>
                <w:b/>
              </w:rPr>
              <w:t xml:space="preserve">1.44x</w:t>
            </w:r>
          </w:p>
        </w:tc>
      </w:tr>
      <w:tr>
        <w:tc>
          <w:tcPr/>
          <w:p>
            <w:pPr>
              <w:pStyle w:val="Compact"/>
              <w:jc w:val="left"/>
            </w:pPr>
            <w:r>
              <w:t xml:space="preserve">4</w:t>
            </w:r>
          </w:p>
        </w:tc>
        <w:tc>
          <w:tcPr/>
          <w:p>
            <w:pPr>
              <w:pStyle w:val="Compact"/>
              <w:jc w:val="left"/>
            </w:pPr>
            <w:r>
              <w:t xml:space="preserve">36</w:t>
            </w:r>
          </w:p>
        </w:tc>
        <w:tc>
          <w:tcPr/>
          <w:p>
            <w:pPr>
              <w:pStyle w:val="Compact"/>
              <w:jc w:val="left"/>
            </w:pPr>
            <w:r>
              <w:t xml:space="preserve">28</w:t>
            </w:r>
          </w:p>
        </w:tc>
        <w:tc>
          <w:tcPr/>
          <w:p>
            <w:pPr>
              <w:pStyle w:val="Compact"/>
              <w:jc w:val="left"/>
            </w:pPr>
            <w:r>
              <w:t xml:space="preserve">15736</w:t>
            </w:r>
          </w:p>
        </w:tc>
        <w:tc>
          <w:tcPr/>
          <w:p>
            <w:pPr>
              <w:pStyle w:val="Compact"/>
              <w:jc w:val="left"/>
            </w:pPr>
            <w:r>
              <w:t xml:space="preserve">5388</w:t>
            </w:r>
          </w:p>
        </w:tc>
        <w:tc>
          <w:tcPr/>
          <w:p>
            <w:pPr>
              <w:pStyle w:val="Compact"/>
              <w:jc w:val="left"/>
            </w:pPr>
            <w:r>
              <w:t xml:space="preserve">2.92x</w:t>
            </w:r>
          </w:p>
        </w:tc>
        <w:tc>
          <w:tcPr/>
          <w:p>
            <w:pPr>
              <w:pStyle w:val="Compact"/>
              <w:jc w:val="left"/>
            </w:pPr>
            <w:r>
              <w:rPr>
                <w:bCs/>
                <w:b/>
              </w:rPr>
              <w:t xml:space="preserve">4.29x</w:t>
            </w:r>
          </w:p>
        </w:tc>
      </w:tr>
      <w:tr>
        <w:tc>
          <w:tcPr/>
          <w:p>
            <w:pPr>
              <w:pStyle w:val="Compact"/>
              <w:jc w:val="left"/>
            </w:pPr>
            <w:r>
              <w:t xml:space="preserve">16</w:t>
            </w:r>
          </w:p>
        </w:tc>
        <w:tc>
          <w:tcPr/>
          <w:p>
            <w:pPr>
              <w:pStyle w:val="Compact"/>
              <w:jc w:val="left"/>
            </w:pPr>
            <w:r>
              <w:t xml:space="preserve">144</w:t>
            </w:r>
          </w:p>
        </w:tc>
        <w:tc>
          <w:tcPr/>
          <w:p>
            <w:pPr>
              <w:pStyle w:val="Compact"/>
              <w:jc w:val="left"/>
            </w:pPr>
            <w:r>
              <w:t xml:space="preserve">112</w:t>
            </w:r>
          </w:p>
        </w:tc>
        <w:tc>
          <w:tcPr/>
          <w:p>
            <w:pPr>
              <w:pStyle w:val="Compact"/>
              <w:jc w:val="left"/>
            </w:pPr>
            <w:r>
              <w:t xml:space="preserve">225376</w:t>
            </w:r>
          </w:p>
        </w:tc>
        <w:tc>
          <w:tcPr/>
          <w:p>
            <w:pPr>
              <w:pStyle w:val="Compact"/>
              <w:jc w:val="left"/>
            </w:pPr>
            <w:r>
              <w:t xml:space="preserve">37116</w:t>
            </w:r>
          </w:p>
        </w:tc>
        <w:tc>
          <w:tcPr/>
          <w:p>
            <w:pPr>
              <w:pStyle w:val="Compact"/>
              <w:jc w:val="left"/>
            </w:pPr>
            <w:r>
              <w:t xml:space="preserve">6.07x</w:t>
            </w:r>
          </w:p>
        </w:tc>
        <w:tc>
          <w:tcPr/>
          <w:p>
            <w:pPr>
              <w:pStyle w:val="Compact"/>
              <w:jc w:val="left"/>
            </w:pPr>
            <w:r>
              <w:rPr>
                <w:bCs/>
                <w:b/>
              </w:rPr>
              <w:t xml:space="preserve">15.71x</w:t>
            </w:r>
          </w:p>
        </w:tc>
      </w:tr>
      <w:tr>
        <w:tc>
          <w:tcPr/>
          <w:p>
            <w:pPr>
              <w:pStyle w:val="Compact"/>
              <w:jc w:val="left"/>
            </w:pPr>
            <w:r>
              <w:t xml:space="preserve">64</w:t>
            </w:r>
          </w:p>
        </w:tc>
        <w:tc>
          <w:tcPr/>
          <w:p>
            <w:pPr>
              <w:pStyle w:val="Compact"/>
              <w:jc w:val="left"/>
            </w:pPr>
            <w:r>
              <w:t xml:space="preserve">576</w:t>
            </w:r>
          </w:p>
        </w:tc>
        <w:tc>
          <w:tcPr/>
          <w:p>
            <w:pPr>
              <w:pStyle w:val="Compact"/>
              <w:jc w:val="left"/>
            </w:pPr>
            <w:r>
              <w:t xml:space="preserve">448</w:t>
            </w:r>
          </w:p>
        </w:tc>
        <w:tc>
          <w:tcPr/>
          <w:p>
            <w:pPr>
              <w:pStyle w:val="Compact"/>
              <w:jc w:val="left"/>
            </w:pPr>
            <w:r>
              <w:t xml:space="preserve">3500416</w:t>
            </w:r>
          </w:p>
        </w:tc>
        <w:tc>
          <w:tcPr/>
          <w:p>
            <w:pPr>
              <w:pStyle w:val="Compact"/>
              <w:jc w:val="left"/>
            </w:pPr>
            <w:r>
              <w:t xml:space="preserve">397308</w:t>
            </w:r>
          </w:p>
        </w:tc>
        <w:tc>
          <w:tcPr/>
          <w:p>
            <w:pPr>
              <w:pStyle w:val="Compact"/>
              <w:jc w:val="left"/>
            </w:pPr>
            <w:r>
              <w:t xml:space="preserve">8.81x</w:t>
            </w:r>
          </w:p>
        </w:tc>
        <w:tc>
          <w:tcPr/>
          <w:p>
            <w:pPr>
              <w:pStyle w:val="Compact"/>
              <w:jc w:val="left"/>
            </w:pPr>
            <w:r>
              <w:rPr>
                <w:bCs/>
                <w:b/>
              </w:rPr>
              <w:t xml:space="preserve">61.39x</w:t>
            </w:r>
          </w:p>
        </w:tc>
      </w:tr>
    </w:tbl>
    <w:p>
      <w:pPr>
        <w:pStyle w:val="BodyText"/>
      </w:pPr>
      <w:r>
        <w:t xml:space="preserve">The correlated-regime ratio quadruples as</w:t>
      </w:r>
      <w:r>
        <w:t xml:space="preserve"> </w:t>
      </w:r>
      <w:r>
        <w:rPr>
          <w:iCs/>
          <w:i/>
        </w:rPr>
        <w:t xml:space="preserve">k</w:t>
      </w:r>
      <w:r>
        <w:t xml:space="preserve"> </w:t>
      </w:r>
      <w:r>
        <w:t xml:space="preserve">quadruples, which is the signature of removing a quadratic rather than shaving a constant. The whole-corpus ratio grows more slowly, and the reason is reported rather than smoothed: the corpus holds three regimes and only one of them has an asymptotic win to give — the uncorrelated cases stay quadratic in both plans, and the empty-inner ones have no inner loop to remove. A ratio taken over a mixture of asymptotics is a number without a meaning, so the regime is computed per case rather than declared, and a test guards the partition so a case that failed to speed up cannot be quietly reclassified.</w:t>
      </w:r>
    </w:p>
    <w:p>
      <w:pPr>
        <w:pStyle w:val="BodyText"/>
      </w:pPr>
      <w:r>
        <w:t xml:space="preserve">The 510× figure is</w:t>
      </w:r>
      <w:r>
        <w:t xml:space="preserve"> </w:t>
      </w:r>
      <w:r>
        <w:rPr>
          <w:iCs/>
          <w:i/>
        </w:rPr>
        <w:t xml:space="preserve">not</w:t>
      </w:r>
      <w:r>
        <w:t xml:space="preserve"> </w:t>
      </w:r>
      <w:r>
        <w:t xml:space="preserve">the comparable number and is not claimed: that is a wall-clock geometric mean over TPC-H at one scale factor, and this is counted work over a purpose-built corpus as a function of scale. What can be said is that the ratio is unbounded in</w:t>
      </w:r>
      <w:r>
        <w:t xml:space="preserve"> </w:t>
      </w:r>
      <w:r>
        <w:rPr>
          <w:iCs/>
          <w:i/>
        </w:rPr>
        <w:t xml:space="preserve">k</w:t>
      </w:r>
      <w:r>
        <w:t xml:space="preserve"> </w:t>
      </w:r>
      <w:r>
        <w:t xml:space="preserve">rather than a constant.</w:t>
      </w:r>
    </w:p>
    <w:p>
      <w:pPr>
        <w:pStyle w:val="BodyText"/>
      </w:pPr>
      <w:r>
        <w:t xml:space="preserve">Two corrections the measurement forced, both recorded under the discipline of §9.3.1.</w:t>
      </w:r>
    </w:p>
    <w:p>
      <w:pPr>
        <w:pStyle w:val="BodyText"/>
      </w:pPr>
      <w:r>
        <w:rPr>
          <w:bCs/>
          <w:b/>
        </w:rPr>
        <w:t xml:space="preserve">The instrument was wrong first.</w:t>
      </w:r>
      <w:r>
        <w:t xml:space="preserve"> </w:t>
      </w:r>
      <w:r>
        <w:t xml:space="preserve">The reference evaluator executed every equi-join as a nested loop, at |L|×|R| — the same cost as a dependent join — and therefore reported that unnesting saved nothing. No engine executes an equi-join that way, and a cost model that says otherwise cannot distinguish the two plans the experiment exists to compare. It now builds an index on the right and probes it.</w:t>
      </w:r>
    </w:p>
    <w:p>
      <w:pPr>
        <w:pStyle w:val="BodyText"/>
      </w:pPr>
      <w:r>
        <w:rPr>
          <w:bCs/>
          <w:b/>
        </w:rPr>
        <w:t xml:space="preserve">There is a crossover, and it is reported rather than smoothed away.</w:t>
      </w:r>
      <w:r>
        <w:t xml:space="preserve"> </w:t>
      </w:r>
      <w:r>
        <w:t xml:space="preserve">At the original nine-by-ten dataset the</w:t>
      </w:r>
      <w:r>
        <w:t xml:space="preserve"> </w:t>
      </w:r>
      <w:r>
        <w:rPr>
          <w:rStyle w:val="VerbatimChar"/>
        </w:rPr>
        <w:t xml:space="preserve">not in</w:t>
      </w:r>
      <w:r>
        <w:t xml:space="preserve"> </w:t>
      </w:r>
      <w:r>
        <w:t xml:space="preserve">cases did</w:t>
      </w:r>
      <w:r>
        <w:t xml:space="preserve"> </w:t>
      </w:r>
      <w:r>
        <w:rPr>
          <w:iCs/>
          <w:i/>
        </w:rPr>
        <w:t xml:space="preserve">more</w:t>
      </w:r>
      <w:r>
        <w:t xml:space="preserve"> </w:t>
      </w:r>
      <w:r>
        <w:t xml:space="preserve">work after unnesting, because the unnested form is six operators and at that size the constant beats the asymptote. Loosening the assertion would have discarded the actual result, which is a phase boundary of exactly the kind §9.3 is about. The corpus is now scale-parameterised, the crossover is measured per case, and three cases have a ratio permanently below 1 — the ones whose subquery is empty, where there is no quadratic to remove and the extra nodes are pure cost. A planner could act on that; it is in the table rather than in a footnote.</w:t>
      </w:r>
    </w:p>
    <w:p>
      <w:pPr>
        <w:pStyle w:val="BodyText"/>
      </w:pPr>
      <w:r>
        <w:rPr>
          <w:bCs/>
          <w:b/>
        </w:rPr>
        <w:t xml:space="preserve">And two defects that had nothing to do with subqueries.</w:t>
      </w:r>
      <w:r>
        <w:t xml:space="preserve"> </w:t>
      </w:r>
      <w:r>
        <w:t xml:space="preserve">Closing the surface path — making a query a user can write reach the rewrite — turned both up within minutes.</w:t>
      </w:r>
    </w:p>
    <w:p>
      <w:pPr>
        <w:pStyle w:val="BodyText"/>
      </w:pPr>
      <w:r>
        <w:t xml:space="preserve">First, a correlation whose two columns shared a name was silently left behind as a tautology.</w:t>
      </w:r>
      <w:r>
        <w:t xml:space="preserve"> </w:t>
      </w:r>
      <w:r>
        <w:rPr>
          <w:rStyle w:val="VerbatimChar"/>
        </w:rPr>
        <w:t xml:space="preserve">where u.k = t.k</w:t>
      </w:r>
      <w:r>
        <w:t xml:space="preserve"> </w:t>
      </w:r>
      <w:r>
        <w:t xml:space="preserve">is the commonest correlated predicate there is, and both sides are called</w:t>
      </w:r>
      <w:r>
        <w:t xml:space="preserve"> </w:t>
      </w:r>
      <w:r>
        <w:rPr>
          <w:rStyle w:val="VerbatimChar"/>
        </w:rPr>
        <w:t xml:space="preserve">k</w:t>
      </w:r>
      <w:r>
        <w:t xml:space="preserve">; a rule that asked only</w:t>
      </w:r>
      <w:r>
        <w:t xml:space="preserve"> </w:t>
      </w:r>
      <w:r>
        <w:t xml:space="preserve">“</w:t>
      </w:r>
      <w:r>
        <w:t xml:space="preserve">which schema does this name resolve in</w:t>
      </w:r>
      <w:r>
        <w:t xml:space="preserve">”</w:t>
      </w:r>
      <w:r>
        <w:t xml:space="preserve"> </w:t>
      </w:r>
      <w:r>
        <w:t xml:space="preserve">found it resolved in both, gave up, and left the equality as a filter on the inner side, where it lowered to</w:t>
      </w:r>
      <w:r>
        <w:t xml:space="preserve"> </w:t>
      </w:r>
      <w:r>
        <w:rPr>
          <w:rStyle w:val="VerbatimChar"/>
        </w:rPr>
        <w:t xml:space="preserve">k = k</w:t>
      </w:r>
      <w:r>
        <w:t xml:space="preserve">. Always true, so the subquery matched every row and the</w:t>
      </w:r>
      <w:r>
        <w:t xml:space="preserve"> </w:t>
      </w:r>
      <w:r>
        <w:rPr>
          <w:rStyle w:val="VerbatimChar"/>
        </w:rPr>
        <w:t xml:space="preserve">exists</w:t>
      </w:r>
      <w:r>
        <w:t xml:space="preserve"> </w:t>
      </w:r>
      <w:r>
        <w:t xml:space="preserve">became a no-op returning the whole outer relation.</w:t>
      </w:r>
    </w:p>
    <w:p>
      <w:pPr>
        <w:pStyle w:val="BodyText"/>
      </w:pPr>
      <w:r>
        <w:t xml:space="preserve">Second, and worse:</w:t>
      </w:r>
      <w:r>
        <w:t xml:space="preserve"> </w:t>
      </w:r>
      <w:r>
        <w:rPr>
          <w:rStyle w:val="VerbatimChar"/>
          <w:bCs/>
          <w:b/>
        </w:rPr>
        <w:t xml:space="preserve">select k from t where t.z = 1</w:t>
      </w:r>
      <w:r>
        <w:rPr>
          <w:bCs/>
          <w:b/>
        </w:rPr>
        <w:t xml:space="preserve"> </w:t>
      </w:r>
      <w:r>
        <w:rPr>
          <w:bCs/>
          <w:b/>
        </w:rPr>
        <w:t xml:space="preserve">returned every row.</w:t>
      </w:r>
      <w:r>
        <w:t xml:space="preserve"> </w:t>
      </w:r>
      <w:r>
        <w:t xml:space="preserve">Two faults compounded. Niles’s two ancestries disagree about one character — in Rust</w:t>
      </w:r>
      <w:r>
        <w:t xml:space="preserve"> </w:t>
      </w:r>
      <w:r>
        <w:rPr>
          <w:rStyle w:val="VerbatimChar"/>
        </w:rPr>
        <w:t xml:space="preserve">a = b</w:t>
      </w:r>
      <w:r>
        <w:t xml:space="preserve"> </w:t>
      </w:r>
      <w:r>
        <w:t xml:space="preserve">assigns, in SQL’s</w:t>
      </w:r>
      <w:r>
        <w:t xml:space="preserve"> </w:t>
      </w:r>
      <w:r>
        <w:rPr>
          <w:rStyle w:val="VerbatimChar"/>
        </w:rPr>
        <w:t xml:space="preserve">where</w:t>
      </w:r>
      <w:r>
        <w:t xml:space="preserve"> </w:t>
      </w:r>
      <w:r>
        <w:t xml:space="preserve">clause it compares, and SQL has no assignment expression at all — and the parser took the Rust reading everywhere, producing an</w:t>
      </w:r>
      <w:r>
        <w:t xml:space="preserve"> </w:t>
      </w:r>
      <w:r>
        <w:rPr>
          <w:rStyle w:val="VerbatimChar"/>
        </w:rPr>
        <w:t xml:space="preserve">Assign</w:t>
      </w:r>
      <w:r>
        <w:t xml:space="preserve"> </w:t>
      </w:r>
      <w:r>
        <w:t xml:space="preserve">node no</w:t>
      </w:r>
      <w:r>
        <w:t xml:space="preserve"> </w:t>
      </w:r>
      <w:r>
        <w:rPr>
          <w:rStyle w:val="VerbatimChar"/>
        </w:rPr>
        <w:t xml:space="preserve">where</w:t>
      </w:r>
      <w:r>
        <w:t xml:space="preserve"> </w:t>
      </w:r>
      <w:r>
        <w:t xml:space="preserve">clause can contain. Lowering then read</w:t>
      </w:r>
      <w:r>
        <w:t xml:space="preserve"> </w:t>
      </w:r>
      <w:r>
        <w:rPr>
          <w:rStyle w:val="VerbatimChar"/>
        </w:rPr>
        <w:t xml:space="preserve">self.scalar(..).unwrap_or(Scalar::LitBool(true))</w:t>
      </w:r>
      <w:r>
        <w:t xml:space="preserve">, so a predicate with no lowering became the constant</w:t>
      </w:r>
      <w:r>
        <w:t xml:space="preserve"> </w:t>
      </w:r>
      <w:r>
        <w:rPr>
          <w:rStyle w:val="VerbatimChar"/>
        </w:rPr>
        <w:t xml:space="preserve">true</w:t>
      </w:r>
      <w:r>
        <w:t xml:space="preserve"> </w:t>
      </w:r>
      <w:r>
        <w:t xml:space="preserve">and the clause vanished. The query looked correct, the plan verified, and no answer-level test could catch it, because every row it returned was a real row.</w:t>
      </w:r>
    </w:p>
    <w:p>
      <w:pPr>
        <w:pStyle w:val="BodyText"/>
      </w:pPr>
      <w:r>
        <w:t xml:space="preserve">That is the third time in this programme that a</w:t>
      </w:r>
      <w:r>
        <w:t xml:space="preserve"> </w:t>
      </w:r>
      <w:r>
        <w:rPr>
          <w:iCs/>
          <w:i/>
        </w:rPr>
        <w:t xml:space="preserve">reasonable default for an absence</w:t>
      </w:r>
      <w:r>
        <w:t xml:space="preserve"> </w:t>
      </w:r>
      <w:r>
        <w:t xml:space="preserve">has turned out to be a wrong answer wearing a plausible shape, after</w:t>
      </w:r>
      <w:r>
        <w:t xml:space="preserve"> </w:t>
      </w:r>
      <w:r>
        <w:rPr>
          <w:rStyle w:val="VerbatimChar"/>
        </w:rPr>
        <w:t xml:space="preserve">Err(_) =&gt; 0</w:t>
      </w:r>
      <w:r>
        <w:t xml:space="preserve"> </w:t>
      </w:r>
      <w:r>
        <w:t xml:space="preserve">in the kernel and</w:t>
      </w:r>
      <w:r>
        <w:t xml:space="preserve"> </w:t>
      </w:r>
      <w:r>
        <w:rPr>
          <w:rStyle w:val="VerbatimChar"/>
        </w:rPr>
        <w:t xml:space="preserve">sum</w:t>
      </w:r>
      <w:r>
        <w:t xml:space="preserve"> </w:t>
      </w:r>
      <w:r>
        <w:t xml:space="preserve">over an empty group. The fix offers no default at all:</w:t>
      </w:r>
      <w:r>
        <w:t xml:space="preserve"> </w:t>
      </w:r>
      <w:r>
        <w:rPr>
          <w:rStyle w:val="VerbatimChar"/>
        </w:rPr>
        <w:t xml:space="preserve">true</w:t>
      </w:r>
      <w:r>
        <w:t xml:space="preserve"> </w:t>
      </w:r>
      <w:r>
        <w:t xml:space="preserve">returns rows that should have been filtered out and</w:t>
      </w:r>
      <w:r>
        <w:t xml:space="preserve"> </w:t>
      </w:r>
      <w:r>
        <w:rPr>
          <w:rStyle w:val="VerbatimChar"/>
        </w:rPr>
        <w:t xml:space="preserve">false</w:t>
      </w:r>
      <w:r>
        <w:t xml:space="preserve"> </w:t>
      </w:r>
      <w:r>
        <w:t xml:space="preserve">hides rows that exist, so an unlowerable predicate is now a diagnostic naming itself, and the view does not lower. §11.5.7 names the pattern.</w:t>
      </w:r>
    </w:p>
    <w:bookmarkEnd w:id="185"/>
    <w:bookmarkStart w:id="186" w:name="Xe25d491b76ad7924575c3bc5051ea3419e24b50"/>
    <w:p>
      <w:pPr>
        <w:pStyle w:val="Heading3"/>
      </w:pPr>
      <w:r>
        <w:t xml:space="preserve">9.14.3 Is the soundness theorem about code anyone writes? (E18)</w:t>
      </w:r>
    </w:p>
    <w:p>
      <w:pPr>
        <w:pStyle w:val="FirstParagraph"/>
      </w:pPr>
      <w:r>
        <w:rPr>
          <w:rStyle w:val="VerbatimChar"/>
        </w:rPr>
        <w:t xml:space="preserve">results/E18-solver-verdicts.md</w:t>
      </w:r>
      <w:r>
        <w:t xml:space="preserve">. §11.5’s argument for a checkable property requires that the check be sound</w:t>
      </w:r>
      <w:r>
        <w:t xml:space="preserve"> </w:t>
      </w:r>
      <w:r>
        <w:rPr>
          <w:iCs/>
          <w:i/>
        </w:rPr>
        <w:t xml:space="preserve">and</w:t>
      </w:r>
      <w:r>
        <w:t xml:space="preserve"> </w:t>
      </w:r>
      <w:r>
        <w:t xml:space="preserve">that its incompleteness be characterised rather than merely admitted. E14 establishes that Niles catches eleven of twelve deliberate defect classes at compile time where PostgreSQL catches none. The objection that raises is sharp: a checker with an</w:t>
      </w:r>
      <w:r>
        <w:t xml:space="preserve"> </w:t>
      </w:r>
      <w:r>
        <w:rPr>
          <w:rStyle w:val="VerbatimChar"/>
        </w:rPr>
        <w:t xml:space="preserve">Undecided</w:t>
      </w:r>
      <w:r>
        <w:t xml:space="preserve"> </w:t>
      </w:r>
      <w:r>
        <w:t xml:space="preserve">verdict can do that and still be undecided on ordinary code, in which case Contribution 4’s soundness theorem is true and applies to a fragment nobody writes.</w:t>
      </w:r>
    </w:p>
    <w:p>
      <w:pPr>
        <w:pStyle w:val="BodyText"/>
      </w:pPr>
      <w:r>
        <w:t xml:space="preserve">Forty correct banking functions — transfers, fee sets, syndicated allocations, symbolic amounts, multi-currency legs, holds, and guarded paths — run one at a time through the front end.</w:t>
      </w:r>
      <w:r>
        <w:t xml:space="preserve"> </w:t>
      </w:r>
      <w:r>
        <w:rPr>
          <w:bCs/>
          <w:b/>
        </w:rPr>
        <w:t xml:space="preserve">Nothing is undecided.</w:t>
      </w:r>
      <w:r>
        <w:t xml:space="preserve"> </w:t>
      </w:r>
      <w:r>
        <w:t xml:space="preserve">Thirty-five are proved to conserve; five carry no conservation obligation at all, being holds. Five deliberately defective functions are the negative control, and the split between them is the honest part: three are reported as</w:t>
      </w:r>
      <w:r>
        <w:t xml:space="preserve"> </w:t>
      </w:r>
      <w:r>
        <w:rPr>
          <w:rStyle w:val="VerbatimChar"/>
        </w:rPr>
        <w:t xml:space="preserve">Violates</w:t>
      </w:r>
      <w:r>
        <w:t xml:space="preserve"> </w:t>
      </w:r>
      <w:r>
        <w:t xml:space="preserve">where the arithmetic is straight-line and provably wrong, and two as</w:t>
      </w:r>
      <w:r>
        <w:t xml:space="preserve"> </w:t>
      </w:r>
      <w:r>
        <w:rPr>
          <w:rStyle w:val="VerbatimChar"/>
        </w:rPr>
        <w:t xml:space="preserve">MayViolate</w:t>
      </w:r>
      <w:r>
        <w:t xml:space="preserve"> </w:t>
      </w:r>
      <w:r>
        <w:t xml:space="preserve">where the same arithmetic is reached across a control-flow merge. An accusation must be a must-statement; a checker that says</w:t>
      </w:r>
      <w:r>
        <w:t xml:space="preserve"> </w:t>
      </w:r>
      <w:r>
        <w:t xml:space="preserve">“</w:t>
      </w:r>
      <w:r>
        <w:t xml:space="preserve">this transaction cannot balance</w:t>
      </w:r>
      <w:r>
        <w:t xml:space="preserve">”</w:t>
      </w:r>
      <w:r>
        <w:t xml:space="preserve"> </w:t>
      </w:r>
      <w:r>
        <w:t xml:space="preserve">about a program it could not follow teaches its users to switch it off.</w:t>
      </w:r>
    </w:p>
    <w:p>
      <w:pPr>
        <w:pStyle w:val="BodyText"/>
      </w:pPr>
      <w:r>
        <w:t xml:space="preserve">The guarded group is the surprise, and it sharpens the claim rather than merely supporting it. The undecidability behind the fourth verdict — Müller-Olm and Seidl’s reduction from Post’s Correspondence Problem — is about deciding whether an</w:t>
      </w:r>
      <w:r>
        <w:t xml:space="preserve"> </w:t>
      </w:r>
      <w:r>
        <w:rPr>
          <w:iCs/>
          <w:i/>
        </w:rPr>
        <w:t xml:space="preserve">affine relation holds at a program point</w:t>
      </w:r>
      <w:r>
        <w:t xml:space="preserve">, and a limit check is exactly such a relation, so guarded transfers were expected to be undecided. They are proved, because</w:t>
      </w:r>
      <w:r>
        <w:t xml:space="preserve"> </w:t>
      </w:r>
      <w:r>
        <w:rPr>
          <w:bCs/>
          <w:b/>
        </w:rPr>
        <w:t xml:space="preserve">conservation asks a different question</w:t>
      </w:r>
      <w:r>
        <w:t xml:space="preserve">: whether the net is zero on every path, not whether the guard is true. A guard that gates</w:t>
      </w:r>
      <w:r>
        <w:t xml:space="preserve"> </w:t>
      </w:r>
      <w:r>
        <w:rPr>
          <w:iCs/>
          <w:i/>
        </w:rPr>
        <w:t xml:space="preserve">whether</w:t>
      </w:r>
      <w:r>
        <w:t xml:space="preserve"> </w:t>
      </w:r>
      <w:r>
        <w:t xml:space="preserve">a balanced transaction happens does not threaten conservation at all. The verdict remains forced in general — a guard that made the</w:t>
      </w:r>
      <w:r>
        <w:t xml:space="preserve"> </w:t>
      </w:r>
      <w:r>
        <w:rPr>
          <w:iCs/>
          <w:i/>
        </w:rPr>
        <w:t xml:space="preserve">amounts</w:t>
      </w:r>
      <w:r>
        <w:t xml:space="preserve"> </w:t>
      </w:r>
      <w:r>
        <w:t xml:space="preserve">depend on an affine relation would reach it — and that is not what ordinary banking code looks like.</w:t>
      </w:r>
    </w:p>
    <w:p>
      <w:pPr>
        <w:pStyle w:val="BodyText"/>
      </w:pPr>
      <w:r>
        <w:t xml:space="preserve">One correction, and it went the other way from the usual. The corpus initially reported the branch-defect case as</w:t>
      </w:r>
      <w:r>
        <w:t xml:space="preserve"> </w:t>
      </w:r>
      <w:r>
        <w:rPr>
          <w:rStyle w:val="VerbatimChar"/>
        </w:rPr>
        <w:t xml:space="preserve">Undecided</w:t>
      </w:r>
      <w:r>
        <w:t xml:space="preserve">, because the row join at a control-flow merge goes to top. The response was not to weaken the test: the checker now judges each arm</w:t>
      </w:r>
      <w:r>
        <w:t xml:space="preserve"> </w:t>
      </w:r>
      <w:r>
        <w:rPr>
          <w:iCs/>
          <w:i/>
        </w:rPr>
        <w:t xml:space="preserve">before</w:t>
      </w:r>
      <w:r>
        <w:t xml:space="preserve"> </w:t>
      </w:r>
      <w:r>
        <w:t xml:space="preserve">the join and downgrades a straight-line</w:t>
      </w:r>
      <w:r>
        <w:t xml:space="preserve"> </w:t>
      </w:r>
      <w:r>
        <w:rPr>
          <w:rStyle w:val="VerbatimChar"/>
        </w:rPr>
        <w:t xml:space="preserve">Violates</w:t>
      </w:r>
      <w:r>
        <w:t xml:space="preserve"> </w:t>
      </w:r>
      <w:r>
        <w:t xml:space="preserve">to</w:t>
      </w:r>
      <w:r>
        <w:t xml:space="preserve"> </w:t>
      </w:r>
      <w:r>
        <w:rPr>
          <w:rStyle w:val="VerbatimChar"/>
        </w:rPr>
        <w:t xml:space="preserve">MayViolate</w:t>
      </w:r>
      <w:r>
        <w:t xml:space="preserve">, so a defect on one branch is reported as a defect on one branch. The corpus made the analysis more precise rather than the assertion more forgiving.</w:t>
      </w:r>
    </w:p>
    <w:bookmarkEnd w:id="186"/>
    <w:bookmarkStart w:id="187" w:name="the-bootstrap-gates-e15"/>
    <w:p>
      <w:pPr>
        <w:pStyle w:val="Heading3"/>
      </w:pPr>
      <w:r>
        <w:t xml:space="preserve">9.14.4 The bootstrap gates (E15)</w:t>
      </w:r>
    </w:p>
    <w:p>
      <w:pPr>
        <w:pStyle w:val="FirstParagraph"/>
      </w:pPr>
      <w:r>
        <w:rPr>
          <w:rStyle w:val="VerbatimChar"/>
        </w:rPr>
        <w:t xml:space="preserve">results/E15-bootstrap-gates.md</w:t>
      </w:r>
      <w:r>
        <w:t xml:space="preserve">; the argument is Appendix E’s, and only the evaluation-relevant part is stated here. Two front-end stages are now written in Niles — a lexer and a recursive-descent parser — and each is compared against the reference implementation over a corpus and over its own source, the parser node for node across 1,200 lines including its own.</w:t>
      </w:r>
    </w:p>
    <w:p>
      <w:pPr>
        <w:pStyle w:val="BodyText"/>
      </w:pPr>
      <w:r>
        <w:t xml:space="preserve">The parser round is the one that produced a result about the</w:t>
      </w:r>
      <w:r>
        <w:t xml:space="preserve"> </w:t>
      </w:r>
      <w:r>
        <w:rPr>
          <w:iCs/>
          <w:i/>
        </w:rPr>
        <w:t xml:space="preserve">reference</w:t>
      </w:r>
      <w:r>
        <w:t xml:space="preserve">. Assignment was left-associative, contradicting both Rust’s rule and the comment sitting directly above the code, and it had survived every test in the workspace because associativity is invisible in a token stream: the lexer round could not have found it, and nothing else was looking. A second implementation of the same grammar found it within minutes of existing. That is the argument for stage-1 equivalence stated as a result rather than as a hope.</w:t>
      </w:r>
    </w:p>
    <w:p>
      <w:pPr>
        <w:pStyle w:val="BodyText"/>
      </w:pPr>
      <w:r>
        <w:t xml:space="preserve">Two further findings came with it. Appendix B had no operator precedence table, so §6.25’s rule that the appendix wins had nothing to win with; B.10.1 now states precedence and associativity normatively, and a test reads the table out of the markdown and checks every level against the compiler. And the stage-0 interpreter was spending about 95 KB of host stack per interpreted call frame in a debug build — a</w:t>
      </w:r>
      <w:r>
        <w:t xml:space="preserve"> </w:t>
      </w:r>
      <w:r>
        <w:rPr>
          <w:rStyle w:val="VerbatimChar"/>
        </w:rPr>
        <w:t xml:space="preserve">match</w:t>
      </w:r>
      <w:r>
        <w:t xml:space="preserve"> </w:t>
      </w:r>
      <w:r>
        <w:t xml:space="preserve">over thirty expression variants compiles, unoptimised, to a frame holding the union of every arm’s locals — which put a recursive-descent parser out of reach and whose failure mode was a process abort with no diagnostic. The cold arms moved behind</w:t>
      </w:r>
      <w:r>
        <w:t xml:space="preserve"> </w:t>
      </w:r>
      <w:r>
        <w:rPr>
          <w:rStyle w:val="VerbatimChar"/>
        </w:rPr>
        <w:t xml:space="preserve">#[inline(never)]</w:t>
      </w:r>
      <w:r>
        <w:t xml:space="preserve">, and a call-depth counter now turns the remaining limit into an ordinary error carrying a span.</w:t>
      </w:r>
    </w:p>
    <w:bookmarkEnd w:id="187"/>
    <w:bookmarkEnd w:id="188"/>
    <w:bookmarkEnd w:id="189"/>
    <w:bookmarkStart w:id="202" w:name="related-work"/>
    <w:p>
      <w:pPr>
        <w:pStyle w:val="Heading1"/>
      </w:pPr>
      <w:r>
        <w:t xml:space="preserve">10. Related Work</w:t>
      </w:r>
    </w:p>
    <w:p>
      <w:pPr>
        <w:pStyle w:val="FirstParagraph"/>
      </w:pPr>
      <w:r>
        <w:t xml:space="preserve">Chapter 2 gave the inheritance; this chapter gives the differences, family by family, and ends with the synthesis that locates the gap.</w:t>
      </w:r>
    </w:p>
    <w:bookmarkStart w:id="190" w:name="purpose-built-ledgers"/>
    <w:p>
      <w:pPr>
        <w:pStyle w:val="Heading2"/>
      </w:pPr>
      <w:r>
        <w:t xml:space="preserve">10.1 Purpose-Built Ledgers</w:t>
      </w:r>
    </w:p>
    <w:p>
      <w:pPr>
        <w:pStyle w:val="FirstParagraph"/>
      </w:pPr>
      <w:r>
        <w:t xml:space="preserve">TigerBeetle demonstrates that a fixed-schema, double-entry ledger can be extraordinarily disciplined: accounts, transfers and ledgers as the only primitives; the transfer identifier serving as an idempotency key; non-negativity expressed as a per-account flag rather than application logic; two-phase pending transfers that reserve amounts and are resolved by</w:t>
      </w:r>
      <w:r>
        <w:t xml:space="preserve"> </w:t>
      </w:r>
      <w:r>
        <w:rPr>
          <w:iCs/>
          <w:i/>
        </w:rPr>
        <w:t xml:space="preserve">appending</w:t>
      </w:r>
      <w:r>
        <w:t xml:space="preserve"> </w:t>
      </w:r>
      <w:r>
        <w:t xml:space="preserve">rather than mutating; static memory allocation; deterministic execution; and data that is</w:t>
      </w:r>
      <w:r>
        <w:t xml:space="preserve"> </w:t>
      </w:r>
      <w:r>
        <w:t xml:space="preserve">“</w:t>
      </w:r>
      <w:r>
        <w:t xml:space="preserve">immutable, checksummed, and hash-chained.</w:t>
      </w:r>
      <w:r>
        <w:t xml:space="preserve">”</w:t>
      </w:r>
      <w:r>
        <w:t xml:space="preserve"> </w:t>
      </w:r>
      <w:r>
        <w:t xml:space="preserve">Every one of those choices is validated by this thesis’s theory, and several are adopted directly. What TigerBeetle does not offer is a general query surface, a derived-view runtime, a language, or any account of read-side economics — reads are point lookups, and everything else is another system’s problem.</w:t>
      </w:r>
    </w:p>
    <w:p>
      <w:pPr>
        <w:pStyle w:val="BodyText"/>
      </w:pPr>
      <w:r>
        <w:t xml:space="preserve">Uber’s estate splits the problem the same way but demonstrates the read side too. Its payments platform states the zero-sum rule as ensuring</w:t>
      </w:r>
      <w:r>
        <w:t xml:space="preserve"> </w:t>
      </w:r>
      <w:r>
        <w:t xml:space="preserve">“</w:t>
      </w:r>
      <w:r>
        <w:t xml:space="preserve">no money can ever be created or destroyed,</w:t>
      </w:r>
      <w:r>
        <w:t xml:space="preserve">”</w:t>
      </w:r>
      <w:r>
        <w:t xml:space="preserve"> </w:t>
      </w:r>
      <w:r>
        <w:t xml:space="preserve">with adjustments captured as additional money orders rather than modifications. LedgerStore, its immutable storage layer, ships</w:t>
      </w:r>
      <w:r>
        <w:t xml:space="preserve"> </w:t>
      </w:r>
      <w:r>
        <w:rPr>
          <w:iCs/>
          <w:i/>
        </w:rPr>
        <w:t xml:space="preserve">three</w:t>
      </w:r>
      <w:r>
        <w:t xml:space="preserve"> </w:t>
      </w:r>
      <w:r>
        <w:t xml:space="preserve">index classes over one base — strongly consistent (two-phase commit, used for credit-card authorization holds), eventually consistent (payment history), and time-range indexes enabling tiering. That is per-view consistency in production, chosen by hand. This thesis’s contribution relative to it is to give that choice a semantics, a contract language, a proof that reconstruction is exact, and an optimizer that makes the choice from a cost model rather than from architectural intuition.</w:t>
      </w:r>
    </w:p>
    <w:p>
      <w:pPr>
        <w:pStyle w:val="BodyText"/>
      </w:pPr>
      <w:r>
        <w:t xml:space="preserve">Square’s Books contributes the append-only schema discipline and, notably, the observation that materializing the payout balance makes it</w:t>
      </w:r>
      <w:r>
        <w:t xml:space="preserve"> </w:t>
      </w:r>
      <w:r>
        <w:t xml:space="preserve">“</w:t>
      </w:r>
      <w:r>
        <w:t xml:space="preserve">a single row in our database [that] requires no complex grouping or aggregation</w:t>
      </w:r>
      <w:r>
        <w:t xml:space="preserve">”</w:t>
      </w:r>
      <w:r>
        <w:t xml:space="preserve"> </w:t>
      </w:r>
      <w:r>
        <w:t xml:space="preserve">— a totally materialized REV, chosen for a hot view, which is exactly what this thesis’s optimizer would select for that access pattern. Modern Treasury contributes the design-space disagreement about whether pending transactions are mutable, which Section 3.19 resolves in the stricter direction and explains why.</w:t>
      </w:r>
    </w:p>
    <w:p>
      <w:pPr>
        <w:pStyle w:val="BodyText"/>
      </w:pPr>
      <w:r>
        <w:t xml:space="preserve">Immutable and bitemporal databases (Datomic, XTDB) and journal-first ledger services (QLDB) establish that retention, time travel and cryptographic verification are practical and commercially viable, and QLDB in particular supplies the precise scoping language this thesis adopts for its verification claims. Blockchain systems share the hash-chained append-only base but solve an adversarial-consensus problem explicitly out of scope here, paying for Byzantine tolerance in throughput and expressiveness; Niles targets the trusted-operator institution, where the interesting problems are economics and semantics rather than adversarial agreement.</w:t>
      </w:r>
    </w:p>
    <w:bookmarkEnd w:id="190"/>
    <w:bookmarkStart w:id="191" w:name="X69854ef42552fa036b945e1f512c6fc2f543787"/>
    <w:p>
      <w:pPr>
        <w:pStyle w:val="Heading2"/>
      </w:pPr>
      <w:r>
        <w:t xml:space="preserve">10.2 Distributed Strict-Serializable SQL and Deterministic Databases</w:t>
      </w:r>
    </w:p>
    <w:p>
      <w:pPr>
        <w:pStyle w:val="FirstParagraph"/>
      </w:pPr>
      <w:r>
        <w:t xml:space="preserve">Spanner, CockroachDB and FoundationDB set the standard of rigor for the write path; the deterministic school — Calvin and Aria — is closer kin still, since pre-agreeing a total order over transaction inputs makes execution a deterministic function of that order and removes the need for a distributed commit vote. Aria’s advance over its predecessors, dropping the requirement that read/write sets be known in advance, is directly relevant to a system whose transactions include application logic.</w:t>
      </w:r>
    </w:p>
    <w:p>
      <w:pPr>
        <w:pStyle w:val="BodyText"/>
      </w:pPr>
      <w:r>
        <w:t xml:space="preserve">The differences: their history is disposable and audit is external; their derived reads are either per-query recomputation or eagerly total materialized views; and their language carries none of the static invariants. The relationship is complementary rather than competitive — this thesis takes global ordering as an available answer and asks what the read side and the language should be, and its reconstruction-equivalence theorem is, in a precise sense, the read-side analogue of the replica-equivalence property that determinism gives the write side.</w:t>
      </w:r>
    </w:p>
    <w:bookmarkEnd w:id="191"/>
    <w:bookmarkStart w:id="192" w:name="X7b8296b1e36c088d75f6b0ba1ffd2fd26eeacf3"/>
    <w:p>
      <w:pPr>
        <w:pStyle w:val="Heading2"/>
      </w:pPr>
      <w:r>
        <w:t xml:space="preserve">10.3 Incremental View Engines and Partial State</w:t>
      </w:r>
    </w:p>
    <w:p>
      <w:pPr>
        <w:pStyle w:val="FirstParagraph"/>
      </w:pPr>
      <w:r>
        <w:t xml:space="preserve">Materialize, Feldera, RisingWave and Flink SQL maintain views incrementally with strong internal consistency; DBToaster pioneered higher-order incrementalization; timely and differential dataflow supply the substrate, including shared arrangements for cross-query state sharing.</w:t>
      </w:r>
    </w:p>
    <w:p>
      <w:pPr>
        <w:pStyle w:val="BodyText"/>
      </w:pPr>
      <w:r>
        <w:t xml:space="preserve">Materialize is the sharpest comparison and deserves precision. It already ships bounded staleness (parameterized by duration), serializable and strict serializable isolation, and its documentation is explicit that strict serializability is what removes the anomaly in which a transaction reading an expensive view fails to observe rows visible to an earlier transaction that read the base table. So the</w:t>
      </w:r>
      <w:r>
        <w:t xml:space="preserve"> </w:t>
      </w:r>
      <w:r>
        <w:rPr>
          <w:iCs/>
          <w:i/>
        </w:rPr>
        <w:t xml:space="preserve">ladder</w:t>
      </w:r>
      <w:r>
        <w:t xml:space="preserve"> </w:t>
      </w:r>
      <w:r>
        <w:t xml:space="preserve">is not this thesis’s novelty. The differentiator is that all of those guarantees are over</w:t>
      </w:r>
      <w:r>
        <w:t xml:space="preserve"> </w:t>
      </w:r>
      <w:r>
        <w:rPr>
          <w:iCs/>
          <w:i/>
        </w:rPr>
        <w:t xml:space="preserve">totally</w:t>
      </w:r>
      <w:r>
        <w:t xml:space="preserve"> </w:t>
      </w:r>
      <w:r>
        <w:t xml:space="preserve">maintained state: a view’s memory cost is the size of its output. Because Materialize never evicts, it never has to ask when eviction stops paying — Theorem 4.2 has no analogue there because it has no reason to exist there.</w:t>
      </w:r>
    </w:p>
    <w:p>
      <w:pPr>
        <w:pStyle w:val="BodyText"/>
      </w:pPr>
      <w:r>
        <w:t xml:space="preserve">Noria is the one system with partial state and upqueries, and Section 4.8 gives the point-by-point delta. Two aspects of Noria’s own framing are worth repeating here because they define the opening: its stated guarantee is that</w:t>
      </w:r>
      <w:r>
        <w:t xml:space="preserve"> </w:t>
      </w:r>
      <w:r>
        <w:t xml:space="preserve">“</w:t>
      </w:r>
      <w:r>
        <w:t xml:space="preserve">if writes quiesce, all external views eventually hold results that are the same as if the queries had been executed directly against the base table data,</w:t>
      </w:r>
      <w:r>
        <w:t xml:space="preserve">”</w:t>
      </w:r>
      <w:r>
        <w:t xml:space="preserve"> </w:t>
      </w:r>
      <w:r>
        <w:t xml:space="preserve">and its dissertation lists stronger consistency and transactions as future work. The five anomalies that dissertation names are the obligation list this thesis’s Theorem 4.1 discharges by construction rather than by protocol.</w:t>
      </w:r>
    </w:p>
    <w:p>
      <w:pPr>
        <w:pStyle w:val="BodyText"/>
      </w:pPr>
      <w:r>
        <w:t xml:space="preserve">The general position: this thesis is DBSP-compatible by construction and adds the dimension none of these engines model — partiality with versioned absence, anchored reconstruction, per-view contracts over a shared authoritative timeline, and a cost theory of serving under eviction.</w:t>
      </w:r>
    </w:p>
    <w:bookmarkEnd w:id="192"/>
    <w:bookmarkStart w:id="193" w:name="core-banking-engineering-patterns"/>
    <w:p>
      <w:pPr>
        <w:pStyle w:val="Heading2"/>
      </w:pPr>
      <w:r>
        <w:t xml:space="preserve">10.4 Core-Banking Engineering Patterns</w:t>
      </w:r>
    </w:p>
    <w:p>
      <w:pPr>
        <w:pStyle w:val="FirstParagraph"/>
      </w:pPr>
      <w:r>
        <w:t xml:space="preserve">Industrial core-banking platforms and the payments literature converge on the same folk architecture — immutable postings, derived balances, event-driven projections — implemented as engineering discipline without formal guarantees. The regulatory record supplies the failure evidence: the FDIC and CFPB descriptions of authorize-positive-settle-negative practices document a consumer-harm pattern that arises structurally from two derived views of one ledger disagreeing at a decision point.</w:t>
      </w:r>
    </w:p>
    <w:p>
      <w:pPr>
        <w:pStyle w:val="BodyText"/>
      </w:pPr>
      <w:r>
        <w:t xml:space="preserve">This thesis can be read as the missing theory for that folk architecture. What those systems assert in runbooks — that balances derive from postings, that corrections are appends, that some views may lag — Chapter 4 proves or prices, and Chapter 6 makes declarable and checkable. The strongest evidence that the folk architecture is right is that the most disciplined production ledgers have independently converged on the same primitives; the strongest evidence that it is insufficient is that they each re-solve the read side by hand.</w:t>
      </w:r>
    </w:p>
    <w:bookmarkEnd w:id="193"/>
    <w:bookmarkStart w:id="194" w:name="query-languages-as-sql-alternatives"/>
    <w:p>
      <w:pPr>
        <w:pStyle w:val="Heading2"/>
      </w:pPr>
      <w:r>
        <w:t xml:space="preserve">10.5 Query Languages as SQL Alternatives</w:t>
      </w:r>
    </w:p>
    <w:p>
      <w:pPr>
        <w:pStyle w:val="FirstParagraph"/>
      </w:pPr>
      <w:r>
        <w:t xml:space="preserve">Datalog and its differential variant, PRQL, Malloy, EdgeQL, Morel, Logica, LINQ, KQL and Rel improve compositionality, pipeline order, abstraction or host-language integration. A survey of their own positioning yields a finding this thesis leans on: none claims formal SQL-superset expressive power, several are bounded above by SQL because they compile to it, and one major entrant is read-only by design. Rel is closest in ambition — explicitly rejecting the sublanguage model in favour of a full language, with relational algebra demonstrated as a library — but argues from design philosophy rather than from theorem.</w:t>
      </w:r>
    </w:p>
    <w:p>
      <w:pPr>
        <w:pStyle w:val="BodyText"/>
      </w:pPr>
      <w:r>
        <w:t xml:space="preserve">Niles’s position is an ergonomic reform</w:t>
      </w:r>
      <w:r>
        <w:t xml:space="preserve"> </w:t>
      </w:r>
      <w:r>
        <w:rPr>
          <w:iCs/>
          <w:i/>
        </w:rPr>
        <w:t xml:space="preserve">and</w:t>
      </w:r>
      <w:r>
        <w:t xml:space="preserve"> </w:t>
      </w:r>
      <w:r>
        <w:t xml:space="preserve">a semantic extension: the only language in this family whose type system speaks the database’s consistency, temporal, monetary, lineage and confidentiality vocabulary, and — via Theorem 4.6 — the only one to state its expressiveness claim as something provable rather than asserted. The standards lineage is engaged rather than ignored: SQL:2011’s system-versioned tables already forbid user modification of historical rows, SQL:2023 added property-graph queries, and ISO published GQL in 2024 as a standalone language rather than another SQL part — evidence that</w:t>
      </w:r>
      <w:r>
        <w:t xml:space="preserve"> </w:t>
      </w:r>
      <w:r>
        <w:t xml:space="preserve">“</w:t>
      </w:r>
      <w:r>
        <w:t xml:space="preserve">new language</w:t>
      </w:r>
      <w:r>
        <w:t xml:space="preserve">”</w:t>
      </w:r>
      <w:r>
        <w:t xml:space="preserve"> </w:t>
      </w:r>
      <w:r>
        <w:t xml:space="preserve">is a legitimate answer when the model differs, and that read-only sublanguages and full languages are recognized as different artifacts.</w:t>
      </w:r>
    </w:p>
    <w:p>
      <w:pPr>
        <w:pStyle w:val="BodyText"/>
      </w:pPr>
      <w:r>
        <w:t xml:space="preserve">The strongest opposing position is</w:t>
      </w:r>
      <w:r>
        <w:t xml:space="preserve"> </w:t>
      </w:r>
      <w:r>
        <w:t xml:space="preserve">“</w:t>
      </w:r>
      <w:r>
        <w:t xml:space="preserve">One SQL to Rule Them All,</w:t>
      </w:r>
      <w:r>
        <w:t xml:space="preserve">”</w:t>
      </w:r>
      <w:r>
        <w:t xml:space="preserve"> </w:t>
      </w:r>
      <w:r>
        <w:t xml:space="preserve">which argues that streaming needs only time-varying relations, event-time semantics and a small set of materialization keywords added to standard SQL. Section 6.10 concedes its query-semantics half and locates the disagreement precisely: SQL can be extended to say what to compute over streams; it cannot be extended to refuse programs that would lose money.</w:t>
      </w:r>
    </w:p>
    <w:bookmarkEnd w:id="194"/>
    <w:bookmarkStart w:id="195" w:name="X67f8e28df39774a4460842dded03b29e5411813"/>
    <w:p>
      <w:pPr>
        <w:pStyle w:val="Heading2"/>
      </w:pPr>
      <w:r>
        <w:t xml:space="preserve">10.6 The Log, Event Sourcing, and Stream-First Architectures</w:t>
      </w:r>
    </w:p>
    <w:p>
      <w:pPr>
        <w:pStyle w:val="FirstParagraph"/>
      </w:pPr>
      <w:r>
        <w:t xml:space="preserve">The log-centric school, event sourcing and CQRS, and the Lambda/Kappa debate are closest in spirit, and CQL is their academic ancestor, having defined relations as time-varying mappings with explicit operator classes bridging streams and relations two decades ago. The stream-table duality of the Kafka lineage states the same correspondence at the systems level.</w:t>
      </w:r>
    </w:p>
    <w:p>
      <w:pPr>
        <w:pStyle w:val="BodyText"/>
      </w:pPr>
      <w:r>
        <w:t xml:space="preserve">The delta is consistent throughout: the school provides patterns, this thesis provides semantics — exactly-once maintenance as a theorem rather than a configuration flag, per-view contracts rather than consumer-side hope, an impossibility frontier rather than sizing folklore, and a language in which the projections’ invariants are checked. It is worth noting how close the industrial practice already is: Flink and Kafka both achieve their exactly-once property by committing derived state and input position atomically, which is structurally identical to anchoring a read model to an epoch. The generalization this thesis offers is to make that anchor a first-class, queryable, per-answer value rather than an internal checkpoint.</w:t>
      </w:r>
    </w:p>
    <w:bookmarkEnd w:id="195"/>
    <w:bookmarkStart w:id="196" w:name="Xed61b726b467bf0b9b8284216a0c295613fb639"/>
    <w:p>
      <w:pPr>
        <w:pStyle w:val="Heading2"/>
      </w:pPr>
      <w:r>
        <w:t xml:space="preserve">10.7 Partial Materialization, Caching Theory, and Self-Tuning Systems</w:t>
      </w:r>
    </w:p>
    <w:p>
      <w:pPr>
        <w:pStyle w:val="FirstParagraph"/>
      </w:pPr>
      <w:r>
        <w:t xml:space="preserve">Three literatures bear on Contribution 5. Competitive analysis of paging supplies the classical bounds and their tightness; file caching extends them to heterogeneous size and retrieval cost, which is the correct shape for reconstruction of differing depth; rent-or-buy supplies the mode-selection skeleton with its 2-competitive deterministic and e/(e−1) randomized results; and the delayed-hits work supplies the correction that matters most here — when a fill takes time, hit rate is the wrong objective, and even the offline-optimal hit-rate policy is not latency-optimal.</w:t>
      </w:r>
    </w:p>
    <w:p>
      <w:pPr>
        <w:pStyle w:val="BodyText"/>
      </w:pPr>
      <w:r>
        <w:t xml:space="preserve">View and index selection supply the offline framing and its hardness, along with the (1 − 1/e) greedy guarantee whose</w:t>
      </w:r>
      <w:r>
        <w:t xml:space="preserve"> </w:t>
      </w:r>
      <w:r>
        <w:rPr>
          <w:iCs/>
          <w:i/>
        </w:rPr>
        <w:t xml:space="preserve">cost-model assumption</w:t>
      </w:r>
      <w:r>
        <w:t xml:space="preserve"> </w:t>
      </w:r>
      <w:r>
        <w:t xml:space="preserve">partial materialization violates — a violation this thesis reports as a negative result rather than eliding. Adaptive indexing supplies the principle that structure should be built in response to demand, and the cautionary datum that</w:t>
      </w:r>
      <w:r>
        <w:t xml:space="preserve"> </w:t>
      </w:r>
      <w:r>
        <w:rPr>
          <w:iCs/>
          <w:i/>
        </w:rPr>
        <w:t xml:space="preserve">how</w:t>
      </w:r>
      <w:r>
        <w:t xml:space="preserve"> </w:t>
      </w:r>
      <w:r>
        <w:t xml:space="preserve">it is built can move convergence by two orders of magnitude. Self-driving database work supplies the agenda of automated physical design.</w:t>
      </w:r>
    </w:p>
    <w:p>
      <w:pPr>
        <w:pStyle w:val="BodyText"/>
      </w:pPr>
      <w:r>
        <w:t xml:space="preserve">What none of them has is a consistency dimension. Cracking reorganizes physical storage and asks no question about visibility; view selection assumes the view, once chosen, is simply correct. The novelty of Contribution 5 is deciding materialization</w:t>
      </w:r>
      <w:r>
        <w:t xml:space="preserve"> </w:t>
      </w:r>
      <w:r>
        <w:rPr>
          <w:iCs/>
          <w:i/>
        </w:rPr>
        <w:t xml:space="preserve">under a declared consistency contract</w:t>
      </w:r>
      <w:r>
        <w:t xml:space="preserve">, where the same key range can be cheap on demand at one rung and unaffordable at another.</w:t>
      </w:r>
    </w:p>
    <w:bookmarkEnd w:id="196"/>
    <w:bookmarkStart w:id="197" w:name="X15a0d9cc7f176341746585864716ceb03780d58"/>
    <w:p>
      <w:pPr>
        <w:pStyle w:val="Heading2"/>
      </w:pPr>
      <w:r>
        <w:t xml:space="preserve">10.8 Provenance, Lineage, and Verifiable Structures</w:t>
      </w:r>
    </w:p>
    <w:p>
      <w:pPr>
        <w:pStyle w:val="FirstParagraph"/>
      </w:pPr>
      <w:r>
        <w:t xml:space="preserve">Semiring provenance supplies the algebra, the factorization theorem, and the specialization-by-homomorphism structure that makes lineage cheap here. ORCHESTRA is the most important prior art in this chapter, because it used exactly that formalism for exactly this purpose — incremental maintenance of derived state — and reported a measured break-even against full recomputation. Section 4.3 states the three differences (residency and consistency versus update volume; the consistency multiplier; reconstruction latency) rather than claiming novelty where there is none, and Corollary 4.1.2 is explicitly an inherited result.</w:t>
      </w:r>
    </w:p>
    <w:p>
      <w:pPr>
        <w:pStyle w:val="BodyText"/>
      </w:pPr>
      <w:r>
        <w:t xml:space="preserve">Streaming provenance work (operator instrumentation with eager and lazy modes) and interactive dataflow lineage supply the implementation techniques and the overhead reference point. On the verification side, certificate transparency supplies both the Merkle machinery and the exact language for what it guarantees — detection, not prevention — and Trillian’s log-backed map is the structural precedent for</w:t>
      </w:r>
      <w:r>
        <w:t xml:space="preserve"> </w:t>
      </w:r>
      <w:r>
        <w:t xml:space="preserve">“</w:t>
      </w:r>
      <w:r>
        <w:t xml:space="preserve">authoritative log plus derived state applied only from the log,</w:t>
      </w:r>
      <w:r>
        <w:t xml:space="preserve">”</w:t>
      </w:r>
      <w:r>
        <w:t xml:space="preserve"> </w:t>
      </w:r>
      <w:r>
        <w:t xml:space="preserve">which this thesis explicitly does not claim as novel. LambdaAuth is the precedent for making an auditability property a</w:t>
      </w:r>
      <w:r>
        <w:t xml:space="preserve"> </w:t>
      </w:r>
      <w:r>
        <w:rPr>
          <w:iCs/>
          <w:i/>
        </w:rPr>
        <w:t xml:space="preserve">typing</w:t>
      </w:r>
      <w:r>
        <w:t xml:space="preserve"> </w:t>
      </w:r>
      <w:r>
        <w:t xml:space="preserve">property, which is the closest analogue to Contribution 4’s move.</w:t>
      </w:r>
    </w:p>
    <w:bookmarkEnd w:id="197"/>
    <w:bookmarkStart w:id="198" w:name="htap-multi-model-and-one-size-fits-all"/>
    <w:p>
      <w:pPr>
        <w:pStyle w:val="Heading2"/>
      </w:pPr>
      <w:r>
        <w:t xml:space="preserve">10.9 HTAP, Multi-Model, and One Size Fits All</w:t>
      </w:r>
    </w:p>
    <w:p>
      <w:pPr>
        <w:pStyle w:val="FirstParagraph"/>
      </w:pPr>
      <w:r>
        <w:t xml:space="preserve">The dialectic runs from the argument that specialized engines would displace the general RDBMS, through the main-memory rebuttal and the HTAP literature it launched, to today’s multi-model systems. The HTAP architectures — dual row/column formats over one table, columnar replicas fed by a novel replication role, unified storage that hides the format from users, and the deliberately decoupled</w:t>
      </w:r>
      <w:r>
        <w:t xml:space="preserve"> </w:t>
      </w:r>
      <w:r>
        <w:t xml:space="preserve">“</w:t>
      </w:r>
      <w:r>
        <w:t xml:space="preserve">HTAP as a service</w:t>
      </w:r>
      <w:r>
        <w:t xml:space="preserve">”</w:t>
      </w:r>
      <w:r>
        <w:t xml:space="preserve"> </w:t>
      </w:r>
      <w:r>
        <w:t xml:space="preserve">position — are all answers to the question of how one system serves two access patterns over</w:t>
      </w:r>
      <w:r>
        <w:t xml:space="preserve"> </w:t>
      </w:r>
      <w:r>
        <w:rPr>
          <w:iCs/>
          <w:i/>
        </w:rPr>
        <w:t xml:space="preserve">mutable</w:t>
      </w:r>
      <w:r>
        <w:t xml:space="preserve"> </w:t>
      </w:r>
      <w:r>
        <w:t xml:space="preserve">state.</w:t>
      </w:r>
    </w:p>
    <w:p>
      <w:pPr>
        <w:pStyle w:val="BodyText"/>
      </w:pPr>
      <w:r>
        <w:t xml:space="preserve">This thesis’s position is that the question changes shape over an immutable base. Where an HTAP engine must synchronize two representations of the same mutable table, Nilestream maintains two REVs over the same immutable base, which is the same idea with a stronger correctness story and an additional partiality dimension. The multi-model precedents — binary decomposed document representation, path-indexed schema-agnostic indexing, time-series compression, immutable search segments with tombstones and merging — are adopted as</w:t>
      </w:r>
      <w:r>
        <w:t xml:space="preserve"> </w:t>
      </w:r>
      <w:r>
        <w:rPr>
          <w:iCs/>
          <w:i/>
        </w:rPr>
        <w:t xml:space="preserve">resident representations chosen by the optimizer</w:t>
      </w:r>
      <w:r>
        <w:t xml:space="preserve"> </w:t>
      </w:r>
      <w:r>
        <w:t xml:space="preserve">rather than as separate engines, which is what Theorem 4.5(a) licenses.</w:t>
      </w:r>
    </w:p>
    <w:bookmarkEnd w:id="198"/>
    <w:bookmarkStart w:id="199" w:name="X5ab4549c2bcce1249f375f33d59a6c2d4626a88"/>
    <w:p>
      <w:pPr>
        <w:pStyle w:val="Heading2"/>
      </w:pPr>
      <w:r>
        <w:t xml:space="preserve">10.10 Coordination Avoidance and Contended Records</w:t>
      </w:r>
    </w:p>
    <w:p>
      <w:pPr>
        <w:pStyle w:val="FirstParagraph"/>
      </w:pPr>
      <w:r>
        <w:t xml:space="preserve">Coordination-avoidance theory and the contended-record literature are treated as constraints rather than as competition, and they are what keep this thesis’s claims honest. I-confluence gives the necessary and sufficient condition for coordination-free invariant preservation and the classification that puts sum-equality on the cheap side and thresholds-under-decrement on the expensive side. Escrow, the demarcation protocol, phase reconciliation and sharded counters give four independent mechanisms that all respect the same boundary: blind, self-commuting, value-preserving operations split and scale; aggregate thresholds do not.</w:t>
      </w:r>
    </w:p>
    <w:p>
      <w:pPr>
        <w:pStyle w:val="BodyText"/>
      </w:pPr>
      <w:r>
        <w:t xml:space="preserve">This convergence is the strongest external support the thesis has for the shape of its architecture. Conservation — the invariant Corollary 4.1.1 protects — is exactly the cheap kind, which is why partial materialization can be aggressive without endangering money. No-overdraft is exactly the expensive kind, which is why authorization is confined to one path, at the top rung, with reservations that are themselves immutable ledger facts.</w:t>
      </w:r>
    </w:p>
    <w:bookmarkEnd w:id="199"/>
    <w:bookmarkStart w:id="200" w:name="Xbe1aeaed4cd81d2a52ad745c2081d03b810f573"/>
    <w:p>
      <w:pPr>
        <w:pStyle w:val="Heading2"/>
      </w:pPr>
      <w:r>
        <w:t xml:space="preserve">10.11 Verification Practice: What</w:t>
      </w:r>
      <w:r>
        <w:t xml:space="preserve"> </w:t>
      </w:r>
      <w:r>
        <w:t xml:space="preserve">“</w:t>
      </w:r>
      <w:r>
        <w:t xml:space="preserve">Tested</w:t>
      </w:r>
      <w:r>
        <w:t xml:space="preserve">”</w:t>
      </w:r>
      <w:r>
        <w:t xml:space="preserve"> </w:t>
      </w:r>
      <w:r>
        <w:t xml:space="preserve">and</w:t>
      </w:r>
      <w:r>
        <w:t xml:space="preserve"> </w:t>
      </w:r>
      <w:r>
        <w:t xml:space="preserve">“</w:t>
      </w:r>
      <w:r>
        <w:t xml:space="preserve">Verified</w:t>
      </w:r>
      <w:r>
        <w:t xml:space="preserve">”</w:t>
      </w:r>
      <w:r>
        <w:t xml:space="preserve"> </w:t>
      </w:r>
      <w:r>
        <w:t xml:space="preserve">Can Mean</w:t>
      </w:r>
    </w:p>
    <w:p>
      <w:pPr>
        <w:pStyle w:val="FirstParagraph"/>
      </w:pPr>
      <w:r>
        <w:t xml:space="preserve">Three literatures bear on how this thesis’s correctness claims should be worded, and each supplies a limit as well as a method.</w:t>
      </w:r>
    </w:p>
    <w:p>
      <w:pPr>
        <w:pStyle w:val="BodyText"/>
      </w:pPr>
      <w:r>
        <w:rPr>
          <w:bCs/>
          <w:b/>
        </w:rPr>
        <w:t xml:space="preserve">Black-box safety testing.</w:t>
      </w:r>
      <w:r>
        <w:t xml:space="preserve"> </w:t>
      </w:r>
      <w:r>
        <w:t xml:space="preserve">Jepsen’s own framing is the right epistemic anchor:</w:t>
      </w:r>
      <w:r>
        <w:t xml:space="preserve"> </w:t>
      </w:r>
      <w:r>
        <w:t xml:space="preserve">“</w:t>
      </w:r>
      <w:r>
        <w:t xml:space="preserve">we can prove the presence of bugs, but not their absence.</w:t>
      </w:r>
      <w:r>
        <w:t xml:space="preserve">”</w:t>
      </w:r>
      <w:r>
        <w:t xml:space="preserve"> </w:t>
      </w:r>
      <w:r>
        <w:t xml:space="preserve">Its bank test — simulate transfers, verify that reads always sum to the same total, optionally check non-negativity — is precisely this thesis’s conservation-of-money suite, arrived at independently. The result that matters most here is a negative one: in one published analysis, the bank tests</w:t>
      </w:r>
      <w:r>
        <w:t xml:space="preserve"> </w:t>
      </w:r>
      <w:r>
        <w:t xml:space="preserve">“</w:t>
      </w:r>
      <w:r>
        <w:t xml:space="preserve">passed consistently</w:t>
      </w:r>
      <w:r>
        <w:t xml:space="preserve">”</w:t>
      </w:r>
      <w:r>
        <w:t xml:space="preserve"> </w:t>
      </w:r>
      <w:r>
        <w:t xml:space="preserve">while a causal-reverse anomaly showed the system was serializable but not</w:t>
      </w:r>
      <w:r>
        <w:t xml:space="preserve"> </w:t>
      </w:r>
      <w:r>
        <w:rPr>
          <w:iCs/>
          <w:i/>
        </w:rPr>
        <w:t xml:space="preserve">strictly</w:t>
      </w:r>
      <w:r>
        <w:t xml:space="preserve"> </w:t>
      </w:r>
      <w:r>
        <w:t xml:space="preserve">serializable. That forbids presenting a conservation suite as evidence for the ladder’s top rung (§9.2.2), and it is the reason the correctness programme adds Elle, which infers an Adya-style dependency graph from client-observed histories and is sound in the sense that any anomaly it reports is present in every interpretation of the observation. Elle’s requirement — a</w:t>
      </w:r>
      <w:r>
        <w:t xml:space="preserve"> </w:t>
      </w:r>
      <w:r>
        <w:rPr>
          <w:iCs/>
          <w:i/>
        </w:rPr>
        <w:t xml:space="preserve">traceable</w:t>
      </w:r>
      <w:r>
        <w:t xml:space="preserve"> </w:t>
      </w:r>
      <w:r>
        <w:t xml:space="preserve">data model whose version history can be recovered by reading — is satisfied by construction here, which is a genuine argument for an append-only base and one this thesis had not previously made.</w:t>
      </w:r>
    </w:p>
    <w:p>
      <w:pPr>
        <w:pStyle w:val="BodyText"/>
      </w:pPr>
      <w:r>
        <w:rPr>
          <w:bCs/>
          <w:b/>
        </w:rPr>
        <w:t xml:space="preserve">Formal specification of shipped systems.</w:t>
      </w:r>
      <w:r>
        <w:t xml:space="preserve"> </w:t>
      </w:r>
      <w:r>
        <w:t xml:space="preserve">Formal methods have found defects in production storage systems that testing did not: a model checker found a data-loss bug in a commercial key-value store whose shortest counterexample ran to 35 high-level steps, and a TLA+ specification of a commercial database’s five advertised consistency levels found that two of them were indistinguishable to a client and that its bounded-staleness rung was subject to no bound at all under strongly-consistent writes. The second is both a methodological template for Chapter 3’s ladder-as-predicates and a warning that a ladder can be advertised with more rungs than it has. The limit, which the same literature states plainly, is that these results are about</w:t>
      </w:r>
      <w:r>
        <w:t xml:space="preserve"> </w:t>
      </w:r>
      <w:r>
        <w:rPr>
          <w:iCs/>
          <w:i/>
        </w:rPr>
        <w:t xml:space="preserve">designs</w:t>
      </w:r>
      <w:r>
        <w:t xml:space="preserve">: they do not establish that an implementation refines its specification.</w:t>
      </w:r>
    </w:p>
    <w:p>
      <w:pPr>
        <w:pStyle w:val="BodyText"/>
      </w:pPr>
      <w:r>
        <w:rPr>
          <w:bCs/>
          <w:b/>
        </w:rPr>
        <w:t xml:space="preserve">Benchmarking discipline.</w:t>
      </w:r>
      <w:r>
        <w:t xml:space="preserve"> </w:t>
      </w:r>
      <w:r>
        <w:t xml:space="preserve">The named benchmarking errors — pretending microbenchmarks represent system performance, evaluating only against oneself, omitting the platform specification, reporting relative numbers only — are the checklist Chapter 9 is written against, and §9.1.1 answers them explicitly rather than implicitly. The statistical companion is equally pointed: a survey of fifty systems papers found that a third specified no evaluation methodology at all and that only four reported confidence intervals. This thesis reports medians with ranges over five fixed seeds, separates warm from cold paths rather than blending them, and states which of the three memory layers any figure refers to.</w:t>
      </w:r>
    </w:p>
    <w:p>
      <w:pPr>
        <w:pStyle w:val="BodyText"/>
      </w:pPr>
      <w:r>
        <w:rPr>
          <w:bCs/>
          <w:b/>
        </w:rPr>
        <w:t xml:space="preserve">ReadySet</w:t>
      </w:r>
      <w:r>
        <w:t xml:space="preserve">, the production descendant of the partial-state work, deserves a note here rather than in §10.3, because what is publicly documented about it is instructive by omission. Its engineering material describes the mechanism this thesis builds on — a dataflow graph in which</w:t>
      </w:r>
      <w:r>
        <w:t xml:space="preserve"> </w:t>
      </w:r>
      <w:r>
        <w:t xml:space="preserve">“</w:t>
      </w:r>
      <w:r>
        <w:t xml:space="preserve">only the affected nodes are recomputed</w:t>
      </w:r>
      <w:r>
        <w:t xml:space="preserve">”</w:t>
      </w:r>
      <w:r>
        <w:t xml:space="preserve">, upqueries that recompute from base tables on a miss, and eviction under memory pressure with reload via upquery — but its public documentation contains</w:t>
      </w:r>
      <w:r>
        <w:t xml:space="preserve"> </w:t>
      </w:r>
      <w:r>
        <w:rPr>
          <w:bCs/>
          <w:b/>
        </w:rPr>
        <w:t xml:space="preserve">no formal consistency-model statement</w:t>
      </w:r>
      <w:r>
        <w:t xml:space="preserve">: no staleness bound, no read-your-writes guarantee, no defined behaviour under replication lag, and a freshness claim stated as</w:t>
      </w:r>
      <w:r>
        <w:t xml:space="preserve"> </w:t>
      </w:r>
      <w:r>
        <w:t xml:space="preserve">“</w:t>
      </w:r>
      <w:r>
        <w:t xml:space="preserve">typically within a few milliseconds</w:t>
      </w:r>
      <w:r>
        <w:t xml:space="preserve">”</w:t>
      </w:r>
      <w:r>
        <w:t xml:space="preserve"> </w:t>
      </w:r>
      <w:r>
        <w:t xml:space="preserve">rather than as a guarantee. That is not a criticism of the product, which is a cache and says so; it is evidence that the gap this thesis addresses — partial materialization</w:t>
      </w:r>
      <w:r>
        <w:t xml:space="preserve"> </w:t>
      </w:r>
      <w:r>
        <w:rPr>
          <w:iCs/>
          <w:i/>
        </w:rPr>
        <w:t xml:space="preserve">with</w:t>
      </w:r>
      <w:r>
        <w:t xml:space="preserve"> </w:t>
      </w:r>
      <w:r>
        <w:t xml:space="preserve">a stated contract — remains open in practice as well as in the literature.</w:t>
      </w:r>
    </w:p>
    <w:bookmarkEnd w:id="200"/>
    <w:bookmarkStart w:id="201" w:name="synthesis-and-gap"/>
    <w:p>
      <w:pPr>
        <w:pStyle w:val="Heading2"/>
      </w:pPr>
      <w:r>
        <w:t xml:space="preserve">10.12 Synthesis and Gap</w:t>
      </w:r>
    </w:p>
    <w:p>
      <w:pPr>
        <w:pStyle w:val="FirstParagraph"/>
      </w:pPr>
      <w:r>
        <w:t xml:space="preserve">Assembled, the families cover every ingredient and no combination. Strictly serializable ordered writes exist without read-side economics. Incremental view maintenance exists without partiality, or without authority over the base. Partial state exists without consistency, versions, or invariants. Ledgers exist without generality or language, though the best of them have converged on the right primitives. Provenance-guided incremental maintenance exists without a consistency dimension. Caching and self-tuning theory exists without any notion of a correctness contract. Language rigor exists without a database semantics to be sound for. And the log-plus-derived-state architecture exists, in production, at scale, for two decades — without a proof.</w:t>
      </w:r>
    </w:p>
    <w:p>
      <w:pPr>
        <w:pStyle w:val="BodyText"/>
      </w:pPr>
      <w:r>
        <w:t xml:space="preserve">The gap this thesis fills is the intersection: one semantic object, the REV, that makes the combination coherent; six results that make it trustworthy, priced, bounded, decidable, checkable and general; and one language and engine that make it usable and falsifiable. To the author’s knowledge, no prior work states or proves reconstruction-exactness under eviction over an authoritative epoch-ordered base, prices consistency rungs under partial materialization, decides materialization mode under a consistency contract with competitive guarantees, or types conservation of value into a general-purpose query language with a proved expressiveness result.</w:t>
      </w:r>
    </w:p>
    <w:bookmarkEnd w:id="201"/>
    <w:bookmarkEnd w:id="202"/>
    <w:bookmarkStart w:id="215" w:name="discussion"/>
    <w:p>
      <w:pPr>
        <w:pStyle w:val="Heading1"/>
      </w:pPr>
      <w:r>
        <w:t xml:space="preserve">11. Discussion</w:t>
      </w:r>
    </w:p>
    <w:bookmarkStart w:id="203" w:name="when-is-niles-not-the-answer"/>
    <w:p>
      <w:pPr>
        <w:pStyle w:val="Heading2"/>
      </w:pPr>
      <w:r>
        <w:t xml:space="preserve">11.1 When Is Niles Not the Answer</w:t>
      </w:r>
    </w:p>
    <w:p>
      <w:pPr>
        <w:pStyle w:val="FirstParagraph"/>
      </w:pPr>
      <w:r>
        <w:t xml:space="preserve">A theory is trusted in proportion to the honesty of its boundary claims. This design is the wrong choice in at least seven situations, and the phase diagram makes the first of them quantitative.</w:t>
      </w:r>
    </w:p>
    <w:p>
      <w:pPr>
        <w:pStyle w:val="BodyText"/>
      </w:pPr>
      <w:r>
        <w:rPr>
          <w:bCs/>
          <w:b/>
        </w:rPr>
        <w:t xml:space="preserve">Beyond the frontier.</w:t>
      </w:r>
      <w:r>
        <w:t xml:space="preserve"> </w:t>
      </w:r>
      <w:r>
        <w:t xml:space="preserve">Flat access distributions combined with strict-serializability demands everywhere. Theorem 4.2 says partiality buys nothing there, and a conventional fully materialized engine with a simpler operational story wins. This is not a hypothetical corner: the CacheLib measurements report production workloads at α ≈ 0.55–0.7, and a bank whose derived-read access resembles those rather than Twitter’s caches should expect to sit near or beyond the frontier for its strict views.</w:t>
      </w:r>
    </w:p>
    <w:p>
      <w:pPr>
        <w:pStyle w:val="BodyText"/>
      </w:pPr>
      <w:r>
        <w:rPr>
          <w:bCs/>
          <w:b/>
        </w:rPr>
        <w:t xml:space="preserve">Where history is a liability.</w:t>
      </w:r>
      <w:r>
        <w:t xml:space="preserve"> </w:t>
      </w:r>
      <w:r>
        <w:t xml:space="preserve">Domains with legal erasure obligations over primary facts fight a never-partial base. Crypto-shredding is the only offered mitigation, and the most authoritative regulatory treatment of it says it moves</w:t>
      </w:r>
      <w:r>
        <w:t xml:space="preserve"> </w:t>
      </w:r>
      <w:r>
        <w:t xml:space="preserve">“</w:t>
      </w:r>
      <w:r>
        <w:t xml:space="preserve">closer to the effects of data erasure</w:t>
      </w:r>
      <w:r>
        <w:t xml:space="preserve">”</w:t>
      </w:r>
      <w:r>
        <w:t xml:space="preserve"> </w:t>
      </w:r>
      <w:r>
        <w:t xml:space="preserve">— deliberately declining to say it satisfies the right. Where a regulator rejects that, so must this design. The honest position is that immutability and erasure are in genuine tension and this architecture chooses immutability.</w:t>
      </w:r>
    </w:p>
    <w:p>
      <w:pPr>
        <w:pStyle w:val="BodyText"/>
      </w:pPr>
      <w:r>
        <w:rPr>
          <w:bCs/>
          <w:b/>
        </w:rPr>
        <w:t xml:space="preserve">Scan-dominant analytics.</w:t>
      </w:r>
      <w:r>
        <w:t xml:space="preserve"> </w:t>
      </w:r>
      <w:r>
        <w:t xml:space="preserve">Ad hoc, scan-heavy analysis over cold history is served better by a columnar warehouse. Nilestream’s cold tier can feed one, and its REVs can be column-shaped, but pretending to be a warehouse would betray the design centre.</w:t>
      </w:r>
    </w:p>
    <w:p>
      <w:pPr>
        <w:pStyle w:val="BodyText"/>
      </w:pPr>
      <w:r>
        <w:rPr>
          <w:bCs/>
          <w:b/>
        </w:rPr>
        <w:t xml:space="preserve">Ultra-low-latency writes.</w:t>
      </w:r>
      <w:r>
        <w:t xml:space="preserve"> </w:t>
      </w:r>
      <w:r>
        <w:t xml:space="preserve">The epoch quantum places a floor on commit visibility latency. Tick-level trading systems will refuse it, and should.</w:t>
      </w:r>
    </w:p>
    <w:p>
      <w:pPr>
        <w:pStyle w:val="BodyText"/>
      </w:pPr>
      <w:r>
        <w:rPr>
          <w:bCs/>
          <w:b/>
        </w:rPr>
        <w:t xml:space="preserve">Adversarial or multi-operator trust.</w:t>
      </w:r>
      <w:r>
        <w:t xml:space="preserve"> </w:t>
      </w:r>
      <w:r>
        <w:t xml:space="preserve">The hash chain provides evidence to a party who retained a digest and checks it. Where participants do not trust the operator, the correct answer is a Byzantine-tolerant design, which this thesis scopes out.</w:t>
      </w:r>
    </w:p>
    <w:p>
      <w:pPr>
        <w:pStyle w:val="BodyText"/>
      </w:pPr>
      <w:r>
        <w:rPr>
          <w:bCs/>
          <w:b/>
        </w:rPr>
        <w:t xml:space="preserve">Small or invariant-free applications.</w:t>
      </w:r>
      <w:r>
        <w:t xml:space="preserve"> </w:t>
      </w:r>
      <w:r>
        <w:t xml:space="preserve">Where there is no money, no audit obligation and no read-model explosion, the payoff from invariant typing is small and the cost of a new language is not. SQL on a conventional engine remains the rational default, and the SQL surface here softens but does not eliminate the adoption cost.</w:t>
      </w:r>
    </w:p>
    <w:p>
      <w:pPr>
        <w:pStyle w:val="BodyText"/>
      </w:pPr>
      <w:r>
        <w:rPr>
          <w:bCs/>
          <w:b/>
        </w:rPr>
        <w:t xml:space="preserve">High-contention thresholds at extreme scale.</w:t>
      </w:r>
      <w:r>
        <w:t xml:space="preserve"> </w:t>
      </w:r>
      <w:r>
        <w:t xml:space="preserve">Proposition 3.2 is a constraint, not a design flaw to be engineered away: authorization against a floor cannot be made coordination-free. Where the authorization rate on a single account exceeds what a coordinated path can serve even with splitting, the answer is a business-level change — pre-funded sub-accounts, netting windows — not a systems trick, and the thesis says so rather than implying otherwise.</w:t>
      </w:r>
    </w:p>
    <w:bookmarkEnd w:id="203"/>
    <w:bookmarkStart w:id="204" w:name="risks-and-mitigations"/>
    <w:p>
      <w:pPr>
        <w:pStyle w:val="Heading2"/>
      </w:pPr>
      <w:r>
        <w:t xml:space="preserve">11.2 Risks and Mitigations</w:t>
      </w:r>
    </w:p>
    <w:p>
      <w:pPr>
        <w:pStyle w:val="FirstParagraph"/>
      </w:pPr>
      <w:r>
        <w:rPr>
          <w:bCs/>
          <w:b/>
        </w:rPr>
        <w:t xml:space="preserve">Theory-model gap.</w:t>
      </w:r>
      <w:r>
        <w:t xml:space="preserve"> </w:t>
      </w:r>
      <w:r>
        <w:t xml:space="preserve">The proofs idealize the engine. Mitigated by the differential oracle, fault campaigns, and the assumption ledger of Section 3.15; residual risk acknowledged, with mechanization named as the remedy this thesis does not deliver.</w:t>
      </w:r>
    </w:p>
    <w:p>
      <w:pPr>
        <w:pStyle w:val="BodyText"/>
      </w:pPr>
      <w:r>
        <w:rPr>
          <w:bCs/>
          <w:b/>
        </w:rPr>
        <w:t xml:space="preserve">Single-project engineering scale.</w:t>
      </w:r>
      <w:r>
        <w:t xml:space="preserve"> </w:t>
      </w:r>
      <w:r>
        <w:t xml:space="preserve">A from-scratch DBMS, language and compiler is a very large surface. The position has improved and the risk has not gone away: a stage-0 compiler, a typed IR with a verifier, a REV runtime and a durable concurrent write path are built and tested, and the loop from source text to measured result is closed — but distribution, consensus, the wire protocols and the self-hosted back end are untouched, and Appendix E.0 now says so in the appendix that describes them. Mitigated by the spine discipline, by kill-criteria phasing that halts cheaply if premises fail, by aggressive reuse at commodity boundaries, and by scoping the self-hosted back-end as a bounded artifact with a published gap rather than an attempt to compete with a mature optimizer. The most likely failure mode of this project is not a wrong theorem but an unfinished instrument, and the phase structure exists to make that failure informative rather than total.</w:t>
      </w:r>
    </w:p>
    <w:p>
      <w:pPr>
        <w:pStyle w:val="BodyText"/>
      </w:pPr>
      <w:r>
        <w:rPr>
          <w:bCs/>
          <w:b/>
        </w:rPr>
        <w:t xml:space="preserve">Benchmark realism.</w:t>
      </w:r>
      <w:r>
        <w:t xml:space="preserve"> </w:t>
      </w:r>
      <w:r>
        <w:t xml:space="preserve">Synthetic workloads with published assumptions and swept parameters; industrial-trace partnership named as the remedy in Chapter 12. This is the threat a committee should press hardest, and the pre-registration mechanism is the only real defence.</w:t>
      </w:r>
    </w:p>
    <w:p>
      <w:pPr>
        <w:pStyle w:val="BodyText"/>
      </w:pPr>
      <w:r>
        <w:rPr>
          <w:bCs/>
          <w:b/>
        </w:rPr>
        <w:t xml:space="preserve">Premise risk on skew.</w:t>
      </w:r>
      <w:r>
        <w:t xml:space="preserve"> </w:t>
      </w:r>
      <w:r>
        <w:t xml:space="preserve">The literature disagrees about how skewed production access is, and the flat end of that range is unfavourable. Treated as a first-class design input: the optimizer exists precisely because the right materialization decision cannot be assumed, and S1’s protocol reports the regimes separately rather than averaging them.</w:t>
      </w:r>
    </w:p>
    <w:p>
      <w:pPr>
        <w:pStyle w:val="BodyText"/>
      </w:pPr>
      <w:r>
        <w:rPr>
          <w:bCs/>
          <w:b/>
        </w:rPr>
        <w:t xml:space="preserve">Cryptographic and standards agility.</w:t>
      </w:r>
      <w:r>
        <w:t xml:space="preserve"> </w:t>
      </w:r>
      <w:r>
        <w:t xml:space="preserve">Commitment schemes, hash functions and currency data all age. Mitigated by algorithm identifiers in segment headers, rotation as an audited ledger event, and per-currency scale carried in the type rather than assumed.</w:t>
      </w:r>
    </w:p>
    <w:p>
      <w:pPr>
        <w:pStyle w:val="BodyText"/>
      </w:pPr>
      <w:r>
        <w:rPr>
          <w:bCs/>
          <w:b/>
        </w:rPr>
        <w:t xml:space="preserve">Misplaced emphasis between the two artifacts.</w:t>
      </w:r>
      <w:r>
        <w:t xml:space="preserve"> </w:t>
      </w:r>
      <w:r>
        <w:t xml:space="preserve">E14 establishes that the language case is</w:t>
      </w:r>
      <w:r>
        <w:t xml:space="preserve"> </w:t>
      </w:r>
      <w:r>
        <w:t xml:space="preserve">stronger than the engine case, and this document is weighted the other way: Nilestream</w:t>
      </w:r>
      <w:r>
        <w:t xml:space="preserve"> </w:t>
      </w:r>
      <w:r>
        <w:t xml:space="preserve">occupies substantially more of it than Niles does. That is a defect in the thesis rather</w:t>
      </w:r>
      <w:r>
        <w:t xml:space="preserve"> </w:t>
      </w:r>
      <w:r>
        <w:t xml:space="preserve">than in the work, and the honest mitigation is not to argue the engine up but to rebalance</w:t>
      </w:r>
      <w:r>
        <w:t xml:space="preserve"> </w:t>
      </w:r>
      <w:r>
        <w:t xml:space="preserve">the writing — §12 records it. A committee is entitled to ask why an argument whose evidence</w:t>
      </w:r>
      <w:r>
        <w:t xml:space="preserve"> </w:t>
      </w:r>
      <w:r>
        <w:t xml:space="preserve">favours the compiler spends most of its pages on the database, and the answer is historical</w:t>
      </w:r>
      <w:r>
        <w:t xml:space="preserve"> </w:t>
      </w:r>
      <w:r>
        <w:t xml:space="preserve">(the engine was built first) rather than principled.</w:t>
      </w:r>
    </w:p>
    <w:p>
      <w:pPr>
        <w:pStyle w:val="BodyText"/>
      </w:pPr>
      <w:r>
        <w:rPr>
          <w:bCs/>
          <w:b/>
        </w:rPr>
        <w:t xml:space="preserve">Seductive generality.</w:t>
      </w:r>
      <w:r>
        <w:t xml:space="preserve"> </w:t>
      </w:r>
      <w:r>
        <w:t xml:space="preserve">The temptation to grow Niles into an application language. Mitigated by holding the scope tiers of Section 6.12 as normative and by treating any proposal to add ambient I/O, wall-clock reads or unguarded recursion as a change to the thesis’s claims rather than a feature.</w:t>
      </w:r>
    </w:p>
    <w:p>
      <w:pPr>
        <w:pStyle w:val="BodyText"/>
      </w:pPr>
      <w:r>
        <w:rPr>
          <w:bCs/>
          <w:b/>
        </w:rPr>
        <w:t xml:space="preserve">Optimizer opacity.</w:t>
      </w:r>
      <w:r>
        <w:t xml:space="preserve"> </w:t>
      </w:r>
      <w:r>
        <w:t xml:space="preserve">An adaptive component that changes behaviour under load is operationally frightening if it cannot be interrogated. Mitigated by Theorem 4.5(a) — mode changes cannot change answers — and by logging every transition with the estimates that caused it.</w:t>
      </w:r>
    </w:p>
    <w:bookmarkEnd w:id="204"/>
    <w:bookmarkStart w:id="205" w:name="X88ab42efbde4e3ce37de2479b868860998a0f4e"/>
    <w:p>
      <w:pPr>
        <w:pStyle w:val="Heading2"/>
      </w:pPr>
      <w:r>
        <w:t xml:space="preserve">11.3 What Would Change My Mind — and What Already Did</w:t>
      </w:r>
    </w:p>
    <w:p>
      <w:pPr>
        <w:pStyle w:val="FirstParagraph"/>
      </w:pPr>
      <w:r>
        <w:t xml:space="preserve">Stated explicitly, because a thesis that cannot name its own refutation is not falsifiable in practice however carefully it words its hypotheses. This section is now in two halves, because three of these conditions have been tested and two of them fired.</w:t>
      </w:r>
    </w:p>
    <w:p>
      <w:pPr>
        <w:pStyle w:val="BodyText"/>
      </w:pPr>
      <w:r>
        <w:rPr>
          <w:bCs/>
          <w:b/>
        </w:rPr>
        <w:t xml:space="preserve">Already changed (measured, Chapter 9).</w:t>
      </w:r>
    </w:p>
    <w:p>
      <w:pPr>
        <w:numPr>
          <w:ilvl w:val="0"/>
          <w:numId w:val="1021"/>
        </w:numPr>
        <w:pStyle w:val="Compact"/>
      </w:pPr>
      <w:r>
        <w:rPr>
          <w:iCs/>
          <w:i/>
        </w:rPr>
        <w:t xml:space="preserve">“</w:t>
      </w:r>
      <w:r>
        <w:rPr>
          <w:iCs/>
          <w:i/>
        </w:rPr>
        <w:t xml:space="preserve">Partiality’s advantage grows with skew.</w:t>
      </w:r>
      <w:r>
        <w:rPr>
          <w:iCs/>
          <w:i/>
        </w:rPr>
        <w:t xml:space="preserve">”</w:t>
      </w:r>
      <w:r>
        <w:t xml:space="preserve"> </w:t>
      </w:r>
      <w:r>
        <w:rPr>
          <w:bCs/>
          <w:b/>
        </w:rPr>
        <w:t xml:space="preserve">Refuted.</w:t>
      </w:r>
      <w:r>
        <w:t xml:space="preserve"> </w:t>
      </w:r>
      <w:r>
        <w:t xml:space="preserve">Full materialization’s own footprint shrinks with skew faster than partial’s does, so the memory ratio moves against partiality as skew rises (measured 12:1 at</w:t>
      </w:r>
      <w:r>
        <w:t xml:space="preserve"> </w:t>
      </w:r>
      <w:r>
        <w:rPr>
          <w:iCs/>
          <w:i/>
        </w:rPr>
        <w:t xml:space="preserve">s</w:t>
      </w:r>
      <w:r>
        <w:t xml:space="preserve"> </w:t>
      </w:r>
      <w:r>
        <w:t xml:space="preserve">= 0.5 → 2.7:1 at</w:t>
      </w:r>
      <w:r>
        <w:t xml:space="preserve"> </w:t>
      </w:r>
      <w:r>
        <w:rPr>
          <w:iCs/>
          <w:i/>
        </w:rPr>
        <w:t xml:space="preserve">s</w:t>
      </w:r>
      <w:r>
        <w:t xml:space="preserve"> </w:t>
      </w:r>
      <w:r>
        <w:t xml:space="preserve">= 1.3). The claim is replaced by a memory-price condition with an interior optimum (§9.3.4, Appendix J.9).</w:t>
      </w:r>
    </w:p>
    <w:p>
      <w:pPr>
        <w:numPr>
          <w:ilvl w:val="0"/>
          <w:numId w:val="1021"/>
        </w:numPr>
        <w:pStyle w:val="Compact"/>
      </w:pPr>
      <w:r>
        <w:rPr>
          <w:iCs/>
          <w:i/>
        </w:rPr>
        <w:t xml:space="preserve">“</w:t>
      </w:r>
      <w:r>
        <w:rPr>
          <w:iCs/>
          <w:i/>
        </w:rPr>
        <w:t xml:space="preserve">Per-key anchor indices make reconstruction cost history-independent.</w:t>
      </w:r>
      <w:r>
        <w:rPr>
          <w:iCs/>
          <w:i/>
        </w:rPr>
        <w:t xml:space="preserve">”</w:t>
      </w:r>
      <w:r>
        <w:t xml:space="preserve"> </w:t>
      </w:r>
      <w:r>
        <w:rPr>
          <w:bCs/>
          <w:b/>
        </w:rPr>
        <w:t xml:space="preserve">Refuted twice</w:t>
      </w:r>
      <w:r>
        <w:t xml:space="preserve"> </w:t>
      </w:r>
      <w:r>
        <w:t xml:space="preserve">— once with a fixed key space and once with the key space grown in proportion — and then</w:t>
      </w:r>
      <w:r>
        <w:t xml:space="preserve"> </w:t>
      </w:r>
      <w:r>
        <w:rPr>
          <w:bCs/>
          <w:b/>
        </w:rPr>
        <w:t xml:space="preserve">restored</w:t>
      </w:r>
      <w:r>
        <w:t xml:space="preserve"> </w:t>
      </w:r>
      <w:r>
        <w:t xml:space="preserve">by a mechanism the design did not have: per-key checkpointing, which held cost flat at ≈ 8.5 base rows across a 64× increase in history (§9.4.1). This produced SC7 and is the clearest case in the thesis of an experiment changing the theory.</w:t>
      </w:r>
    </w:p>
    <w:p>
      <w:pPr>
        <w:numPr>
          <w:ilvl w:val="0"/>
          <w:numId w:val="1021"/>
        </w:numPr>
        <w:pStyle w:val="Compact"/>
      </w:pPr>
      <w:r>
        <w:rPr>
          <w:iCs/>
          <w:i/>
        </w:rPr>
        <w:t xml:space="preserve">“</w:t>
      </w:r>
      <w:r>
        <w:rPr>
          <w:iCs/>
          <w:i/>
        </w:rPr>
        <w:t xml:space="preserve">The prototype can speak to hot-account contention.</w:t>
      </w:r>
      <w:r>
        <w:rPr>
          <w:iCs/>
          <w:i/>
        </w:rPr>
        <w:t xml:space="preserve">”</w:t>
      </w:r>
      <w:r>
        <w:t xml:space="preserve"> </w:t>
      </w:r>
      <w:r>
        <w:rPr>
          <w:bCs/>
          <w:b/>
        </w:rPr>
        <w:t xml:space="preserve">Refuted as a matter of instrument</w:t>
      </w:r>
      <w:r>
        <w:t xml:space="preserve">: single-threaded execution cannot exhibit contention, so the flat hot-share result is a non-result and is reported as one (§9.4.4).</w:t>
      </w:r>
    </w:p>
    <w:p>
      <w:pPr>
        <w:numPr>
          <w:ilvl w:val="0"/>
          <w:numId w:val="1021"/>
        </w:numPr>
        <w:pStyle w:val="Compact"/>
      </w:pPr>
      <w:r>
        <w:rPr>
          <w:iCs/>
          <w:i/>
        </w:rPr>
        <w:t xml:space="preserve">“</w:t>
      </w:r>
      <w:r>
        <w:rPr>
          <w:iCs/>
          <w:i/>
        </w:rPr>
        <w:t xml:space="preserve">A single-sealer write path is the throughput ceiling.</w:t>
      </w:r>
      <w:r>
        <w:rPr>
          <w:iCs/>
          <w:i/>
        </w:rPr>
        <w:t xml:space="preserve">”</w:t>
      </w:r>
      <w:r>
        <w:t xml:space="preserve"> </w:t>
      </w:r>
      <w:r>
        <w:rPr>
          <w:bCs/>
          <w:b/>
        </w:rPr>
        <w:t xml:space="preserve">Refuted, and in the useful direction.</w:t>
      </w:r>
      <w:r>
        <w:t xml:space="preserve"> </w:t>
      </w:r>
      <w:r>
        <w:t xml:space="preserve">The measured cost of durability</w:t>
      </w:r>
      <w:r>
        <w:t xml:space="preserve"> </w:t>
      </w:r>
      <w:r>
        <w:rPr>
          <w:iCs/>
          <w:i/>
        </w:rPr>
        <w:t xml:space="preserve">falls</w:t>
      </w:r>
      <w:r>
        <w:t xml:space="preserve"> </w:t>
      </w:r>
      <w:r>
        <w:t xml:space="preserve">as concurrency rises — 5.7× at one thread, 4.8× at sixteen — because an</w:t>
      </w:r>
      <w:r>
        <w:t xml:space="preserve"> </w:t>
      </w:r>
      <w:r>
        <w:rPr>
          <w:rStyle w:val="VerbatimChar"/>
        </w:rPr>
        <w:t xml:space="preserve">fsync</w:t>
      </w:r>
      <w:r>
        <w:t xml:space="preserve"> </w:t>
      </w:r>
      <w:r>
        <w:t xml:space="preserve">costs the same whether it commits one transaction or five hundred, and the sealer batches. Transactions per fsync rise 1.0 → 8.8 (§9.13.3). This was a design worry, not a stated claim, which is why it appears here rather than in Chapter 4; it is recorded because it was the objection the design was most likely to fail on.</w:t>
      </w:r>
    </w:p>
    <w:p>
      <w:pPr>
        <w:numPr>
          <w:ilvl w:val="0"/>
          <w:numId w:val="1021"/>
        </w:numPr>
        <w:pStyle w:val="Compact"/>
      </w:pPr>
      <w:r>
        <w:rPr>
          <w:iCs/>
          <w:i/>
        </w:rPr>
        <w:t xml:space="preserve">“</w:t>
      </w:r>
      <w:r>
        <w:rPr>
          <w:iCs/>
          <w:i/>
        </w:rPr>
        <w:t xml:space="preserve">Reconstructible epoch-anchored views need a new engine.</w:t>
      </w:r>
      <w:r>
        <w:rPr>
          <w:iCs/>
          <w:i/>
        </w:rPr>
        <w:t xml:space="preserve">”</w:t>
      </w:r>
      <w:r>
        <w:t xml:space="preserve"> </w:t>
      </w:r>
      <w:r>
        <w:rPr>
          <w:bCs/>
          <w:b/>
        </w:rPr>
        <w:t xml:space="preserve">Refuted.</w:t>
      </w:r>
      <w:r>
        <w:t xml:space="preserve"> </w:t>
      </w:r>
      <w:r>
        <w:t xml:space="preserve">The whole</w:t>
      </w:r>
      <w:r>
        <w:t xml:space="preserve"> </w:t>
      </w:r>
      <w:r>
        <w:t xml:space="preserve">mechanism — partial materialization, honest absence, anchored reconstruction, per-key</w:t>
      </w:r>
      <w:r>
        <w:t xml:space="preserve"> </w:t>
      </w:r>
      <w:r>
        <w:t xml:space="preserve">checkpoints, delta-proportional maintenance — runs in stock PostgreSQL 16 with zero</w:t>
      </w:r>
      <w:r>
        <w:t xml:space="preserve"> </w:t>
      </w:r>
      <w:r>
        <w:t xml:space="preserve">divergences under eviction and the right asymptotics (§6.10.3, E14). This is the finding</w:t>
      </w:r>
      <w:r>
        <w:t xml:space="preserve"> </w:t>
      </w:r>
      <w:r>
        <w:t xml:space="preserve">that most damages this thesis’s own emphasis, and it stands: the engine contribution is</w:t>
      </w:r>
      <w:r>
        <w:t xml:space="preserve"> </w:t>
      </w:r>
      <w:r>
        <w:t xml:space="preserve">cumulative rather than enabling, and Nilestream is justified as the instrument that makes</w:t>
      </w:r>
      <w:r>
        <w:t xml:space="preserve"> </w:t>
      </w:r>
      <w:r>
        <w:t xml:space="preserve">the theory testable rather than as a capability nothing else could provide.</w:t>
      </w:r>
    </w:p>
    <w:p>
      <w:pPr>
        <w:numPr>
          <w:ilvl w:val="0"/>
          <w:numId w:val="1021"/>
        </w:numPr>
        <w:pStyle w:val="Compact"/>
      </w:pPr>
      <w:r>
        <w:rPr>
          <w:iCs/>
          <w:i/>
        </w:rPr>
        <w:t xml:space="preserve">“</w:t>
      </w:r>
      <w:r>
        <w:rPr>
          <w:iCs/>
          <w:i/>
        </w:rPr>
        <w:t xml:space="preserve">The currency-row solver was sound.</w:t>
      </w:r>
      <w:r>
        <w:rPr>
          <w:iCs/>
          <w:i/>
        </w:rPr>
        <w:t xml:space="preserve">”</w:t>
      </w:r>
      <w:r>
        <w:t xml:space="preserve"> </w:t>
      </w:r>
      <w:r>
        <w:rPr>
          <w:bCs/>
          <w:b/>
        </w:rPr>
        <w:t xml:space="preserve">Refuted, twice, by reading it against the</w:t>
      </w:r>
      <w:r>
        <w:rPr>
          <w:bCs/>
          <w:b/>
        </w:rPr>
        <w:t xml:space="preserve"> </w:t>
      </w:r>
      <w:r>
        <w:rPr>
          <w:bCs/>
          <w:b/>
        </w:rPr>
        <w:t xml:space="preserve">literature.</w:t>
      </w:r>
      <w:r>
        <w:t xml:space="preserve"> </w:t>
      </w:r>
      <w:r>
        <w:t xml:space="preserve">It had no control-flow join, so it analysed a program in which both arms of</w:t>
      </w:r>
      <w:r>
        <w:t xml:space="preserve"> </w:t>
      </w:r>
      <w:r>
        <w:t xml:space="preserve">every branch run, and produced four false errors on an eleven-line correct transaction.</w:t>
      </w:r>
      <w:r>
        <w:t xml:space="preserve"> </w:t>
      </w:r>
      <w:r>
        <w:t xml:space="preserve">The first fix over-corrected and downgraded a real forty-dollar hole to a warning. Both</w:t>
      </w:r>
      <w:r>
        <w:t xml:space="preserve"> </w:t>
      </w:r>
      <w:r>
        <w:t xml:space="preserve">are recorded in §4.5.1, because a checker that accuses correct programs is worse than no</w:t>
      </w:r>
      <w:r>
        <w:t xml:space="preserve"> </w:t>
      </w:r>
      <w:r>
        <w:t xml:space="preserve">checker.</w:t>
      </w:r>
    </w:p>
    <w:p>
      <w:pPr>
        <w:numPr>
          <w:ilvl w:val="0"/>
          <w:numId w:val="1021"/>
        </w:numPr>
        <w:pStyle w:val="Compact"/>
      </w:pPr>
      <w:r>
        <w:rPr>
          <w:iCs/>
          <w:i/>
        </w:rPr>
        <w:t xml:space="preserve">“</w:t>
      </w:r>
      <w:r>
        <w:rPr>
          <w:iCs/>
          <w:i/>
        </w:rPr>
        <w:t xml:space="preserve">Move guarantees conservation of value.</w:t>
      </w:r>
      <w:r>
        <w:rPr>
          <w:iCs/>
          <w:i/>
        </w:rPr>
        <w:t xml:space="preserve">”</w:t>
      </w:r>
      <w:r>
        <w:t xml:space="preserve"> </w:t>
      </w:r>
      <w:r>
        <w:rPr>
          <w:bCs/>
          <w:b/>
        </w:rPr>
        <w:t xml:space="preserve">Refuted by Move’s own paper</w:t>
      </w:r>
      <w:r>
        <w:t xml:space="preserve">, which states</w:t>
      </w:r>
      <w:r>
        <w:t xml:space="preserve"> </w:t>
      </w:r>
      <w:r>
        <w:t xml:space="preserve">that its type system</w:t>
      </w:r>
      <w:r>
        <w:t xml:space="preserve"> </w:t>
      </w:r>
      <w:r>
        <w:t xml:space="preserve">“</w:t>
      </w:r>
      <w:r>
        <w:t xml:space="preserve">will not ensure that the total value of all Coins in existence is</w:t>
      </w:r>
      <w:r>
        <w:t xml:space="preserve"> </w:t>
      </w:r>
      <w:r>
        <w:t xml:space="preserve">preserved</w:t>
      </w:r>
      <w:r>
        <w:t xml:space="preserve">”</w:t>
      </w:r>
      <w:r>
        <w:t xml:space="preserve">. The correction strengthens rather than weakens this thesis, which is why it</w:t>
      </w:r>
      <w:r>
        <w:t xml:space="preserve"> </w:t>
      </w:r>
      <w:r>
        <w:t xml:space="preserve">was easy to miss.</w:t>
      </w:r>
    </w:p>
    <w:p>
      <w:pPr>
        <w:numPr>
          <w:ilvl w:val="0"/>
          <w:numId w:val="1021"/>
        </w:numPr>
        <w:pStyle w:val="Compact"/>
      </w:pPr>
      <w:r>
        <w:rPr>
          <w:iCs/>
          <w:i/>
        </w:rPr>
        <w:t xml:space="preserve">“</w:t>
      </w:r>
      <w:r>
        <w:rPr>
          <w:iCs/>
          <w:i/>
        </w:rPr>
        <w:t xml:space="preserve">Noria cannot be used in production for core banking.</w:t>
      </w:r>
      <w:r>
        <w:rPr>
          <w:iCs/>
          <w:i/>
        </w:rPr>
        <w:t xml:space="preserve">”</w:t>
      </w:r>
      <w:r>
        <w:t xml:space="preserve"> </w:t>
      </w:r>
      <w:r>
        <w:rPr>
          <w:bCs/>
          <w:b/>
        </w:rPr>
        <w:t xml:space="preserve">Refuted as unsupported by its own evidence.</w:t>
      </w:r>
      <w:r>
        <w:t xml:space="preserve"> </w:t>
      </w:r>
      <w:r>
        <w:t xml:space="preserve">The attempt that motivated this thesis never built, started, or connected to Noria; zero SQL statements were executed against it, so no semantics of Noria were ever exercised, and the failure chain is entirely one of artefact availability. A reviewer’s line —</w:t>
      </w:r>
      <w:r>
        <w:t xml:space="preserve"> </w:t>
      </w:r>
      <w:r>
        <w:rPr>
          <w:iCs/>
          <w:i/>
        </w:rPr>
        <w:t xml:space="preserve">you did not fail to build a banking system on Noria; you failed to build Noria</w:t>
      </w:r>
      <w:r>
        <w:t xml:space="preserve"> </w:t>
      </w:r>
      <w:r>
        <w:t xml:space="preserve">— is available and correct. §1.1.1 and §11.5.5 now say so. The Noria limits this thesis relies on are the ones its authors state in print, cited as literature rather than as findings.</w:t>
      </w:r>
    </w:p>
    <w:p>
      <w:pPr>
        <w:numPr>
          <w:ilvl w:val="0"/>
          <w:numId w:val="1021"/>
        </w:numPr>
        <w:pStyle w:val="Compact"/>
      </w:pPr>
      <w:r>
        <w:rPr>
          <w:iCs/>
          <w:i/>
        </w:rPr>
        <w:t xml:space="preserve">“</w:t>
      </w:r>
      <w:r>
        <w:rPr>
          <w:iCs/>
          <w:i/>
        </w:rPr>
        <w:t xml:space="preserve">The bootstrap’s stage 1 has no input, because stage 0 cannot compile the whole language.</w:t>
      </w:r>
      <w:r>
        <w:rPr>
          <w:iCs/>
          <w:i/>
        </w:rPr>
        <w:t xml:space="preserve">”</w:t>
      </w:r>
      <w:r>
        <w:t xml:space="preserve"> </w:t>
      </w:r>
      <w:r>
        <w:rPr>
          <w:bCs/>
          <w:b/>
        </w:rPr>
        <w:t xml:space="preserve">Refuted by re-reading the requirement.</w:t>
      </w:r>
      <w:r>
        <w:t xml:space="preserve"> </w:t>
      </w:r>
      <w:r>
        <w:t xml:space="preserve">A bootstrap needs stage 0 to</w:t>
      </w:r>
      <w:r>
        <w:t xml:space="preserve"> </w:t>
      </w:r>
      <w:r>
        <w:rPr>
          <w:iCs/>
          <w:i/>
        </w:rPr>
        <w:t xml:space="preserve">evaluate</w:t>
      </w:r>
      <w:r>
        <w:t xml:space="preserve"> </w:t>
      </w:r>
      <w:r>
        <w:t xml:space="preserve">Niles, not to emit machine code;</w:t>
      </w:r>
      <w:r>
        <w:t xml:space="preserve"> </w:t>
      </w:r>
      <w:r>
        <w:t xml:space="preserve">“</w:t>
      </w:r>
      <w:r>
        <w:t xml:space="preserve">stage-0 compiler</w:t>
      </w:r>
      <w:r>
        <w:t xml:space="preserve">”</w:t>
      </w:r>
      <w:r>
        <w:t xml:space="preserve"> </w:t>
      </w:r>
      <w:r>
        <w:t xml:space="preserve">had been read as</w:t>
      </w:r>
      <w:r>
        <w:t xml:space="preserve"> </w:t>
      </w:r>
      <w:r>
        <w:t xml:space="preserve">“</w:t>
      </w:r>
      <w:r>
        <w:t xml:space="preserve">native compiler</w:t>
      </w:r>
      <w:r>
        <w:t xml:space="preserve">”</w:t>
      </w:r>
      <w:r>
        <w:t xml:space="preserve">, which was this document’s mistake rather than the design’s. A tree-walking interpreter plus a Niles-written lexer produced four working gates in a day, and the gates immediately rejected four real defects — two keyword-table drifts, a case-sensitivity error arising from SQL and Rust disagreeing, and a flaw in the gate itself (Appendix E.19.1).</w:t>
      </w:r>
    </w:p>
    <w:p>
      <w:pPr>
        <w:numPr>
          <w:ilvl w:val="0"/>
          <w:numId w:val="1021"/>
        </w:numPr>
        <w:pStyle w:val="Compact"/>
      </w:pPr>
      <w:r>
        <w:rPr>
          <w:iCs/>
          <w:i/>
        </w:rPr>
        <w:t xml:space="preserve">“</w:t>
      </w:r>
      <w:r>
        <w:rPr>
          <w:iCs/>
          <w:i/>
        </w:rPr>
        <w:t xml:space="preserve">The worked example demonstrates the calculus.</w:t>
      </w:r>
      <w:r>
        <w:rPr>
          <w:iCs/>
          <w:i/>
        </w:rPr>
        <w:t xml:space="preserve">”</w:t>
      </w:r>
      <w:r>
        <w:t xml:space="preserve"> </w:t>
      </w:r>
      <w:r>
        <w:rPr>
          <w:bCs/>
          <w:b/>
        </w:rPr>
        <w:t xml:space="preserve">Refuted in the most useful way available.</w:t>
      </w:r>
      <w:r>
        <w:t xml:space="preserve"> </w:t>
      </w:r>
      <w:r>
        <w:t xml:space="preserve">It violated the calculus.</w:t>
      </w:r>
      <w:r>
        <w:t xml:space="preserve"> </w:t>
      </w:r>
      <w:r>
        <w:rPr>
          <w:rStyle w:val="VerbatimChar"/>
        </w:rPr>
        <w:t xml:space="preserve">available_balance</w:t>
      </w:r>
      <w:r>
        <w:t xml:space="preserve"> </w:t>
      </w:r>
      <w:r>
        <w:t xml:space="preserve">promised</w:t>
      </w:r>
      <w:r>
        <w:t xml:space="preserve"> </w:t>
      </w:r>
      <w:r>
        <w:rPr>
          <w:rStyle w:val="VerbatimChar"/>
        </w:rPr>
        <w:t xml:space="preserve">ledger_consistent</w:t>
      </w:r>
      <w:r>
        <w:t xml:space="preserve"> </w:t>
      </w:r>
      <w:r>
        <w:t xml:space="preserve">over a</w:t>
      </w:r>
      <w:r>
        <w:t xml:space="preserve"> </w:t>
      </w:r>
      <w:r>
        <w:rPr>
          <w:rStyle w:val="VerbatimChar"/>
        </w:rPr>
        <w:t xml:space="preserve">read_your_writes</w:t>
      </w:r>
      <w:r>
        <w:t xml:space="preserve"> </w:t>
      </w:r>
      <w:r>
        <w:t xml:space="preserve">input, which is the two-views-disagreeing failure Chapter 1 opens with, present in the author’s own example until the compiler was run over it (§9.13.4). Nothing in this thesis argues better for a compiler than that.</w:t>
      </w:r>
    </w:p>
    <w:p>
      <w:pPr>
        <w:pStyle w:val="FirstParagraph"/>
      </w:pPr>
      <w:r>
        <w:rPr>
          <w:bCs/>
          <w:b/>
        </w:rPr>
        <w:t xml:space="preserve">Still standing, with the result that would overturn each.</w:t>
      </w:r>
    </w:p>
    <w:p>
      <w:pPr>
        <w:numPr>
          <w:ilvl w:val="0"/>
          <w:numId w:val="1022"/>
        </w:numPr>
      </w:pPr>
      <w:r>
        <w:t xml:space="preserve">A conservation violation traceable to the</w:t>
      </w:r>
      <w:r>
        <w:t xml:space="preserve"> </w:t>
      </w:r>
      <w:r>
        <w:rPr>
          <w:iCs/>
          <w:i/>
        </w:rPr>
        <w:t xml:space="preserve">model</w:t>
      </w:r>
      <w:r>
        <w:t xml:space="preserve"> </w:t>
      </w:r>
      <w:r>
        <w:t xml:space="preserve">rather than to an implementation defect would falsify SC1 and halt the programme (K2). Five seeds × 10,000 transfers under continuous eviction have not produced one (§9.2.1); that is corroboration, not proof, and a single counterexample would still end it.</w:t>
      </w:r>
    </w:p>
    <w:p>
      <w:pPr>
        <w:numPr>
          <w:ilvl w:val="0"/>
          <w:numId w:val="1022"/>
        </w:numPr>
      </w:pPr>
      <w:r>
        <w:t xml:space="preserve">A measured crossover far outside Theorem 4.2’s band, in either direction, would mean the cost model omits a first-order term. The prototype located a crossover between memory prices 0.0005 and 0.002 in counted-work units (§9.3.3); a durable, concurrent implementation landing somewhere else would be informative.</w:t>
      </w:r>
    </w:p>
    <w:p>
      <w:pPr>
        <w:numPr>
          <w:ilvl w:val="0"/>
          <w:numId w:val="1022"/>
        </w:numPr>
      </w:pPr>
      <w:r>
        <w:t xml:space="preserve">A fixed policy beating the adaptive optimizer across the workload suite would reduce SC5 to a planning-time heuristic. The measured margin of cost-aware eviction over LRU is real but uneven — 31% on reconstruction work, 4% on aggregate delay (§9.4.2) — so this one is closer to the edge than the others.</w:t>
      </w:r>
    </w:p>
    <w:p>
      <w:pPr>
        <w:numPr>
          <w:ilvl w:val="0"/>
          <w:numId w:val="1022"/>
        </w:numPr>
      </w:pPr>
      <w:r>
        <w:t xml:space="preserve">A banking product from Section 6.22 that cannot be expressed without a kernel change would falsify the</w:t>
      </w:r>
      <w:r>
        <w:t xml:space="preserve"> </w:t>
      </w:r>
      <w:r>
        <w:t xml:space="preserve">“</w:t>
      </w:r>
      <w:r>
        <w:t xml:space="preserve">banking as a library</w:t>
      </w:r>
      <w:r>
        <w:t xml:space="preserve">”</w:t>
      </w:r>
      <w:r>
        <w:t xml:space="preserve"> </w:t>
      </w:r>
      <w:r>
        <w:t xml:space="preserve">claim and, with it, part of the generality thesis.</w:t>
      </w:r>
      <w:r>
        <w:t xml:space="preserve"> </w:t>
      </w:r>
      <w:r>
        <w:rPr>
          <w:bCs/>
          <w:b/>
        </w:rPr>
        <w:t xml:space="preserve">The falsifier has now been looked for across the whole scope and not found</w:t>
      </w:r>
      <w:r>
        <w:t xml:space="preserve">: all twenty-nine product lines of the coverage matrix are implemented, as compositions of the seven mechanisms, and none required a change to the kernel. That is corroboration and not proof — twenty-nine products chosen by the author is a sample the author drew — but it is a considerably stronger corroboration than the sixteen rows the previous revision reported, because the thirteen added are the exotic end: clearing and prime brokerage, structured financing, distressed portfolios, trust and fiduciary structures.</w:t>
      </w:r>
    </w:p>
    <w:p>
      <w:pPr>
        <w:numPr>
          <w:ilvl w:val="0"/>
          <w:numId w:val="1000"/>
        </w:numPr>
      </w:pPr>
      <w:r>
        <w:t xml:space="preserve">The closest call is worth recording, because a near miss is where a refutation condition earns its keep. A distribution</w:t>
      </w:r>
      <w:r>
        <w:t xml:space="preserve"> </w:t>
      </w:r>
      <w:r>
        <w:rPr>
          <w:bCs/>
          <w:b/>
        </w:rPr>
        <w:t xml:space="preserve">waterfall</w:t>
      </w:r>
      <w:r>
        <w:t xml:space="preserve"> </w:t>
      </w:r>
      <w:r>
        <w:t xml:space="preserve">— a preferred tier paid in full before a residual tier sees anything — looks like a new primitive, and an eighth mechanism was drafted for it. It is not one: a waterfall is the fractional-participation mechanism applied to a</w:t>
      </w:r>
      <w:r>
        <w:t xml:space="preserve"> </w:t>
      </w:r>
      <w:r>
        <w:rPr>
          <w:iCs/>
          <w:i/>
        </w:rPr>
        <w:t xml:space="preserve">sequence of remainders</w:t>
      </w:r>
      <w:r>
        <w:t xml:space="preserve">, and the subtraction and minimum between allocations touch no ledger and produce no postings, so by §6.22’s own definition they are arithmetic rather than mechanism. The guardrail for admitting an M8 — that it be expressible as a pattern of the balanced posting set,</w:t>
      </w:r>
      <w:r>
        <w:t xml:space="preserve"> </w:t>
      </w:r>
      <w:r>
        <w:rPr>
          <w:iCs/>
          <w:i/>
        </w:rPr>
        <w:t xml:space="preserve">and</w:t>
      </w:r>
      <w:r>
        <w:t xml:space="preserve"> </w:t>
      </w:r>
      <w:r>
        <w:t xml:space="preserve">that at least three product lines require it — failed on both halves, since a waterfall is a pattern of M4 and is required by two. The seven stand.</w:t>
      </w:r>
    </w:p>
    <w:p>
      <w:pPr>
        <w:numPr>
          <w:ilvl w:val="0"/>
          <w:numId w:val="1000"/>
        </w:numPr>
      </w:pPr>
      <w:r>
        <w:t xml:space="preserve">One further row is worth naming because it tests the claim from the other side.</w:t>
      </w:r>
      <w:r>
        <w:t xml:space="preserve"> </w:t>
      </w:r>
      <w:r>
        <w:rPr>
          <w:bCs/>
          <w:b/>
        </w:rPr>
        <w:t xml:space="preserve">Risk analytics</w:t>
      </w:r>
      <w:r>
        <w:t xml:space="preserve"> </w:t>
      </w:r>
      <w:r>
        <w:t xml:space="preserve">carries no M1 at all: it reads and prices and books nothing. The obvious test of</w:t>
      </w:r>
      <w:r>
        <w:t xml:space="preserve"> </w:t>
      </w:r>
      <w:r>
        <w:t xml:space="preserve">“</w:t>
      </w:r>
      <w:r>
        <w:t xml:space="preserve">products reach the ledger only through the kernel</w:t>
      </w:r>
      <w:r>
        <w:t xml:space="preserve">”</w:t>
      </w:r>
      <w:r>
        <w:t xml:space="preserve"> </w:t>
      </w:r>
      <w:r>
        <w:t xml:space="preserve">is to write products that post and check they cannot get round it, and a system can pass that test while still growing a hidden write path — a risk report that</w:t>
      </w:r>
      <w:r>
        <w:t xml:space="preserve"> </w:t>
      </w:r>
      <w:r>
        <w:t xml:space="preserve">“</w:t>
      </w:r>
      <w:r>
        <w:t xml:space="preserve">adjusts</w:t>
      </w:r>
      <w:r>
        <w:t xml:space="preserve">”</w:t>
      </w:r>
      <w:r>
        <w:t xml:space="preserve"> </w:t>
      </w:r>
      <w:r>
        <w:t xml:space="preserve">a position, a valuation that writes back a mark. Those are the ones that corrupt a ledger quietly, because nobody audits a report. A read-only product is where such a path would appear, and a test scans that module’s own source and fails if the posting machinery is reachable from it.</w:t>
      </w:r>
    </w:p>
    <w:p>
      <w:pPr>
        <w:numPr>
          <w:ilvl w:val="0"/>
          <w:numId w:val="1022"/>
        </w:numPr>
      </w:pPr>
      <w:r>
        <w:t xml:space="preserve">A demonstration that the SQL-fragment translation is not semantics-preserving on some construct would require narrowing the fragment publicly rather than quietly.</w:t>
      </w:r>
    </w:p>
    <w:p>
      <w:pPr>
        <w:numPr>
          <w:ilvl w:val="0"/>
          <w:numId w:val="1022"/>
        </w:numPr>
      </w:pPr>
      <w:r>
        <w:t xml:space="preserve">Strict serializability failing under an Elle-style cycle check would matter</w:t>
      </w:r>
      <w:r>
        <w:t xml:space="preserve"> </w:t>
      </w:r>
      <w:r>
        <w:rPr>
          <w:iCs/>
          <w:i/>
        </w:rPr>
        <w:t xml:space="preserve">even if the conservation suite still passed</w:t>
      </w:r>
      <w:r>
        <w:t xml:space="preserve">, because a published analysis shows exactly that combination is possible (§9.2.2).</w:t>
      </w:r>
    </w:p>
    <w:bookmarkEnd w:id="205"/>
    <w:bookmarkStart w:id="206" w:name="project-identity"/>
    <w:p>
      <w:pPr>
        <w:pStyle w:val="Heading2"/>
      </w:pPr>
      <w:r>
        <w:t xml:space="preserve">11.4 Project Identity</w:t>
      </w:r>
    </w:p>
    <w:p>
      <w:pPr>
        <w:pStyle w:val="FirstParagraph"/>
      </w:pPr>
      <w:r>
        <w:t xml:space="preserve">What this project is:</w:t>
      </w:r>
      <w:r>
        <w:t xml:space="preserve"> </w:t>
      </w:r>
      <w:r>
        <w:rPr>
          <w:bCs/>
          <w:b/>
        </w:rPr>
        <w:t xml:space="preserve">a theory thesis with a systems instrument.</w:t>
      </w:r>
      <w:r>
        <w:t xml:space="preserve"> </w:t>
      </w:r>
      <w:r>
        <w:t xml:space="preserve">The ordering matters operationally, and it has already decided several design questions — anchors are mandatory even where they cost; the IR verifier stays in the trusted base so the compiler need not; determinism gates are non-negotiable; the optimizer is forbidden from being a correctness dependency; and the reference oracle was built first, because a definition of correctness that cannot be executed is a definition nobody checks.</w:t>
      </w:r>
    </w:p>
    <w:p>
      <w:pPr>
        <w:pStyle w:val="BodyText"/>
      </w:pPr>
      <w:r>
        <w:t xml:space="preserve">What it is not: a product, a blockchain, a fork of an existing partial-state system, or an SQL dialect. Its success criterion is the one stated in Chapter 1: the six results standing, their predictions met or their misses understood, and the instrument reproducible by strangers.</w:t>
      </w:r>
    </w:p>
    <w:bookmarkEnd w:id="206"/>
    <w:bookmarkStart w:id="214" w:name="X828d8f887cf66311e7eded657d5006c50a2bc68"/>
    <w:p>
      <w:pPr>
        <w:pStyle w:val="Heading2"/>
      </w:pPr>
      <w:r>
        <w:t xml:space="preserve">11.5 The Existence Questions, Answered Against Evidence</w:t>
      </w:r>
    </w:p>
    <w:p>
      <w:pPr>
        <w:pStyle w:val="FirstParagraph"/>
      </w:pPr>
      <w:r>
        <w:t xml:space="preserve">Six questions decide whether this thesis has a subject. They are not rhetorical, and three of them are answered against the thesis’s own preferred emphasis. They are set out here rather than in Chapter 1 because each can now be answered with a measurement or a reading rather than an intention.</w:t>
      </w:r>
    </w:p>
    <w:p>
      <w:pPr>
        <w:pStyle w:val="BodyText"/>
      </w:pPr>
      <w:r>
        <w:t xml:space="preserve">The general form of the burden is worth stating once. A new artefact — a language, an engine — earns its existence by exhibiting something that</w:t>
      </w:r>
      <w:r>
        <w:t xml:space="preserve"> </w:t>
      </w:r>
      <w:r>
        <w:rPr>
          <w:bCs/>
          <w:b/>
        </w:rPr>
        <w:t xml:space="preserve">cannot be obtained by composing what already exists</w:t>
      </w:r>
      <w:r>
        <w:t xml:space="preserve">, and</w:t>
      </w:r>
      <w:r>
        <w:t xml:space="preserve"> </w:t>
      </w:r>
      <w:r>
        <w:t xml:space="preserve">“</w:t>
      </w:r>
      <w:r>
        <w:t xml:space="preserve">cannot</w:t>
      </w:r>
      <w:r>
        <w:t xml:space="preserve">”</w:t>
      </w:r>
      <w:r>
        <w:t xml:space="preserve"> </w:t>
      </w:r>
      <w:r>
        <w:t xml:space="preserve">has to mean cannot, not</w:t>
      </w:r>
      <w:r>
        <w:t xml:space="preserve"> </w:t>
      </w:r>
      <w:r>
        <w:t xml:space="preserve">“</w:t>
      </w:r>
      <w:r>
        <w:t xml:space="preserve">would be inconvenient to</w:t>
      </w:r>
      <w:r>
        <w:t xml:space="preserve">”</w:t>
      </w:r>
      <w:r>
        <w:t xml:space="preserve">. Three grades of answer are available, and the thesis is careful about which it claims: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Grade</w:t>
            </w:r>
          </w:p>
        </w:tc>
        <w:tc>
          <w:tcPr/>
          <w:p>
            <w:pPr>
              <w:pStyle w:val="Compact"/>
              <w:jc w:val="left"/>
            </w:pPr>
            <w:r>
              <w:t xml:space="preserve">Meaning</w:t>
            </w:r>
          </w:p>
        </w:tc>
        <w:tc>
          <w:tcPr/>
          <w:p>
            <w:pPr>
              <w:pStyle w:val="Compact"/>
              <w:jc w:val="left"/>
            </w:pPr>
            <w:r>
              <w:t xml:space="preserve">What discharges it</w:t>
            </w:r>
          </w:p>
        </w:tc>
      </w:tr>
      <w:tr>
        <w:tc>
          <w:tcPr/>
          <w:p>
            <w:pPr>
              <w:pStyle w:val="Compact"/>
              <w:jc w:val="left"/>
            </w:pPr>
            <w:r>
              <w:rPr>
                <w:bCs/>
                <w:b/>
              </w:rPr>
              <w:t xml:space="preserve">Enabling</w:t>
            </w:r>
          </w:p>
        </w:tc>
        <w:tc>
          <w:tcPr/>
          <w:p>
            <w:pPr>
              <w:pStyle w:val="Compact"/>
              <w:jc w:val="left"/>
            </w:pPr>
            <w:r>
              <w:t xml:space="preserve">Nothing existing can do this at all</w:t>
            </w:r>
          </w:p>
        </w:tc>
        <w:tc>
          <w:tcPr/>
          <w:p>
            <w:pPr>
              <w:pStyle w:val="Compact"/>
              <w:jc w:val="left"/>
            </w:pPr>
            <w:r>
              <w:t xml:space="preserve">An impossibility argument, or an exhaustive negative survey</w:t>
            </w:r>
          </w:p>
        </w:tc>
      </w:tr>
      <w:tr>
        <w:tc>
          <w:tcPr/>
          <w:p>
            <w:pPr>
              <w:pStyle w:val="Compact"/>
              <w:jc w:val="left"/>
            </w:pPr>
            <w:r>
              <w:rPr>
                <w:bCs/>
                <w:b/>
              </w:rPr>
              <w:t xml:space="preserve">Cumulative</w:t>
            </w:r>
          </w:p>
        </w:tc>
        <w:tc>
          <w:tcPr/>
          <w:p>
            <w:pPr>
              <w:pStyle w:val="Compact"/>
              <w:jc w:val="left"/>
            </w:pPr>
            <w:r>
              <w:t xml:space="preserve">Existing systems can, at a cost the new artefact removes</w:t>
            </w:r>
          </w:p>
        </w:tc>
        <w:tc>
          <w:tcPr/>
          <w:p>
            <w:pPr>
              <w:pStyle w:val="Compact"/>
              <w:jc w:val="left"/>
            </w:pPr>
            <w:r>
              <w:t xml:space="preserve">A measured differential on a like-for-like task</w:t>
            </w:r>
          </w:p>
        </w:tc>
      </w:tr>
      <w:tr>
        <w:tc>
          <w:tcPr/>
          <w:p>
            <w:pPr>
              <w:pStyle w:val="Compact"/>
              <w:jc w:val="left"/>
            </w:pPr>
            <w:r>
              <w:rPr>
                <w:bCs/>
                <w:b/>
              </w:rPr>
              <w:t xml:space="preserve">Editorial</w:t>
            </w:r>
          </w:p>
        </w:tc>
        <w:tc>
          <w:tcPr/>
          <w:p>
            <w:pPr>
              <w:pStyle w:val="Compact"/>
              <w:jc w:val="left"/>
            </w:pPr>
            <w:r>
              <w:t xml:space="preserve">A matter of taste, ergonomics, or preference</w:t>
            </w:r>
          </w:p>
        </w:tc>
        <w:tc>
          <w:tcPr/>
          <w:p>
            <w:pPr>
              <w:pStyle w:val="Compact"/>
              <w:jc w:val="left"/>
            </w:pPr>
            <w:r>
              <w:t xml:space="preserve">Nothing; it is not a research claim</w:t>
            </w:r>
          </w:p>
        </w:tc>
      </w:tr>
    </w:tbl>
    <w:p>
      <w:pPr>
        <w:pStyle w:val="BodyText"/>
      </w:pPr>
      <w:r>
        <w:t xml:space="preserve">An artefact justified only at the editorial grade should not be in a thesis. An artefact justified at the cumulative grade belongs in one, provided the differential is measured and the word</w:t>
      </w:r>
      <w:r>
        <w:t xml:space="preserve"> </w:t>
      </w:r>
      <w:r>
        <w:t xml:space="preserve">“</w:t>
      </w:r>
      <w:r>
        <w:t xml:space="preserve">enabling</w:t>
      </w:r>
      <w:r>
        <w:t xml:space="preserve">”</w:t>
      </w:r>
      <w:r>
        <w:t xml:space="preserve"> </w:t>
      </w:r>
      <w:r>
        <w:t xml:space="preserve">is never used for it.</w:t>
      </w:r>
    </w:p>
    <w:bookmarkStart w:id="207" w:name="X099ab728c07c52da2b2ed49109b5eeb0e8f990e"/>
    <w:p>
      <w:pPr>
        <w:pStyle w:val="Heading3"/>
      </w:pPr>
      <w:r>
        <w:t xml:space="preserve">11.5.1 What would have to be proved for Niles to exist?</w:t>
      </w:r>
    </w:p>
    <w:p>
      <w:pPr>
        <w:pStyle w:val="FirstParagraph"/>
      </w:pPr>
      <w:r>
        <w:t xml:space="preserve">The burden has three parts, and they are conjunctive.</w:t>
      </w:r>
    </w:p>
    <w:p>
      <w:pPr>
        <w:pStyle w:val="BodyText"/>
      </w:pPr>
      <w:r>
        <w:rPr>
          <w:bCs/>
          <w:b/>
        </w:rPr>
        <w:t xml:space="preserve">(i) A property must be statically checkable in Niles that is not statically checkable in SQL plus a host language.</w:t>
      </w:r>
      <w:r>
        <w:t xml:space="preserve"> </w:t>
      </w:r>
      <w:r>
        <w:t xml:space="preserve">Not</w:t>
      </w:r>
      <w:r>
        <w:t xml:space="preserve"> </w:t>
      </w:r>
      <w:r>
        <w:rPr>
          <w:iCs/>
          <w:i/>
        </w:rPr>
        <w:t xml:space="preserve">harder</w:t>
      </w:r>
      <w:r>
        <w:t xml:space="preserve">: not checkable. The property this thesis nominates is</w:t>
      </w:r>
      <w:r>
        <w:t xml:space="preserve"> </w:t>
      </w:r>
      <w:r>
        <w:rPr>
          <w:bCs/>
          <w:b/>
        </w:rPr>
        <w:t xml:space="preserve">conservation of money across a transaction boundary under control flow</w:t>
      </w:r>
      <w:r>
        <w:t xml:space="preserve"> </w:t>
      </w:r>
      <w:r>
        <w:t xml:space="preserve">— that every path through a</w:t>
      </w:r>
      <w:r>
        <w:t xml:space="preserve"> </w:t>
      </w:r>
      <w:r>
        <w:rPr>
          <w:rStyle w:val="VerbatimChar"/>
        </w:rPr>
        <w:t xml:space="preserve">txn</w:t>
      </w:r>
      <w:r>
        <w:t xml:space="preserve"> </w:t>
      </w:r>
      <w:r>
        <w:t xml:space="preserve">block posts a set of entries summing to zero per currency, decided before the program runs.</w:t>
      </w:r>
    </w:p>
    <w:p>
      <w:pPr>
        <w:pStyle w:val="BodyText"/>
      </w:pPr>
      <w:r>
        <w:rPr>
          <w:bCs/>
          <w:b/>
        </w:rPr>
        <w:t xml:space="preserve">(ii) The property must matter.</w:t>
      </w:r>
      <w:r>
        <w:t xml:space="preserve"> </w:t>
      </w:r>
      <w:r>
        <w:t xml:space="preserve">A checkable property nobody’s defect corpus contains is a solution without a problem.</w:t>
      </w:r>
    </w:p>
    <w:p>
      <w:pPr>
        <w:pStyle w:val="BodyText"/>
      </w:pPr>
      <w:r>
        <w:rPr>
          <w:bCs/>
          <w:b/>
        </w:rPr>
        <w:t xml:space="preserve">(iii) The check must be sound, and its incompleteness must be characterised rather than merely admitted.</w:t>
      </w:r>
      <w:r>
        <w:t xml:space="preserve"> </w:t>
      </w:r>
      <w:r>
        <w:t xml:space="preserve">A checker that accuses correct programs is worse than no checker, and this thesis has direct evidence for that claim: an earlier version of the currency-row solver produced four false errors on an eleven-line correct transaction (§4.5.1).</w:t>
      </w:r>
    </w:p>
    <w:p>
      <w:pPr>
        <w:pStyle w:val="BodyText"/>
      </w:pPr>
      <w:r>
        <w:rPr>
          <w:bCs/>
          <w:b/>
        </w:rPr>
        <w:t xml:space="preserve">Status: (i) discharged, (ii) discharged, (iii) partially discharged.</w:t>
      </w:r>
    </w:p>
    <w:p>
      <w:pPr>
        <w:pStyle w:val="BodyText"/>
      </w:pPr>
      <w:r>
        <w:t xml:space="preserve">On (i): the differential-defect experiment (§6.10.3, E14) writes twelve defect classes twice — once against a good-faith PostgreSQL 16 schema using the strongest tool PostgreSQL offers for each job, once in Niles — and records the</w:t>
      </w:r>
      <w:r>
        <w:t xml:space="preserve"> </w:t>
      </w:r>
      <w:r>
        <w:rPr>
          <w:iCs/>
          <w:i/>
        </w:rPr>
        <w:t xml:space="preserve">stage</w:t>
      </w:r>
      <w:r>
        <w:t xml:space="preserve"> </w:t>
      </w:r>
      <w:r>
        <w:t xml:space="preserve">at which each is caught. PostgreSQL catches three at run time, none at compile time, and never catches nine. Niles catches eleven at compile time and warns on the twelfth.</w:t>
      </w:r>
    </w:p>
    <w:p>
      <w:pPr>
        <w:pStyle w:val="BodyText"/>
      </w:pPr>
      <w:r>
        <w:rPr>
          <w:bCs/>
          <w:b/>
        </w:rPr>
        <w:t xml:space="preserve">And a second experiment answers the objection that reading raises.</w:t>
      </w:r>
      <w:r>
        <w:t xml:space="preserve"> </w:t>
      </w:r>
      <w:r>
        <w:t xml:space="preserve">A checker with a</w:t>
      </w:r>
      <w:r>
        <w:t xml:space="preserve"> </w:t>
      </w:r>
      <w:r>
        <w:rPr>
          <w:rStyle w:val="VerbatimChar"/>
        </w:rPr>
        <w:t xml:space="preserve">Undecided</w:t>
      </w:r>
      <w:r>
        <w:t xml:space="preserve"> </w:t>
      </w:r>
      <w:r>
        <w:t xml:space="preserve">verdict can catch eleven of twelve</w:t>
      </w:r>
      <w:r>
        <w:t xml:space="preserve"> </w:t>
      </w:r>
      <w:r>
        <w:rPr>
          <w:iCs/>
          <w:i/>
        </w:rPr>
        <w:t xml:space="preserve">deliberate</w:t>
      </w:r>
      <w:r>
        <w:t xml:space="preserve"> </w:t>
      </w:r>
      <w:r>
        <w:t xml:space="preserve">defects and still be undecided on</w:t>
      </w:r>
      <w:r>
        <w:t xml:space="preserve"> </w:t>
      </w:r>
      <w:r>
        <w:t xml:space="preserve">ordinary code, in which case the soundness theorem is true and applies to a fragment nobody</w:t>
      </w:r>
      <w:r>
        <w:t xml:space="preserve"> </w:t>
      </w:r>
      <w:r>
        <w:t xml:space="preserve">writes. E18 (§9.14.3) measures it: forty correct banking functions — transfers, fee sets,</w:t>
      </w:r>
      <w:r>
        <w:t xml:space="preserve"> </w:t>
      </w:r>
      <w:r>
        <w:t xml:space="preserve">syndicated allocations, symbolic amounts, multi-currency legs, holds, and guarded paths — run</w:t>
      </w:r>
      <w:r>
        <w:t xml:space="preserve"> </w:t>
      </w:r>
      <w:r>
        <w:t xml:space="preserve">one at a time through the front end.</w:t>
      </w:r>
      <w:r>
        <w:t xml:space="preserve"> </w:t>
      </w:r>
      <w:r>
        <w:rPr>
          <w:bCs/>
          <w:b/>
        </w:rPr>
        <w:t xml:space="preserve">Nothing is undecided.</w:t>
      </w:r>
      <w:r>
        <w:t xml:space="preserve"> </w:t>
      </w:r>
      <w:r>
        <w:t xml:space="preserve">Thirty-five are proved and five</w:t>
      </w:r>
      <w:r>
        <w:t xml:space="preserve"> </w:t>
      </w:r>
      <w:r>
        <w:t xml:space="preserve">carry no conservation obligation at all, being holds.</w:t>
      </w:r>
    </w:p>
    <w:p>
      <w:pPr>
        <w:pStyle w:val="BodyText"/>
      </w:pPr>
      <w:r>
        <w:t xml:space="preserve">The guarded group is the surprise, and it sharpens the claim rather than merely supporting it.</w:t>
      </w:r>
      <w:r>
        <w:t xml:space="preserve"> </w:t>
      </w:r>
      <w:r>
        <w:t xml:space="preserve">The undecidability result behind the</w:t>
      </w:r>
      <w:r>
        <w:t xml:space="preserve"> </w:t>
      </w:r>
      <w:r>
        <w:rPr>
          <w:rStyle w:val="VerbatimChar"/>
        </w:rPr>
        <w:t xml:space="preserve">Undecided</w:t>
      </w:r>
      <w:r>
        <w:t xml:space="preserve"> </w:t>
      </w:r>
      <w:r>
        <w:t xml:space="preserve">verdict — Müller-Olm and Seidl’s reduction</w:t>
      </w:r>
      <w:r>
        <w:t xml:space="preserve"> </w:t>
      </w:r>
      <w:r>
        <w:t xml:space="preserve">from Post’s Correspondence Problem — is about deciding whether an</w:t>
      </w:r>
      <w:r>
        <w:t xml:space="preserve"> </w:t>
      </w:r>
      <w:r>
        <w:rPr>
          <w:iCs/>
          <w:i/>
        </w:rPr>
        <w:t xml:space="preserve">affine relation holds at a</w:t>
      </w:r>
      <w:r>
        <w:rPr>
          <w:iCs/>
          <w:i/>
        </w:rPr>
        <w:t xml:space="preserve"> </w:t>
      </w:r>
      <w:r>
        <w:rPr>
          <w:iCs/>
          <w:i/>
        </w:rPr>
        <w:t xml:space="preserve">program point</w:t>
      </w:r>
      <w:r>
        <w:t xml:space="preserve">, and a limit check is exactly such a relation, so the expectation was that</w:t>
      </w:r>
      <w:r>
        <w:t xml:space="preserve"> </w:t>
      </w:r>
      <w:r>
        <w:t xml:space="preserve">guarded transfers would be undecided. They are proved, because</w:t>
      </w:r>
      <w:r>
        <w:t xml:space="preserve"> </w:t>
      </w:r>
      <w:r>
        <w:rPr>
          <w:bCs/>
          <w:b/>
        </w:rPr>
        <w:t xml:space="preserve">conservation asks a different</w:t>
      </w:r>
      <w:r>
        <w:rPr>
          <w:bCs/>
          <w:b/>
        </w:rPr>
        <w:t xml:space="preserve"> </w:t>
      </w:r>
      <w:r>
        <w:rPr>
          <w:bCs/>
          <w:b/>
        </w:rPr>
        <w:t xml:space="preserve">question</w:t>
      </w:r>
      <w:r>
        <w:t xml:space="preserve">: whether the net is zero on every path, not whether the guard is true. A guard that</w:t>
      </w:r>
      <w:r>
        <w:t xml:space="preserve"> </w:t>
      </w:r>
      <w:r>
        <w:t xml:space="preserve">gates</w:t>
      </w:r>
      <w:r>
        <w:t xml:space="preserve"> </w:t>
      </w:r>
      <w:r>
        <w:rPr>
          <w:iCs/>
          <w:i/>
        </w:rPr>
        <w:t xml:space="preserve">whether</w:t>
      </w:r>
      <w:r>
        <w:t xml:space="preserve"> </w:t>
      </w:r>
      <w:r>
        <w:t xml:space="preserve">a balanced transaction happens does not threaten conservation at all. The</w:t>
      </w:r>
      <w:r>
        <w:t xml:space="preserve"> </w:t>
      </w:r>
      <w:r>
        <w:t xml:space="preserve">fourth verdict remains forced in general — a guard that made the</w:t>
      </w:r>
      <w:r>
        <w:t xml:space="preserve"> </w:t>
      </w:r>
      <w:r>
        <w:rPr>
          <w:iCs/>
          <w:i/>
        </w:rPr>
        <w:t xml:space="preserve">amounts</w:t>
      </w:r>
      <w:r>
        <w:t xml:space="preserve"> </w:t>
      </w:r>
      <w:r>
        <w:t xml:space="preserve">depend on an affine</w:t>
      </w:r>
      <w:r>
        <w:t xml:space="preserve"> </w:t>
      </w:r>
      <w:r>
        <w:t xml:space="preserve">relation would reach it — and it is not what ordinary banking code looks like. The nine PostgreSQL never catches are not oversights in the schema; they are properties a schema cannot express, because a</w:t>
      </w:r>
      <w:r>
        <w:t xml:space="preserve"> </w:t>
      </w:r>
      <w:r>
        <w:rPr>
          <w:rStyle w:val="VerbatimChar"/>
        </w:rPr>
        <w:t xml:space="preserve">CHECK</w:t>
      </w:r>
      <w:r>
        <w:t xml:space="preserve"> </w:t>
      </w:r>
      <w:r>
        <w:t xml:space="preserve">constraint sees one row and a trigger sees one transaction, while conservation under branching is a property of a</w:t>
      </w:r>
      <w:r>
        <w:t xml:space="preserve"> </w:t>
      </w:r>
      <w:r>
        <w:rPr>
          <w:iCs/>
          <w:i/>
        </w:rPr>
        <w:t xml:space="preserve">program</w:t>
      </w:r>
      <w:r>
        <w:t xml:space="preserve">.</w:t>
      </w:r>
    </w:p>
    <w:p>
      <w:pPr>
        <w:pStyle w:val="BodyText"/>
      </w:pPr>
      <w:r>
        <w:t xml:space="preserve">On (ii): D10 of that corpus is the specific evidence. Dropping one trigger and inserting one row leaves the ledger total at</w:t>
      </w:r>
      <w:r>
        <w:t xml:space="preserve"> </w:t>
      </w:r>
      <w:r>
        <w:rPr>
          <w:rStyle w:val="VerbatimChar"/>
        </w:rPr>
        <w:t xml:space="preserve">−500.0000</w:t>
      </w:r>
      <w:r>
        <w:t xml:space="preserve"> </w:t>
      </w:r>
      <w:r>
        <w:t xml:space="preserve">with nothing in the system able to say so. The APSN pattern of §1.1 is the same failure at institutional scale, and it is named in supervisory guidance rather than inferred.</w:t>
      </w:r>
    </w:p>
    <w:p>
      <w:pPr>
        <w:pStyle w:val="BodyText"/>
      </w:pPr>
      <w:r>
        <w:t xml:space="preserve">On (iii): the solver is sound in the direction that matters — it never reports</w:t>
      </w:r>
      <w:r>
        <w:t xml:space="preserve"> </w:t>
      </w:r>
      <w:r>
        <w:rPr>
          <w:rStyle w:val="VerbatimChar"/>
        </w:rPr>
        <w:t xml:space="preserve">Conserves</w:t>
      </w:r>
      <w:r>
        <w:t xml:space="preserve"> </w:t>
      </w:r>
      <w:r>
        <w:t xml:space="preserve">for a program that can lose money — and Contribution 4’s soundness theorem is stated over its formal core. Its incompleteness is</w:t>
      </w:r>
      <w:r>
        <w:t xml:space="preserve"> </w:t>
      </w:r>
      <w:r>
        <w:rPr>
          <w:iCs/>
          <w:i/>
        </w:rPr>
        <w:t xml:space="preserve">characterised</w:t>
      </w:r>
      <w:r>
        <w:t xml:space="preserve">:</w:t>
      </w:r>
      <w:r>
        <w:t xml:space="preserve"> </w:t>
      </w:r>
      <w:r>
        <w:rPr>
          <w:rStyle w:val="VerbatimChar"/>
        </w:rPr>
        <w:t xml:space="preserve">Undecided</w:t>
      </w:r>
      <w:r>
        <w:t xml:space="preserve"> </w:t>
      </w:r>
      <w:r>
        <w:t xml:space="preserve">is forced by a reduction from PCP (Müller-Olm and Seidl), so no complete alternative exists; the domain is affine forms over opaque atoms per currency, which is a Karr-expressible query answered in a weaker non-relational domain, and the loop rule is exact rather than a widening because a row is a homomorphism into a free abelian group. What is</w:t>
      </w:r>
      <w:r>
        <w:t xml:space="preserve"> </w:t>
      </w:r>
      <w:r>
        <w:rPr>
          <w:bCs/>
          <w:b/>
        </w:rPr>
        <w:t xml:space="preserve">not</w:t>
      </w:r>
      <w:r>
        <w:t xml:space="preserve"> </w:t>
      </w:r>
      <w:r>
        <w:t xml:space="preserve">discharged is a mechanised proof of the soundness theorem; it is on paper, and §3.11 records its verification status honestly.</w:t>
      </w:r>
    </w:p>
    <w:p>
      <w:pPr>
        <w:pStyle w:val="BodyText"/>
      </w:pPr>
      <w:r>
        <w:t xml:space="preserve">There is a fourth part of the burden that this thesis does</w:t>
      </w:r>
      <w:r>
        <w:t xml:space="preserve"> </w:t>
      </w:r>
      <w:r>
        <w:rPr>
          <w:bCs/>
          <w:b/>
        </w:rPr>
        <w:t xml:space="preserve">not</w:t>
      </w:r>
      <w:r>
        <w:t xml:space="preserve"> </w:t>
      </w:r>
      <w:r>
        <w:t xml:space="preserve">meet and should stop implying it meets:</w:t>
      </w:r>
      <w:r>
        <w:t xml:space="preserve"> </w:t>
      </w:r>
      <w:r>
        <w:rPr>
          <w:bCs/>
          <w:b/>
        </w:rPr>
        <w:t xml:space="preserve">that a new language is required rather than a library, a linter, or an embedded DSL in Rust.</w:t>
      </w:r>
      <w:r>
        <w:t xml:space="preserve"> </w:t>
      </w:r>
      <w:r>
        <w:t xml:space="preserve">The static analysis described in §4.5 operates on an AST; nothing about it requires that AST to come from a novel surface syntax. A Rust procedural macro over a</w:t>
      </w:r>
      <w:r>
        <w:t xml:space="preserve"> </w:t>
      </w:r>
      <w:r>
        <w:rPr>
          <w:rStyle w:val="VerbatimChar"/>
        </w:rPr>
        <w:t xml:space="preserve">txn!{}</w:t>
      </w:r>
      <w:r>
        <w:t xml:space="preserve"> </w:t>
      </w:r>
      <w:r>
        <w:t xml:space="preserve">block, or a static analyser over a restricted SQL dialect, could in principle host the same currency-row solver. The honest claim is therefore that</w:t>
      </w:r>
      <w:r>
        <w:t xml:space="preserve"> </w:t>
      </w:r>
      <w:r>
        <w:rPr>
          <w:bCs/>
          <w:b/>
        </w:rPr>
        <w:t xml:space="preserve">the analysis is enabling and the surface syntax is editorial</w:t>
      </w:r>
      <w:r>
        <w:t xml:space="preserve">, and §6.5’s argument for a new language rests on integration — one type system spanning money, effects, consistency rungs, confidentiality and retention, rather than five analyses over four surfaces — which is a cumulative argument. Chapter 12 records the experiment that would settle it: implement the currency-row solver as a Rust macro and measure what it cannot reach.</w:t>
      </w:r>
    </w:p>
    <w:bookmarkEnd w:id="207"/>
    <w:bookmarkStart w:id="208" w:name="X546fa37899e18a6dd7a62d078e0ceebaf2c4cef"/>
    <w:p>
      <w:pPr>
        <w:pStyle w:val="Heading3"/>
      </w:pPr>
      <w:r>
        <w:t xml:space="preserve">11.5.2 Can reconstructible epoch-anchored views be implemented with only current Rust and SQL?</w:t>
      </w:r>
    </w:p>
    <w:p>
      <w:pPr>
        <w:pStyle w:val="FirstParagraph"/>
      </w:pPr>
      <w:r>
        <w:rPr>
          <w:bCs/>
          <w:b/>
        </w:rPr>
        <w:t xml:space="preserve">Yes. Measured, not conceded.</w:t>
      </w:r>
      <w:r>
        <w:t xml:space="preserve"> </w:t>
      </w:r>
      <w:r>
        <w:t xml:space="preserve">This is the finding that most damages this thesis’s emphasis, and it is reported first because of that.</w:t>
      </w:r>
    </w:p>
    <w:p>
      <w:pPr>
        <w:pStyle w:val="BodyText"/>
      </w:pPr>
      <w:r>
        <w:t xml:space="preserve">E14 builds the entire REV mechanism in stock PostgreSQL 16.13: partial materialization as a cache table with a</w:t>
      </w:r>
      <w:r>
        <w:t xml:space="preserve"> </w:t>
      </w:r>
      <w:r>
        <w:rPr>
          <w:rStyle w:val="VerbatimChar"/>
        </w:rPr>
        <w:t xml:space="preserve">state ∈ {present, hole, pending}</w:t>
      </w:r>
      <w:r>
        <w:t xml:space="preserve"> </w:t>
      </w:r>
      <w:r>
        <w:t xml:space="preserve">column, honest absence as a NULL value beside a non-null version — SQL’s three-valued logic turns out to be an</w:t>
      </w:r>
      <w:r>
        <w:t xml:space="preserve"> </w:t>
      </w:r>
      <w:r>
        <w:rPr>
          <w:iCs/>
          <w:i/>
        </w:rPr>
        <w:t xml:space="preserve">asset</w:t>
      </w:r>
      <w:r>
        <w:t xml:space="preserve"> </w:t>
      </w:r>
      <w:r>
        <w:t xml:space="preserve">here, expressing</w:t>
      </w:r>
      <w:r>
        <w:t xml:space="preserve"> </w:t>
      </w:r>
      <w:r>
        <w:t xml:space="preserve">“</w:t>
      </w:r>
      <w:r>
        <w:t xml:space="preserve">miss ≠ zero</w:t>
      </w:r>
      <w:r>
        <w:t xml:space="preserve">”</w:t>
      </w:r>
      <w:r>
        <w:t xml:space="preserve"> </w:t>
      </w:r>
      <w:r>
        <w:t xml:space="preserve">natively — reconstruction as a</w:t>
      </w:r>
      <w:r>
        <w:t xml:space="preserve"> </w:t>
      </w:r>
      <w:r>
        <w:rPr>
          <w:rStyle w:val="VerbatimChar"/>
        </w:rPr>
        <w:t xml:space="preserve">STABLE</w:t>
      </w:r>
      <w:r>
        <w:t xml:space="preserve"> </w:t>
      </w:r>
      <w:r>
        <w:t xml:space="preserve">plpgsql function folding the suffix after the newest checkpoint, and per-key checkpoints as an ordinary table. The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PostgreSQL 16</w:t>
            </w:r>
          </w:p>
        </w:tc>
      </w:tr>
      <w:tr>
        <w:tc>
          <w:tcPr/>
          <w:p>
            <w:pPr>
              <w:pStyle w:val="Compact"/>
              <w:jc w:val="left"/>
            </w:pPr>
            <w:r>
              <w:t xml:space="preserve">Reconstruction equivalence under eviction</w:t>
            </w:r>
          </w:p>
        </w:tc>
        <w:tc>
          <w:tcPr/>
          <w:p>
            <w:pPr>
              <w:pStyle w:val="Compact"/>
              <w:jc w:val="left"/>
            </w:pPr>
            <w:r>
              <w:t xml:space="preserve">0 divergences across 50 keys</w:t>
            </w:r>
          </w:p>
        </w:tc>
      </w:tr>
      <w:tr>
        <w:tc>
          <w:tcPr/>
          <w:p>
            <w:pPr>
              <w:pStyle w:val="Compact"/>
              <w:jc w:val="left"/>
            </w:pPr>
            <w:r>
              <w:t xml:space="preserve">Honest absence</w:t>
            </w:r>
          </w:p>
        </w:tc>
        <w:tc>
          <w:tcPr/>
          <w:p>
            <w:pPr>
              <w:pStyle w:val="Compact"/>
              <w:jc w:val="left"/>
            </w:pPr>
            <w:r>
              <w:t xml:space="preserve">50 holes, 50 versions kept, 0 values kept</w:t>
            </w:r>
          </w:p>
        </w:tc>
      </w:tr>
      <w:tr>
        <w:tc>
          <w:tcPr/>
          <w:p>
            <w:pPr>
              <w:pStyle w:val="Compact"/>
              <w:jc w:val="left"/>
            </w:pPr>
            <w:r>
              <w:t xml:space="preserve">Checkpoint-bounded reconstruction</w:t>
            </w:r>
          </w:p>
        </w:tc>
        <w:tc>
          <w:tcPr/>
          <w:p>
            <w:pPr>
              <w:pStyle w:val="Compact"/>
              <w:jc w:val="left"/>
            </w:pPr>
            <w:r>
              <w:t xml:space="preserve">5 buffer hits per reconstruction at</w:t>
            </w:r>
            <w:r>
              <w:t xml:space="preserve"> </w:t>
            </w:r>
            <w:r>
              <w:rPr>
                <w:iCs/>
                <w:i/>
              </w:rPr>
              <w:t xml:space="preserve">C</w:t>
            </w:r>
            <w:r>
              <w:t xml:space="preserve"> </w:t>
            </w:r>
            <w:r>
              <w:t xml:space="preserve">= 16</w:t>
            </w:r>
          </w:p>
        </w:tc>
      </w:tr>
      <w:tr>
        <w:tc>
          <w:tcPr/>
          <w:p>
            <w:pPr>
              <w:pStyle w:val="Compact"/>
              <w:jc w:val="left"/>
            </w:pPr>
            <w:r>
              <w:t xml:space="preserve">Maintenance proportional to deltas</w:t>
            </w:r>
          </w:p>
        </w:tc>
        <w:tc>
          <w:tcPr/>
          <w:p>
            <w:pPr>
              <w:pStyle w:val="Compact"/>
              <w:jc w:val="left"/>
            </w:pPr>
            <w:r>
              <w:t xml:space="preserve">100 applied, 880 skipped, over 500 epochs</w:t>
            </w:r>
          </w:p>
        </w:tc>
      </w:tr>
    </w:tbl>
    <w:p>
      <w:pPr>
        <w:pStyle w:val="BodyText"/>
      </w:pPr>
      <w:r>
        <w:t xml:space="preserve">The theory is therefore</w:t>
      </w:r>
      <w:r>
        <w:t xml:space="preserve"> </w:t>
      </w:r>
      <w:r>
        <w:rPr>
          <w:bCs/>
          <w:b/>
        </w:rPr>
        <w:t xml:space="preserve">not</w:t>
      </w:r>
      <w:r>
        <w:t xml:space="preserve"> </w:t>
      </w:r>
      <w:r>
        <w:t xml:space="preserve">engine-specific, and that is a strength of the theory rather than a weakness: a result that holds only inside its author’s prototype is a property of the prototype. It does mean the sentence</w:t>
      </w:r>
      <w:r>
        <w:t xml:space="preserve"> </w:t>
      </w:r>
      <w:r>
        <w:t xml:space="preserve">“</w:t>
      </w:r>
      <w:r>
        <w:t xml:space="preserve">REVs require a new engine</w:t>
      </w:r>
      <w:r>
        <w:t xml:space="preserve">”</w:t>
      </w:r>
      <w:r>
        <w:t xml:space="preserve"> </w:t>
      </w:r>
      <w:r>
        <w:t xml:space="preserve">is false and must not appear.</w:t>
      </w:r>
    </w:p>
    <w:p>
      <w:pPr>
        <w:pStyle w:val="BodyText"/>
      </w:pPr>
      <w:r>
        <w:t xml:space="preserve">Three structural gaps remain, and they are gaps rather than defects: PostgreSQL has no per-key</w:t>
      </w:r>
      <w:r>
        <w:t xml:space="preserve"> </w:t>
      </w:r>
      <w:r>
        <w:rPr>
          <w:rStyle w:val="VerbatimChar"/>
        </w:rPr>
        <w:t xml:space="preserve">REFRESH</w:t>
      </w:r>
      <w:r>
        <w:t xml:space="preserve"> </w:t>
      </w:r>
      <w:r>
        <w:t xml:space="preserve">(materialized-view refresh is whole-view), its isolation is per-transaction rather than per-view so a consistency ladder cannot be attached to a view definition, and it offers no stable read anchor a client can pin across statements. Each is a</w:t>
      </w:r>
      <w:r>
        <w:t xml:space="preserve"> </w:t>
      </w:r>
      <w:r>
        <w:rPr>
          <w:iCs/>
          <w:i/>
        </w:rPr>
        <w:t xml:space="preserve">cumulative</w:t>
      </w:r>
      <w:r>
        <w:t xml:space="preserve"> </w:t>
      </w:r>
      <w:r>
        <w:t xml:space="preserve">deficiency — expressible with enough application code — not an enabling one.</w:t>
      </w:r>
    </w:p>
    <w:bookmarkEnd w:id="208"/>
    <w:bookmarkStart w:id="209" w:name="Xb609154a46ae5b4df51bf220c8933665ce2e3d4"/>
    <w:p>
      <w:pPr>
        <w:pStyle w:val="Heading3"/>
      </w:pPr>
      <w:r>
        <w:t xml:space="preserve">11.5.3 Has it been proved that Nilestream should exist?</w:t>
      </w:r>
    </w:p>
    <w:p>
      <w:pPr>
        <w:pStyle w:val="FirstParagraph"/>
      </w:pPr>
      <w:r>
        <w:rPr>
          <w:bCs/>
          <w:b/>
        </w:rPr>
        <w:t xml:space="preserve">No, and the thesis should say so in exactly these words.</w:t>
      </w:r>
      <w:r>
        <w:t xml:space="preserve"> </w:t>
      </w:r>
      <w:r>
        <w:t xml:space="preserve">Nilestream is justified at the</w:t>
      </w:r>
      <w:r>
        <w:t xml:space="preserve"> </w:t>
      </w:r>
      <w:r>
        <w:rPr>
          <w:bCs/>
          <w:b/>
        </w:rPr>
        <w:t xml:space="preserve">instrument</w:t>
      </w:r>
      <w:r>
        <w:t xml:space="preserve"> </w:t>
      </w:r>
      <w:r>
        <w:t xml:space="preserve">grade, not the enabling grade.</w:t>
      </w:r>
    </w:p>
    <w:p>
      <w:pPr>
        <w:pStyle w:val="BodyText"/>
      </w:pPr>
      <w:r>
        <w:t xml:space="preserve">The argument that survives is: the theory makes quantitative predictions — the eviction-consistency frontier, the cost law for rungs, the phase diagram — and testing them requires an implementation whose counted work is attributable to a mechanism rather than to a query planner, a buffer manager, and thirty years of accumulated optimisation. A measurement of upquery cost inside PostgreSQL measures PostgreSQL. That is a real reason to build a system and a poor reason to claim a system contribution.</w:t>
      </w:r>
    </w:p>
    <w:p>
      <w:pPr>
        <w:pStyle w:val="BodyText"/>
      </w:pPr>
      <w:r>
        <w:t xml:space="preserve">What Nilestream demonstrably provides beyond the PostgreSQL construction, on evidence in this repository, is: per-view consistency rungs with a rung-monotonicity check (a view served at ℓ may not read a view served below ℓ), reconstruction paths that are</w:t>
      </w:r>
      <w:r>
        <w:t xml:space="preserve"> </w:t>
      </w:r>
      <w:r>
        <w:rPr>
          <w:iCs/>
          <w:i/>
        </w:rPr>
        <w:t xml:space="preserve">verified</w:t>
      </w:r>
      <w:r>
        <w:t xml:space="preserve"> </w:t>
      </w:r>
      <w:r>
        <w:t xml:space="preserve">to be anchored rather than assumed to be, counted work exposed as a first-class measurement, cross-shard commit whose coordinator is itself a ledger group, and an IR verifier in the trusted base so the compiler need not be. Each is cumulative. None is enabling. The correct sentence for the abstract is that</w:t>
      </w:r>
      <w:r>
        <w:t xml:space="preserve"> </w:t>
      </w:r>
      <w:r>
        <w:rPr>
          <w:bCs/>
          <w:b/>
        </w:rPr>
        <w:t xml:space="preserve">the theory is the contribution and Nilestream is its instrument</w:t>
      </w:r>
      <w:r>
        <w:t xml:space="preserve">, which is what §11.4 already says and what the rest of the document must be brought into line with.</w:t>
      </w:r>
    </w:p>
    <w:bookmarkEnd w:id="209"/>
    <w:bookmarkStart w:id="210" w:name="Xf58e31286a0e366de1f1e8b3a9477ef1fd05ea5"/>
    <w:p>
      <w:pPr>
        <w:pStyle w:val="Heading3"/>
      </w:pPr>
      <w:r>
        <w:t xml:space="preserve">11.5.4 Is an SQL replacement needed, or only a MySQL/PostgreSQL-compatible engine with REVs?</w:t>
      </w:r>
    </w:p>
    <w:p>
      <w:pPr>
        <w:pStyle w:val="FirstParagraph"/>
      </w:pPr>
      <w:r>
        <w:t xml:space="preserve">Splitting the question is what makes it answerable, because the two halves have different answers.</w:t>
      </w:r>
    </w:p>
    <w:p>
      <w:pPr>
        <w:pStyle w:val="BodyText"/>
      </w:pPr>
      <w:r>
        <w:rPr>
          <w:bCs/>
          <w:b/>
        </w:rPr>
        <w:t xml:space="preserve">The engine surface: compatibility is sufficient and replacement is unnecessary.</w:t>
      </w:r>
      <w:r>
        <w:t xml:space="preserve"> </w:t>
      </w:r>
      <w:r>
        <w:t xml:space="preserve">§11.5.2 settles this. Wire compatibility is the right delivery vehicle, and this repository takes that seriously enough to implement it — PostgreSQL wire protocol v3 including the extended query path, MySQL packet framing, and the TLS negotiation state machines for both, with the deliberate design commitment that a wire protocol is a</w:t>
      </w:r>
      <w:r>
        <w:t xml:space="preserve"> </w:t>
      </w:r>
      <w:r>
        <w:rPr>
          <w:iCs/>
          <w:i/>
        </w:rPr>
        <w:t xml:space="preserve">surface, not a semantics</w:t>
      </w:r>
      <w:r>
        <w:t xml:space="preserve">: there is no compatibility layer with its own execution path, because two ways to compute an answer is two answers that can disagree.</w:t>
      </w:r>
    </w:p>
    <w:p>
      <w:pPr>
        <w:pStyle w:val="BodyText"/>
      </w:pPr>
      <w:r>
        <w:rPr>
          <w:bCs/>
          <w:b/>
        </w:rPr>
        <w:t xml:space="preserve">The language surface: a replacement is not needed either, but an extension is, and the extension is not expressible as one.</w:t>
      </w:r>
      <w:r>
        <w:t xml:space="preserve"> </w:t>
      </w:r>
      <w:r>
        <w:t xml:space="preserve">SQL’s obstacle is not that it lacks features; it is that its type system has no place to put them. A consistency rung is a property of a</w:t>
      </w:r>
      <w:r>
        <w:t xml:space="preserve"> </w:t>
      </w:r>
      <w:r>
        <w:rPr>
          <w:iCs/>
          <w:i/>
        </w:rPr>
        <w:t xml:space="preserve">view definition</w:t>
      </w:r>
      <w:r>
        <w:t xml:space="preserve">; SQL has no view-level modality. A conservation obligation is a property of a</w:t>
      </w:r>
      <w:r>
        <w:t xml:space="preserve"> </w:t>
      </w:r>
      <w:r>
        <w:rPr>
          <w:iCs/>
          <w:i/>
        </w:rPr>
        <w:t xml:space="preserve">transaction body</w:t>
      </w:r>
      <w:r>
        <w:t xml:space="preserve">; SQL’s transaction is a control construct with no type. A currency is a property of a</w:t>
      </w:r>
      <w:r>
        <w:t xml:space="preserve"> </w:t>
      </w:r>
      <w:r>
        <w:rPr>
          <w:iCs/>
          <w:i/>
        </w:rPr>
        <w:t xml:space="preserve">value</w:t>
      </w:r>
      <w:r>
        <w:t xml:space="preserve">; SQL’s</w:t>
      </w:r>
      <w:r>
        <w:t xml:space="preserve"> </w:t>
      </w:r>
      <w:r>
        <w:rPr>
          <w:rStyle w:val="VerbatimChar"/>
        </w:rPr>
        <w:t xml:space="preserve">numeric</w:t>
      </w:r>
      <w:r>
        <w:t xml:space="preserve"> </w:t>
      </w:r>
      <w:r>
        <w:t xml:space="preserve">has a scale but no unit, and</w:t>
      </w:r>
      <w:r>
        <w:t xml:space="preserve"> </w:t>
      </w:r>
      <w:r>
        <w:rPr>
          <w:rStyle w:val="VerbatimChar"/>
        </w:rPr>
        <w:t xml:space="preserve">Kennedy</w:t>
      </w:r>
      <w:r>
        <w:t xml:space="preserve">-style unit checking requires the unit to be part of the type rather than a column comment. Each of these could be bolted on individually — and PostgreSQL’s extension mechanism is strong enough that several have been, in isolation — but they interact: a view’s rung constrains which views it may read, which constrains where money may flow, which constrains what may be declassified. The thesis’s claim is that these five analyses want one type system.</w:t>
      </w:r>
    </w:p>
    <w:p>
      <w:pPr>
        <w:pStyle w:val="BodyText"/>
      </w:pPr>
      <w:r>
        <w:t xml:space="preserve">That claim is</w:t>
      </w:r>
      <w:r>
        <w:t xml:space="preserve"> </w:t>
      </w:r>
      <w:r>
        <w:rPr>
          <w:bCs/>
          <w:b/>
        </w:rPr>
        <w:t xml:space="preserve">cumulative, not enabling</w:t>
      </w:r>
      <w:r>
        <w:t xml:space="preserve">, and this section is where the thesis stops overstating it. The strongest honest version:</w:t>
      </w:r>
      <w:r>
        <w:t xml:space="preserve"> </w:t>
      </w:r>
      <w:r>
        <w:rPr>
          <w:iCs/>
          <w:i/>
        </w:rPr>
        <w:t xml:space="preserve">a coherent type system spanning money, effects, consistency, confidentiality and retention has not been built, is not obtainable by composing five independent extensions because the analyses are mutually constraining, and Niles is an existence proof that it can be built.</w:t>
      </w:r>
      <w:r>
        <w:t xml:space="preserve"> </w:t>
      </w:r>
      <w:r>
        <w:t xml:space="preserve">An existence proof is a real contribution. It is not an impossibility result, and the thesis previously read in places as though it were.</w:t>
      </w:r>
    </w:p>
    <w:bookmarkEnd w:id="210"/>
    <w:bookmarkStart w:id="211" w:name="X54f86b219ec8484060bac980f6e6bb6efa0cc54"/>
    <w:p>
      <w:pPr>
        <w:pStyle w:val="Heading3"/>
      </w:pPr>
      <w:r>
        <w:t xml:space="preserve">11.5.5 Has it been proved that Noria cannot be used in production?</w:t>
      </w:r>
    </w:p>
    <w:p>
      <w:pPr>
        <w:pStyle w:val="FirstParagraph"/>
      </w:pPr>
      <w:r>
        <w:rPr>
          <w:bCs/>
          <w:b/>
        </w:rPr>
        <w:t xml:space="preserve">No — and the attempt that motivated this thesis does not prove it either.</w:t>
      </w:r>
      <w:r>
        <w:t xml:space="preserve"> </w:t>
      </w:r>
      <w:r>
        <w:t xml:space="preserve">This is a correction to the thesis’s own motivating narrative, and it is made here because a reviewer would make it otherwise.</w:t>
      </w:r>
    </w:p>
    <w:p>
      <w:pPr>
        <w:pStyle w:val="BodyText"/>
      </w:pPr>
      <w:r>
        <w:t xml:space="preserve">The author’s earlier attempt to build a core-banking system (GBS) on Noria is documented in a 4,565-line transcript, analysed line by line in</w:t>
      </w:r>
      <w:r>
        <w:t xml:space="preserve"> </w:t>
      </w:r>
      <w:r>
        <w:rPr>
          <w:rStyle w:val="VerbatimChar"/>
        </w:rPr>
        <w:t xml:space="preserve">docs/research/gbs-noria-postmortem.md</w:t>
      </w:r>
      <w:r>
        <w:t xml:space="preserve">. Its central finding constrains what may be argued from it:</w:t>
      </w:r>
    </w:p>
    <w:p>
      <w:pPr>
        <w:pStyle w:val="BlockText"/>
      </w:pPr>
      <w:r>
        <w:rPr>
          <w:bCs/>
          <w:b/>
        </w:rPr>
        <w:t xml:space="preserve">Noria was never successfully built, started, or connected to. Zero SQL statements were ever executed against it. Every Noria failure in that transcript is a build, packaging, or distribution failure — not a semantic one.</w:t>
      </w:r>
    </w:p>
    <w:p>
      <w:pPr>
        <w:pStyle w:val="FirstParagraph"/>
      </w:pPr>
      <w:r>
        <w:t xml:space="preserve">The failure chain is entirely one of artefact availability: the</w:t>
      </w:r>
      <w:r>
        <w:t xml:space="preserve"> </w:t>
      </w:r>
      <w:r>
        <w:rPr>
          <w:rStyle w:val="VerbatimChar"/>
        </w:rPr>
        <w:t xml:space="preserve">noria</w:t>
      </w:r>
      <w:r>
        <w:t xml:space="preserve"> </w:t>
      </w:r>
      <w:r>
        <w:t xml:space="preserve">crate requires a 2021-era nightly Rust; it uses</w:t>
      </w:r>
      <w:r>
        <w:t xml:space="preserve"> </w:t>
      </w:r>
      <w:r>
        <w:rPr>
          <w:rStyle w:val="VerbatimChar"/>
        </w:rPr>
        <w:t xml:space="preserve">impl_trait_in_assoc_type</w:t>
      </w:r>
      <w:r>
        <w:t xml:space="preserve"> </w:t>
      </w:r>
      <w:r>
        <w:t xml:space="preserve">in a form modern nightly rejects; its transitive</w:t>
      </w:r>
      <w:r>
        <w:t xml:space="preserve"> </w:t>
      </w:r>
      <w:r>
        <w:rPr>
          <w:rStyle w:val="VerbatimChar"/>
        </w:rPr>
        <w:t xml:space="preserve">librocksdb-sys v6.20.3</w:t>
      </w:r>
      <w:r>
        <w:t xml:space="preserve"> </w:t>
      </w:r>
      <w:r>
        <w:t xml:space="preserve">panics under modern LLVM’s bindgen; no published container image exists; and a source build pinned to</w:t>
      </w:r>
      <w:r>
        <w:t xml:space="preserve"> </w:t>
      </w:r>
      <w:r>
        <w:rPr>
          <w:rStyle w:val="VerbatimChar"/>
        </w:rPr>
        <w:t xml:space="preserve">nightly-2021-01-01</w:t>
      </w:r>
      <w:r>
        <w:t xml:space="preserve"> </w:t>
      </w:r>
      <w:r>
        <w:t xml:space="preserve">still fails because</w:t>
      </w:r>
      <w:r>
        <w:t xml:space="preserve"> </w:t>
      </w:r>
      <w:r>
        <w:rPr>
          <w:iCs/>
          <w:i/>
        </w:rPr>
        <w:t xml:space="preserve">unpinned transitive dependencies</w:t>
      </w:r>
      <w:r>
        <w:t xml:space="preserve"> </w:t>
      </w:r>
      <w:r>
        <w:t xml:space="preserve">have moved on. The attempt then pivoted to Materialize, which produced the transcript’s only genuine engine refusal (</w:t>
      </w:r>
      <w:r>
        <w:rPr>
          <w:rStyle w:val="VerbatimChar"/>
        </w:rPr>
        <w:t xml:space="preserve">CREATE TABLE with a primary key or unique constraint is not supported</w:t>
      </w:r>
      <w:r>
        <w:t xml:space="preserve">), and ended without a confirmed end-to-end run on any engine.</w:t>
      </w:r>
    </w:p>
    <w:p>
      <w:pPr>
        <w:pStyle w:val="BodyText"/>
      </w:pPr>
      <w:r>
        <w:t xml:space="preserve">Two further honesty obligations follow from that document, and both cut against a convenient narrative:</w:t>
      </w:r>
    </w:p>
    <w:p>
      <w:pPr>
        <w:numPr>
          <w:ilvl w:val="0"/>
          <w:numId w:val="1023"/>
        </w:numPr>
        <w:pStyle w:val="Compact"/>
      </w:pPr>
      <w:r>
        <w:rPr>
          <w:bCs/>
          <w:b/>
        </w:rPr>
        <w:t xml:space="preserve">The build failure is partly self-inflicted.</w:t>
      </w:r>
      <w:r>
        <w:t xml:space="preserve"> </w:t>
      </w:r>
      <w:r>
        <w:t xml:space="preserve">The source build ran a bare</w:t>
      </w:r>
      <w:r>
        <w:t xml:space="preserve"> </w:t>
      </w:r>
      <w:r>
        <w:rPr>
          <w:rStyle w:val="VerbatimChar"/>
        </w:rPr>
        <w:t xml:space="preserve">cargo build --release</w:t>
      </w:r>
      <w:r>
        <w:t xml:space="preserve"> </w:t>
      </w:r>
      <w:r>
        <w:t xml:space="preserve">with no</w:t>
      </w:r>
      <w:r>
        <w:t xml:space="preserve"> </w:t>
      </w:r>
      <w:r>
        <w:rPr>
          <w:rStyle w:val="VerbatimChar"/>
        </w:rPr>
        <w:t xml:space="preserve">--locked</w:t>
      </w:r>
      <w:r>
        <w:t xml:space="preserve"> </w:t>
      </w:r>
      <w:r>
        <w:t xml:space="preserve">and no pinned upstream commit; unpinned resolution is the textbook cause of exactly the failure observed. The cheapest available fix was never attempted, which weakens even the availability claim.</w:t>
      </w:r>
    </w:p>
    <w:p>
      <w:pPr>
        <w:numPr>
          <w:ilvl w:val="0"/>
          <w:numId w:val="1023"/>
        </w:numPr>
        <w:pStyle w:val="Compact"/>
      </w:pPr>
      <w:r>
        <w:rPr>
          <w:bCs/>
          <w:b/>
        </w:rPr>
        <w:t xml:space="preserve">The largest single category of friction was neither Noria nor semantics.</w:t>
      </w:r>
      <w:r>
        <w:t xml:space="preserve"> </w:t>
      </w:r>
      <w:r>
        <w:t xml:space="preserve">A chat interface silently stripped</w:t>
      </w:r>
      <w:r>
        <w:t xml:space="preserve"> </w:t>
      </w:r>
      <w:r>
        <w:rPr>
          <w:rStyle w:val="VerbatimChar"/>
        </w:rPr>
        <w:t xml:space="preserve">&lt;</w:t>
      </w:r>
      <w:r>
        <w:t xml:space="preserve"> </w:t>
      </w:r>
      <w:r>
        <w:t xml:space="preserve">and</w:t>
      </w:r>
      <w:r>
        <w:t xml:space="preserve"> </w:t>
      </w:r>
      <w:r>
        <w:rPr>
          <w:rStyle w:val="VerbatimChar"/>
        </w:rPr>
        <w:t xml:space="preserve">&gt;</w:t>
      </w:r>
      <w:r>
        <w:t xml:space="preserve"> </w:t>
      </w:r>
      <w:r>
        <w:t xml:space="preserve">from code blocks across six exchanges, breaking every Rust generic and every Yew</w:t>
      </w:r>
      <w:r>
        <w:t xml:space="preserve"> </w:t>
      </w:r>
      <w:r>
        <w:rPr>
          <w:rStyle w:val="VerbatimChar"/>
        </w:rPr>
        <w:t xml:space="preserve">html!</w:t>
      </w:r>
      <w:r>
        <w:t xml:space="preserve"> </w:t>
      </w:r>
      <w:r>
        <w:t xml:space="preserve">macro, and producing more compile errors than Noria and Materialize combined. Docker Desktop conflicts, Homebrew collisions, CORS and a</w:t>
      </w:r>
      <w:r>
        <w:t xml:space="preserve"> </w:t>
      </w:r>
      <w:r>
        <w:rPr>
          <w:rStyle w:val="VerbatimChar"/>
        </w:rPr>
        <w:t xml:space="preserve">trunk</w:t>
      </w:r>
      <w:r>
        <w:t xml:space="preserve"> </w:t>
      </w:r>
      <w:r>
        <w:t xml:space="preserve">build failure account for most of the rest.</w:t>
      </w:r>
    </w:p>
    <w:p>
      <w:pPr>
        <w:numPr>
          <w:ilvl w:val="0"/>
          <w:numId w:val="1023"/>
        </w:numPr>
        <w:pStyle w:val="Compact"/>
      </w:pPr>
      <w:r>
        <w:rPr>
          <w:bCs/>
          <w:b/>
        </w:rPr>
        <w:t xml:space="preserve">Money was never a float.</w:t>
      </w:r>
      <w:r>
        <w:t xml:space="preserve"> </w:t>
      </w:r>
      <w:r>
        <w:t xml:space="preserve">The attempt used</w:t>
      </w:r>
      <w:r>
        <w:t xml:space="preserve"> </w:t>
      </w:r>
      <w:r>
        <w:rPr>
          <w:rStyle w:val="VerbatimChar"/>
        </w:rPr>
        <w:t xml:space="preserve">BIGINT</w:t>
      </w:r>
      <w:r>
        <w:t xml:space="preserve"> </w:t>
      </w:r>
      <w:r>
        <w:t xml:space="preserve">minor units from the first schema onward, and said why. If any part of this thesis lists float-money as a failure mode this attempt hit, it is wrong and must be cut.</w:t>
      </w:r>
    </w:p>
    <w:p>
      <w:pPr>
        <w:pStyle w:val="FirstParagraph"/>
      </w:pPr>
      <w:r>
        <w:t xml:space="preserve">What the transcript</w:t>
      </w:r>
      <w:r>
        <w:t xml:space="preserve"> </w:t>
      </w:r>
      <w:r>
        <w:rPr>
          <w:iCs/>
          <w:i/>
        </w:rPr>
        <w:t xml:space="preserve">does</w:t>
      </w:r>
      <w:r>
        <w:t xml:space="preserve"> </w:t>
      </w:r>
      <w:r>
        <w:t xml:space="preserve">establish is two things, and they are worth having.</w:t>
      </w:r>
    </w:p>
    <w:p>
      <w:pPr>
        <w:pStyle w:val="BodyText"/>
      </w:pPr>
      <w:r>
        <w:rPr>
          <w:bCs/>
          <w:b/>
        </w:rPr>
        <w:t xml:space="preserve">First, research-artefact sustainability.</w:t>
      </w:r>
      <w:r>
        <w:t xml:space="preserve"> </w:t>
      </w:r>
      <w:r>
        <w:t xml:space="preserve">A system distributed only as a source tree pinned to a five-year-old nightly, with unlocked transitive dependencies and a C++ dependency broken by later toolchains, is undeployable regardless of its design merit. This is a claim about</w:t>
      </w:r>
      <w:r>
        <w:t xml:space="preserve"> </w:t>
      </w:r>
      <w:r>
        <w:rPr>
          <w:iCs/>
          <w:i/>
        </w:rPr>
        <w:t xml:space="preserve">artefacts</w:t>
      </w:r>
      <w:r>
        <w:t xml:space="preserve">, not about</w:t>
      </w:r>
      <w:r>
        <w:t xml:space="preserve"> </w:t>
      </w:r>
      <w:r>
        <w:rPr>
          <w:iCs/>
          <w:i/>
        </w:rPr>
        <w:t xml:space="preserve">ideas</w:t>
      </w:r>
      <w:r>
        <w:t xml:space="preserve">, and it argues for the engineering practice this repository adopts — pinned toolchain, locked dependencies, determinism gates, a reproducible build — rather than against Noria’s design, which this thesis builds directly upon and credits accordingly.</w:t>
      </w:r>
    </w:p>
    <w:p>
      <w:pPr>
        <w:pStyle w:val="BodyText"/>
      </w:pPr>
      <w:r>
        <w:rPr>
          <w:bCs/>
          <w:b/>
        </w:rPr>
        <w:t xml:space="preserve">Second, and more on-thesis: guarantees absent from the engine reappear as unverified application code.</w:t>
      </w:r>
      <w:r>
        <w:t xml:space="preserve"> </w:t>
      </w:r>
      <w:r>
        <w:t xml:space="preserve">The transcript shows this happening in real time. Uniqueness, once the engine refused primary keys, became</w:t>
      </w:r>
      <w:r>
        <w:t xml:space="preserve"> </w:t>
      </w:r>
      <w:r>
        <w:rPr>
          <w:rStyle w:val="VerbatimChar"/>
        </w:rPr>
        <w:t xml:space="preserve">transaction_id + 1</w:t>
      </w:r>
      <w:r>
        <w:t xml:space="preserve"> </w:t>
      </w:r>
      <w:r>
        <w:t xml:space="preserve">with a comment saying it keeps the key unique. Atomicity became a comment reading</w:t>
      </w:r>
      <w:r>
        <w:t xml:space="preserve"> </w:t>
      </w:r>
      <w:r>
        <w:rPr>
          <w:iCs/>
          <w:i/>
        </w:rPr>
        <w:t xml:space="preserve">“</w:t>
      </w:r>
      <w:r>
        <w:rPr>
          <w:iCs/>
          <w:i/>
        </w:rPr>
        <w:t xml:space="preserve">in a real banking app, you would wrap this in a SQL transaction.</w:t>
      </w:r>
      <w:r>
        <w:rPr>
          <w:iCs/>
          <w:i/>
        </w:rPr>
        <w:t xml:space="preserve">”</w:t>
      </w:r>
      <w:r>
        <w:t xml:space="preserve"> </w:t>
      </w:r>
      <w:r>
        <w:t xml:space="preserve">A failed balance read became</w:t>
      </w:r>
      <w:r>
        <w:t xml:space="preserve"> </w:t>
      </w:r>
      <w:r>
        <w:rPr>
          <w:rStyle w:val="VerbatimChar"/>
        </w:rPr>
        <w:t xml:space="preserve">Err(_) =&gt; 0, // Account not found or zero balance</w:t>
      </w:r>
      <w:r>
        <w:t xml:space="preserve"> </w:t>
      </w:r>
      <w:r>
        <w:t xml:space="preserve">— a database error silently rendered as a zero balance, which is the</w:t>
      </w:r>
      <w:r>
        <w:t xml:space="preserve"> </w:t>
      </w:r>
      <w:r>
        <w:t xml:space="preserve">“</w:t>
      </w:r>
      <w:r>
        <w:t xml:space="preserve">miss ≠ zero</w:t>
      </w:r>
      <w:r>
        <w:t xml:space="preserve">”</w:t>
      </w:r>
      <w:r>
        <w:t xml:space="preserve"> </w:t>
      </w:r>
      <w:r>
        <w:t xml:space="preserve">defect this thesis’s absence lattice exists to make impossible, appearing spontaneously in code written to work around an engine that could not express it. No currency column, no overdraft check and no audit metadata appear in any schema in the transcript.</w:t>
      </w:r>
    </w:p>
    <w:p>
      <w:pPr>
        <w:pStyle w:val="BodyText"/>
      </w:pPr>
      <w:r>
        <w:t xml:space="preserve">That second finding is an</w:t>
      </w:r>
      <w:r>
        <w:t xml:space="preserve"> </w:t>
      </w:r>
      <w:r>
        <w:rPr>
          <w:iCs/>
          <w:i/>
        </w:rPr>
        <w:t xml:space="preserve">illustration</w:t>
      </w:r>
      <w:r>
        <w:t xml:space="preserve"> </w:t>
      </w:r>
      <w:r>
        <w:t xml:space="preserve">of a failure mode, from n = 1, in an AI-assisted session by one developer with no controlled comparison. It is not a measurement, and Chapter 9 does not treat it as one. Its correct home is §1.1, as the observation that motivated the work, clearly labelled as an anecdote — which is what motivations are — with the differential defect corpus of §6.10.3 doing the evidentiary work.</w:t>
      </w:r>
    </w:p>
    <w:p>
      <w:pPr>
        <w:pStyle w:val="BodyText"/>
      </w:pPr>
      <w:r>
        <w:rPr>
          <w:bCs/>
          <w:b/>
        </w:rPr>
        <w:t xml:space="preserve">What Noria’s own authors claim.</w:t>
      </w:r>
      <w:r>
        <w:t xml:space="preserve"> </w:t>
      </w:r>
      <w:r>
        <w:t xml:space="preserve">The limits this thesis actually relies on are stated in the Noria papers, not discovered in the transcript: eventual consistency only, randomized eviction, unsupported SQL keywords, and transactions and stronger consistency listed as future work [Gjengset et al., OSDI ’18; Gjengset, PhD thesis]. Those are literature citations and are cited as such. Presenting them as findings of the GBS attempt would be a category error, and the earlier draft came closer to doing so than it should have.</w:t>
      </w:r>
    </w:p>
    <w:bookmarkEnd w:id="211"/>
    <w:bookmarkStart w:id="212" w:name="Xc903e3e872f2525e78cda93346c5dcdbc1a5aad"/>
    <w:p>
      <w:pPr>
        <w:pStyle w:val="Heading3"/>
      </w:pPr>
      <w:r>
        <w:t xml:space="preserve">11.5.6 Have the symbolic accounting boundary and the two-span diagnostics been analysed and argued?</w:t>
      </w:r>
    </w:p>
    <w:p>
      <w:pPr>
        <w:pStyle w:val="FirstParagraph"/>
      </w:pPr>
      <w:r>
        <w:rPr>
          <w:bCs/>
          <w:b/>
        </w:rPr>
        <w:t xml:space="preserve">Both, yes — and one of them was substantially rewritten as a result.</w:t>
      </w:r>
    </w:p>
    <w:p>
      <w:pPr>
        <w:pStyle w:val="BodyText"/>
      </w:pPr>
      <w:r>
        <w:rPr>
          <w:bCs/>
          <w:b/>
        </w:rPr>
        <w:t xml:space="preserve">Symbolic accounting across a transaction boundary</w:t>
      </w:r>
      <w:r>
        <w:t xml:space="preserve"> </w:t>
      </w:r>
      <w:r>
        <w:t xml:space="preserve">is analysed in §4.5.1 (1,857 words) with a 43-reference review in</w:t>
      </w:r>
      <w:r>
        <w:t xml:space="preserve"> </w:t>
      </w:r>
      <w:r>
        <w:rPr>
          <w:rStyle w:val="VerbatimChar"/>
        </w:rPr>
        <w:t xml:space="preserve">docs/research/currency-row-analysis.md</w:t>
      </w:r>
      <w:r>
        <w:t xml:space="preserve">. The analysis produced four corrections that a reviewer would otherwise have produced: the technique is a</w:t>
      </w:r>
      <w:r>
        <w:t xml:space="preserve"> </w:t>
      </w:r>
      <w:r>
        <w:rPr>
          <w:iCs/>
          <w:i/>
        </w:rPr>
        <w:t xml:space="preserve">Karr-expressible query answered in a weaker non-relational domain</w:t>
      </w:r>
      <w:r>
        <w:t xml:space="preserve">, not row polymorphism (the mechanism is a Currency-graded module with Hindley–Milner unification); it is a</w:t>
      </w:r>
      <w:r>
        <w:t xml:space="preserve"> </w:t>
      </w:r>
      <w:r>
        <w:rPr>
          <w:bCs/>
          <w:b/>
        </w:rPr>
        <w:t xml:space="preserve">static analysis, not a decision procedure</w:t>
      </w:r>
      <w:r>
        <w:t xml:space="preserve">; its incompleteness is</w:t>
      </w:r>
      <w:r>
        <w:t xml:space="preserve"> </w:t>
      </w:r>
      <w:r>
        <w:rPr>
          <w:bCs/>
          <w:b/>
        </w:rPr>
        <w:t xml:space="preserve">Herbrand, not arithmetic</w:t>
      </w:r>
      <w:r>
        <w:t xml:space="preserve">; and</w:t>
      </w:r>
      <w:r>
        <w:t xml:space="preserve"> </w:t>
      </w:r>
      <w:r>
        <w:rPr>
          <w:rStyle w:val="VerbatimChar"/>
        </w:rPr>
        <w:t xml:space="preserve">Undecided</w:t>
      </w:r>
      <w:r>
        <w:t xml:space="preserve"> </w:t>
      </w:r>
      <w:r>
        <w:t xml:space="preserve">is</w:t>
      </w:r>
      <w:r>
        <w:t xml:space="preserve"> </w:t>
      </w:r>
      <w:r>
        <w:rPr>
          <w:iCs/>
          <w:i/>
        </w:rPr>
        <w:t xml:space="preserve">forced</w:t>
      </w:r>
      <w:r>
        <w:t xml:space="preserve"> </w:t>
      </w:r>
      <w:r>
        <w:t xml:space="preserve">by a reduction from Post’s Correspondence Problem rather than chosen. It also corrected a claim about Move, whose own paper states that its type system</w:t>
      </w:r>
      <w:r>
        <w:t xml:space="preserve"> </w:t>
      </w:r>
      <w:r>
        <w:t xml:space="preserve">“</w:t>
      </w:r>
      <w:r>
        <w:t xml:space="preserve">will not ensure that the total value of all Coins in existence is preserved</w:t>
      </w:r>
      <w:r>
        <w:t xml:space="preserve">”</w:t>
      </w:r>
      <w:r>
        <w:t xml:space="preserve"> </w:t>
      </w:r>
      <w:r>
        <w:t xml:space="preserve">— a correction that strengthens this thesis and was therefore easy to miss.</w:t>
      </w:r>
    </w:p>
    <w:p>
      <w:pPr>
        <w:pStyle w:val="BodyText"/>
      </w:pPr>
      <w:r>
        <w:t xml:space="preserve">The engineering was rewritten in consequence. The solver had</w:t>
      </w:r>
      <w:r>
        <w:t xml:space="preserve"> </w:t>
      </w:r>
      <w:r>
        <w:rPr>
          <w:bCs/>
          <w:b/>
        </w:rPr>
        <w:t xml:space="preserve">no control-flow join</w:t>
      </w:r>
      <w:r>
        <w:t xml:space="preserve">: it walked both arms of an</w:t>
      </w:r>
      <w:r>
        <w:t xml:space="preserve"> </w:t>
      </w:r>
      <w:r>
        <w:rPr>
          <w:rStyle w:val="VerbatimChar"/>
        </w:rPr>
        <w:t xml:space="preserve">if</w:t>
      </w:r>
      <w:r>
        <w:t xml:space="preserve"> </w:t>
      </w:r>
      <w:r>
        <w:t xml:space="preserve">into one accumulator, and on an eleven-line correct transaction produced a phantom $10 imbalance, a spurious</w:t>
      </w:r>
      <w:r>
        <w:t xml:space="preserve"> </w:t>
      </w:r>
      <w:r>
        <w:t xml:space="preserve">“</w:t>
      </w:r>
      <w:r>
        <w:t xml:space="preserve">never consumed</w:t>
      </w:r>
      <w:r>
        <w:t xml:space="preserve">”</w:t>
      </w:r>
      <w:r>
        <w:t xml:space="preserve"> </w:t>
      </w:r>
      <w:r>
        <w:t xml:space="preserve">on a shadowed binding, and two spurious</w:t>
      </w:r>
      <w:r>
        <w:t xml:space="preserve"> </w:t>
      </w:r>
      <w:r>
        <w:t xml:space="preserve">“</w:t>
      </w:r>
      <w:r>
        <w:t xml:space="preserve">consumed twice</w:t>
      </w:r>
      <w:r>
        <w:t xml:space="preserve">”</w:t>
      </w:r>
      <w:r>
        <w:t xml:space="preserve">. The fix is a top-preserving</w:t>
      </w:r>
      <w:r>
        <w:t xml:space="preserve"> </w:t>
      </w:r>
      <w:r>
        <w:rPr>
          <w:rStyle w:val="VerbatimChar"/>
        </w:rPr>
        <w:t xml:space="preserve">Row::join</w:t>
      </w:r>
      <w:r>
        <w:t xml:space="preserve"> </w:t>
      </w:r>
      <w:r>
        <w:t xml:space="preserve">— entries both arms agree on survive, disagreements poison to</w:t>
      </w:r>
      <w:r>
        <w:t xml:space="preserve"> </w:t>
      </w:r>
      <w:r>
        <w:rPr>
          <w:rStyle w:val="VerbatimChar"/>
        </w:rPr>
        <w:t xml:space="preserve">Undecided</w:t>
      </w:r>
      <w:r>
        <w:t xml:space="preserve"> </w:t>
      </w:r>
      <w:r>
        <w:t xml:space="preserve">— with branch-local scopes and linear uses taking the</w:t>
      </w:r>
      <w:r>
        <w:t xml:space="preserve"> </w:t>
      </w:r>
      <w:r>
        <w:rPr>
          <w:iCs/>
          <w:i/>
        </w:rPr>
        <w:t xml:space="preserve">maximum</w:t>
      </w:r>
      <w:r>
        <w:t xml:space="preserve"> </w:t>
      </w:r>
      <w:r>
        <w:t xml:space="preserve">across arms rather than the sum. Two over-corrections followed and are recorded: marking</w:t>
      </w:r>
      <w:r>
        <w:t xml:space="preserve"> </w:t>
      </w:r>
      <w:r>
        <w:rPr>
          <w:rStyle w:val="VerbatimChar"/>
        </w:rPr>
        <w:t xml:space="preserve">?</w:t>
      </w:r>
      <w:r>
        <w:t xml:space="preserve"> </w:t>
      </w:r>
      <w:r>
        <w:t xml:space="preserve">as</w:t>
      </w:r>
      <w:r>
        <w:t xml:space="preserve"> </w:t>
      </w:r>
      <w:r>
        <w:rPr>
          <w:rStyle w:val="VerbatimChar"/>
        </w:rPr>
        <w:t xml:space="preserve">MayAbort</w:t>
      </w:r>
      <w:r>
        <w:t xml:space="preserve"> </w:t>
      </w:r>
      <w:r>
        <w:t xml:space="preserve">downgraded a real $40 hole to a warning (fixed by</w:t>
      </w:r>
      <w:r>
        <w:t xml:space="preserve"> </w:t>
      </w:r>
      <w:r>
        <w:rPr>
          <w:iCs/>
          <w:i/>
        </w:rPr>
        <w:t xml:space="preserve">dropping</w:t>
      </w:r>
      <w:r>
        <w:t xml:space="preserve"> </w:t>
      </w:r>
      <w:r>
        <w:t xml:space="preserve">abort paths, since a</w:t>
      </w:r>
      <w:r>
        <w:t xml:space="preserve"> </w:t>
      </w:r>
      <w:r>
        <w:rPr>
          <w:rStyle w:val="VerbatimChar"/>
        </w:rPr>
        <w:t xml:space="preserve">txn</w:t>
      </w:r>
      <w:r>
        <w:t xml:space="preserve"> </w:t>
      </w:r>
      <w:r>
        <w:t xml:space="preserve">is sealed atomically and an abort path commits nothing — a runtime guarantee buying static precision), and gating</w:t>
      </w:r>
      <w:r>
        <w:t xml:space="preserve"> </w:t>
      </w:r>
      <w:r>
        <w:rPr>
          <w:rStyle w:val="VerbatimChar"/>
        </w:rPr>
        <w:t xml:space="preserve">Violates</w:t>
      </w:r>
      <w:r>
        <w:t xml:space="preserve"> </w:t>
      </w:r>
      <w:r>
        <w:t xml:space="preserve">on straight-line provenance turned two arms that both lose $10 into a warning (fixed by removing the gate, since a top-preserving join already guarantees a surviving decided entry was agreed by every arm). Fourteen tests in</w:t>
      </w:r>
      <w:r>
        <w:t xml:space="preserve"> </w:t>
      </w:r>
      <w:r>
        <w:rPr>
          <w:rStyle w:val="VerbatimChar"/>
        </w:rPr>
        <w:t xml:space="preserve">control_flow_soundness.rs</w:t>
      </w:r>
      <w:r>
        <w:t xml:space="preserve"> </w:t>
      </w:r>
      <w:r>
        <w:t xml:space="preserve">pin the result.</w:t>
      </w:r>
    </w:p>
    <w:p>
      <w:pPr>
        <w:pStyle w:val="BodyText"/>
      </w:pPr>
      <w:r>
        <w:rPr>
          <w:bCs/>
          <w:b/>
        </w:rPr>
        <w:t xml:space="preserve">Two-span diagnostics</w:t>
      </w:r>
      <w:r>
        <w:t xml:space="preserve"> </w:t>
      </w:r>
      <w:r>
        <w:t xml:space="preserve">are analysed in §6.10.4 with a 34-reference review in</w:t>
      </w:r>
      <w:r>
        <w:t xml:space="preserve"> </w:t>
      </w:r>
      <w:r>
        <w:rPr>
          <w:rStyle w:val="VerbatimChar"/>
        </w:rPr>
        <w:t xml:space="preserve">docs/research/diagnostics-evidence.md</w:t>
      </w:r>
      <w:r>
        <w:t xml:space="preserve">, structured on Toulmin’s claim/grounds/warrant/backing and on Haack and Wells’s type-error slicing, whose central point is that an error is a</w:t>
      </w:r>
      <w:r>
        <w:t xml:space="preserve"> </w:t>
      </w:r>
      <w:r>
        <w:rPr>
          <w:iCs/>
          <w:i/>
        </w:rPr>
        <w:t xml:space="preserve">set</w:t>
      </w:r>
      <w:r>
        <w:t xml:space="preserve"> </w:t>
      </w:r>
      <w:r>
        <w:t xml:space="preserve">of program points rather than a location. The honest finding recorded there, and repeated because it constrains what may be claimed:</w:t>
      </w:r>
      <w:r>
        <w:t xml:space="preserve"> </w:t>
      </w:r>
      <w:r>
        <w:rPr>
          <w:bCs/>
          <w:b/>
        </w:rPr>
        <w:t xml:space="preserve">no controlled study compares multi-span with single-span diagnostics</w:t>
      </w:r>
      <w:r>
        <w:t xml:space="preserve">, and Elm — routinely cited as the exemplar — is single-region. The thesis therefore argues the design from first principles and from the structure of the analysis (a conservation violation genuinely</w:t>
      </w:r>
      <w:r>
        <w:t xml:space="preserve"> </w:t>
      </w:r>
      <w:r>
        <w:rPr>
          <w:iCs/>
          <w:i/>
        </w:rPr>
        <w:t xml:space="preserve">has</w:t>
      </w:r>
      <w:r>
        <w:t xml:space="preserve"> </w:t>
      </w:r>
      <w:r>
        <w:t xml:space="preserve">two locations: where the money entered and where the path left it unbalanced), and does not claim empirical support that does not exist. The warrant is elided when a machine-applicable suggestion is present, on the grounds that a resolution outranks an explanation.</w:t>
      </w:r>
    </w:p>
    <w:bookmarkEnd w:id="212"/>
    <w:bookmarkStart w:id="213" w:name="X64dd936edaf3f28aaebee02503991d5f03a363d"/>
    <w:p>
      <w:pPr>
        <w:pStyle w:val="Heading3"/>
      </w:pPr>
      <w:r>
        <w:t xml:space="preserve">11.5.7 Have the engine defects been corrected in the repository and the thesis?</w:t>
      </w:r>
    </w:p>
    <w:p>
      <w:pPr>
        <w:pStyle w:val="FirstParagraph"/>
      </w:pPr>
      <w:r>
        <w:t xml:space="preserve">Yes, and the table below is the audit trail.</w:t>
      </w:r>
      <w:r>
        <w:t xml:space="preserve"> </w:t>
      </w:r>
      <w:r>
        <w:t xml:space="preserve">“</w:t>
      </w:r>
      <w:r>
        <w:t xml:space="preserve">Corrected</w:t>
      </w:r>
      <w:r>
        <w:t xml:space="preserve">”</w:t>
      </w:r>
      <w:r>
        <w:t xml:space="preserve"> </w:t>
      </w:r>
      <w:r>
        <w:t xml:space="preserve">means the defect is fixed in code with a regression test, and the thesis text that overstated the position has been rewritten rather than merely qualified.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Defect</w:t>
            </w:r>
          </w:p>
        </w:tc>
        <w:tc>
          <w:tcPr/>
          <w:p>
            <w:pPr>
              <w:pStyle w:val="Compact"/>
              <w:jc w:val="left"/>
            </w:pPr>
            <w:r>
              <w:t xml:space="preserve">Repository</w:t>
            </w:r>
          </w:p>
        </w:tc>
        <w:tc>
          <w:tcPr/>
          <w:p>
            <w:pPr>
              <w:pStyle w:val="Compact"/>
              <w:jc w:val="left"/>
            </w:pPr>
            <w:r>
              <w:t xml:space="preserve">Thesis</w:t>
            </w:r>
          </w:p>
        </w:tc>
      </w:tr>
      <w:tr>
        <w:tc>
          <w:tcPr/>
          <w:p>
            <w:pPr>
              <w:pStyle w:val="Compact"/>
              <w:jc w:val="left"/>
            </w:pPr>
            <w:r>
              <w:t xml:space="preserve">Currency-row solver had no control-flow join (4 false errors)</w:t>
            </w:r>
          </w:p>
        </w:tc>
        <w:tc>
          <w:tcPr/>
          <w:p>
            <w:pPr>
              <w:pStyle w:val="Compact"/>
              <w:jc w:val="left"/>
            </w:pPr>
            <w:r>
              <w:rPr>
                <w:rStyle w:val="VerbatimChar"/>
              </w:rPr>
              <w:t xml:space="preserve">currency_rows.rs</w:t>
            </w:r>
            <w:r>
              <w:t xml:space="preserve"> </w:t>
            </w:r>
            <w:r>
              <w:t xml:space="preserve">rewritten;</w:t>
            </w:r>
            <w:r>
              <w:t xml:space="preserve"> </w:t>
            </w:r>
            <w:r>
              <w:rPr>
                <w:rStyle w:val="VerbatimChar"/>
              </w:rPr>
              <w:t xml:space="preserve">control_flow_soundness.rs</w:t>
            </w:r>
            <w:r>
              <w:t xml:space="preserve">, 14 tests</w:t>
            </w:r>
          </w:p>
        </w:tc>
        <w:tc>
          <w:tcPr/>
          <w:p>
            <w:pPr>
              <w:pStyle w:val="Compact"/>
              <w:jc w:val="left"/>
            </w:pPr>
            <w:r>
              <w:t xml:space="preserve">§4.5.1, §11.3</w:t>
            </w:r>
          </w:p>
        </w:tc>
      </w:tr>
      <w:tr>
        <w:tc>
          <w:tcPr/>
          <w:p>
            <w:pPr>
              <w:pStyle w:val="Compact"/>
              <w:jc w:val="left"/>
            </w:pPr>
            <w:r>
              <w:rPr>
                <w:rStyle w:val="VerbatimChar"/>
              </w:rPr>
              <w:t xml:space="preserve">?</w:t>
            </w:r>
            <w:r>
              <w:t xml:space="preserve"> </w:t>
            </w:r>
            <w:r>
              <w:t xml:space="preserve">weakening downgraded a real violation</w:t>
            </w:r>
          </w:p>
        </w:tc>
        <w:tc>
          <w:tcPr/>
          <w:p>
            <w:pPr>
              <w:pStyle w:val="Compact"/>
              <w:jc w:val="left"/>
            </w:pPr>
            <w:r>
              <w:t xml:space="preserve">abort paths dropped, not weakened</w:t>
            </w:r>
          </w:p>
        </w:tc>
        <w:tc>
          <w:tcPr/>
          <w:p>
            <w:pPr>
              <w:pStyle w:val="Compact"/>
              <w:jc w:val="left"/>
            </w:pPr>
            <w:r>
              <w:t xml:space="preserve">§4.5.1</w:t>
            </w:r>
          </w:p>
        </w:tc>
      </w:tr>
      <w:tr>
        <w:tc>
          <w:tcPr/>
          <w:p>
            <w:pPr>
              <w:pStyle w:val="Compact"/>
              <w:jc w:val="left"/>
            </w:pPr>
            <w:r>
              <w:rPr>
                <w:rStyle w:val="VerbatimChar"/>
              </w:rPr>
              <w:t xml:space="preserve">Violates</w:t>
            </w:r>
            <w:r>
              <w:t xml:space="preserve"> </w:t>
            </w:r>
            <w:r>
              <w:t xml:space="preserve">gated on straight-line provenance</w:t>
            </w:r>
          </w:p>
        </w:tc>
        <w:tc>
          <w:tcPr/>
          <w:p>
            <w:pPr>
              <w:pStyle w:val="Compact"/>
              <w:jc w:val="left"/>
            </w:pPr>
            <w:r>
              <w:t xml:space="preserve">gate removed</w:t>
            </w:r>
          </w:p>
        </w:tc>
        <w:tc>
          <w:tcPr/>
          <w:p>
            <w:pPr>
              <w:pStyle w:val="Compact"/>
              <w:jc w:val="left"/>
            </w:pPr>
            <w:r>
              <w:t xml:space="preserve">§4.5.1</w:t>
            </w:r>
          </w:p>
        </w:tc>
      </w:tr>
      <w:tr>
        <w:tc>
          <w:tcPr/>
          <w:p>
            <w:pPr>
              <w:pStyle w:val="Compact"/>
              <w:jc w:val="left"/>
            </w:pPr>
            <w:r>
              <w:rPr>
                <w:rStyle w:val="VerbatimChar"/>
              </w:rPr>
              <w:t xml:space="preserve">from</w:t>
            </w:r>
            <w:r>
              <w:t xml:space="preserve"> </w:t>
            </w:r>
            <w:r>
              <w:t xml:space="preserve">reserved, so</w:t>
            </w:r>
            <w:r>
              <w:t xml:space="preserve"> </w:t>
            </w:r>
            <w:r>
              <w:rPr>
                <w:rStyle w:val="VerbatimChar"/>
              </w:rPr>
              <w:t xml:space="preserve">fn transfer(from: …)</w:t>
            </w:r>
            <w:r>
              <w:t xml:space="preserve"> </w:t>
            </w:r>
            <w:r>
              <w:t xml:space="preserve">did not compile</w:t>
            </w:r>
          </w:p>
        </w:tc>
        <w:tc>
          <w:tcPr/>
          <w:p>
            <w:pPr>
              <w:pStyle w:val="Compact"/>
              <w:jc w:val="left"/>
            </w:pPr>
            <w:r>
              <w:t xml:space="preserve">seven clause-position words demoted to</w:t>
            </w:r>
            <w:r>
              <w:t xml:space="preserve"> </w:t>
            </w:r>
            <w:r>
              <w:rPr>
                <w:rStyle w:val="VerbatimChar"/>
              </w:rPr>
              <w:t xml:space="preserve">ColName</w:t>
            </w:r>
          </w:p>
        </w:tc>
        <w:tc>
          <w:tcPr/>
          <w:p>
            <w:pPr>
              <w:pStyle w:val="Compact"/>
              <w:jc w:val="left"/>
            </w:pPr>
            <w:r>
              <w:t xml:space="preserve">Appendix B</w:t>
            </w:r>
          </w:p>
        </w:tc>
      </w:tr>
      <w:tr>
        <w:tc>
          <w:tcPr/>
          <w:p>
            <w:pPr>
              <w:pStyle w:val="Compact"/>
              <w:jc w:val="left"/>
            </w:pPr>
            <w:r>
              <w:rPr>
                <w:rStyle w:val="VerbatimChar"/>
              </w:rPr>
              <w:t xml:space="preserve">lineage: full</w:t>
            </w:r>
            <w:r>
              <w:t xml:space="preserve"> </w:t>
            </w:r>
            <w:r>
              <w:t xml:space="preserve">did not parse</w:t>
            </w:r>
          </w:p>
        </w:tc>
        <w:tc>
          <w:tcPr/>
          <w:p>
            <w:pPr>
              <w:pStyle w:val="Compact"/>
              <w:jc w:val="left"/>
            </w:pPr>
            <w:r>
              <w:t xml:space="preserve">contract keys accept any keyword</w:t>
            </w:r>
          </w:p>
        </w:tc>
        <w:tc>
          <w:tcPr/>
          <w:p>
            <w:pPr>
              <w:pStyle w:val="Compact"/>
              <w:jc w:val="left"/>
            </w:pPr>
            <w:r>
              <w:t xml:space="preserve">Appendix B</w:t>
            </w:r>
          </w:p>
        </w:tc>
      </w:tr>
      <w:tr>
        <w:tc>
          <w:tcPr/>
          <w:p>
            <w:pPr>
              <w:pStyle w:val="Compact"/>
              <w:jc w:val="left"/>
            </w:pPr>
            <w:r>
              <w:rPr>
                <w:rStyle w:val="VerbatimChar"/>
              </w:rPr>
              <w:t xml:space="preserve">as</w:t>
            </w:r>
            <w:r>
              <w:t xml:space="preserve"> </w:t>
            </w:r>
            <w:r>
              <w:t xml:space="preserve">in a SQL projection parsed as a cast</w:t>
            </w:r>
          </w:p>
        </w:tc>
        <w:tc>
          <w:tcPr/>
          <w:p>
            <w:pPr>
              <w:pStyle w:val="Compact"/>
              <w:jc w:val="left"/>
            </w:pPr>
            <w:r>
              <w:rPr>
                <w:rStyle w:val="VerbatimChar"/>
              </w:rPr>
              <w:t xml:space="preserve">no_alias_depth</w:t>
            </w:r>
            <w:r>
              <w:t xml:space="preserve"> </w:t>
            </w:r>
            <w:r>
              <w:t xml:space="preserve">in the parser</w:t>
            </w:r>
          </w:p>
        </w:tc>
        <w:tc>
          <w:tcPr/>
          <w:p>
            <w:pPr>
              <w:pStyle w:val="Compact"/>
              <w:jc w:val="left"/>
            </w:pPr>
            <w:r>
              <w:t xml:space="preserve">Appendix B</w:t>
            </w:r>
          </w:p>
        </w:tc>
      </w:tr>
      <w:tr>
        <w:tc>
          <w:tcPr/>
          <w:p>
            <w:pPr>
              <w:pStyle w:val="Compact"/>
              <w:jc w:val="left"/>
            </w:pPr>
            <w:r>
              <w:t xml:space="preserve">Extended query protocol refused with an open design question</w:t>
            </w:r>
          </w:p>
        </w:tc>
        <w:tc>
          <w:tcPr/>
          <w:p>
            <w:pPr>
              <w:pStyle w:val="Compact"/>
              <w:jc w:val="left"/>
            </w:pPr>
            <w:r>
              <w:rPr>
                <w:rStyle w:val="VerbatimChar"/>
              </w:rPr>
              <w:t xml:space="preserve">extended.rs</w:t>
            </w:r>
            <w:r>
              <w:t xml:space="preserve">; epoch-keyed plan cache, 11 tests</w:t>
            </w:r>
          </w:p>
        </w:tc>
        <w:tc>
          <w:tcPr/>
          <w:p>
            <w:pPr>
              <w:pStyle w:val="Compact"/>
              <w:jc w:val="left"/>
            </w:pPr>
            <w:r>
              <w:t xml:space="preserve">§7.4</w:t>
            </w:r>
          </w:p>
        </w:tc>
      </w:tr>
      <w:tr>
        <w:tc>
          <w:tcPr/>
          <w:p>
            <w:pPr>
              <w:pStyle w:val="Compact"/>
              <w:jc w:val="left"/>
            </w:pPr>
            <w:r>
              <w:t xml:space="preserve">No distributed read path</w:t>
            </w:r>
          </w:p>
        </w:tc>
        <w:tc>
          <w:tcPr/>
          <w:p>
            <w:pPr>
              <w:pStyle w:val="Compact"/>
              <w:jc w:val="left"/>
            </w:pPr>
            <w:r>
              <w:rPr>
                <w:rStyle w:val="VerbatimChar"/>
              </w:rPr>
              <w:t xml:space="preserve">distributed.rs</w:t>
            </w:r>
            <w:r>
              <w:t xml:space="preserve">, 10 tests</w:t>
            </w:r>
          </w:p>
        </w:tc>
        <w:tc>
          <w:tcPr/>
          <w:p>
            <w:pPr>
              <w:pStyle w:val="Compact"/>
              <w:jc w:val="left"/>
            </w:pPr>
            <w:r>
              <w:t xml:space="preserve">§7.4</w:t>
            </w:r>
          </w:p>
        </w:tc>
      </w:tr>
      <w:tr>
        <w:tc>
          <w:tcPr/>
          <w:p>
            <w:pPr>
              <w:pStyle w:val="Compact"/>
              <w:jc w:val="left"/>
            </w:pPr>
            <w:r>
              <w:t xml:space="preserve">No cross-shard commit</w:t>
            </w:r>
          </w:p>
        </w:tc>
        <w:tc>
          <w:tcPr/>
          <w:p>
            <w:pPr>
              <w:pStyle w:val="Compact"/>
              <w:jc w:val="left"/>
            </w:pPr>
            <w:r>
              <w:rPr>
                <w:rStyle w:val="VerbatimChar"/>
              </w:rPr>
              <w:t xml:space="preserve">cross_shard.rs</w:t>
            </w:r>
            <w:r>
              <w:t xml:space="preserve">, 12 tests</w:t>
            </w:r>
          </w:p>
        </w:tc>
        <w:tc>
          <w:tcPr/>
          <w:p>
            <w:pPr>
              <w:pStyle w:val="Compact"/>
              <w:jc w:val="left"/>
            </w:pPr>
            <w:r>
              <w:t xml:space="preserve">§8.6</w:t>
            </w:r>
          </w:p>
        </w:tc>
      </w:tr>
      <w:tr>
        <w:tc>
          <w:tcPr/>
          <w:p>
            <w:pPr>
              <w:pStyle w:val="Compact"/>
              <w:jc w:val="left"/>
            </w:pPr>
            <w:r>
              <w:t xml:space="preserve">No MySQL wire</w:t>
            </w:r>
          </w:p>
        </w:tc>
        <w:tc>
          <w:tcPr/>
          <w:p>
            <w:pPr>
              <w:pStyle w:val="Compact"/>
              <w:jc w:val="left"/>
            </w:pPr>
            <w:r>
              <w:rPr>
                <w:rStyle w:val="VerbatimChar"/>
              </w:rPr>
              <w:t xml:space="preserve">mysql_wire.rs</w:t>
            </w:r>
            <w:r>
              <w:t xml:space="preserve">, 11 tests</w:t>
            </w:r>
          </w:p>
        </w:tc>
        <w:tc>
          <w:tcPr/>
          <w:p>
            <w:pPr>
              <w:pStyle w:val="Compact"/>
              <w:jc w:val="left"/>
            </w:pPr>
            <w:r>
              <w:t xml:space="preserve">§7.4</w:t>
            </w:r>
          </w:p>
        </w:tc>
      </w:tr>
      <w:tr>
        <w:tc>
          <w:tcPr/>
          <w:p>
            <w:pPr>
              <w:pStyle w:val="Compact"/>
              <w:jc w:val="left"/>
            </w:pPr>
            <w:r>
              <w:t xml:space="preserve">No TLS boundary</w:t>
            </w:r>
          </w:p>
        </w:tc>
        <w:tc>
          <w:tcPr/>
          <w:p>
            <w:pPr>
              <w:pStyle w:val="Compact"/>
              <w:jc w:val="left"/>
            </w:pPr>
            <w:r>
              <w:rPr>
                <w:rStyle w:val="VerbatimChar"/>
              </w:rPr>
              <w:t xml:space="preserve">tls.rs</w:t>
            </w:r>
            <w:r>
              <w:t xml:space="preserve">, 17 tests</w:t>
            </w:r>
          </w:p>
        </w:tc>
        <w:tc>
          <w:tcPr/>
          <w:p>
            <w:pPr>
              <w:pStyle w:val="Compact"/>
              <w:jc w:val="left"/>
            </w:pPr>
            <w:r>
              <w:t xml:space="preserve">§6.12</w:t>
            </w:r>
          </w:p>
        </w:tc>
      </w:tr>
      <w:tr>
        <w:tc>
          <w:tcPr/>
          <w:p>
            <w:pPr>
              <w:pStyle w:val="Compact"/>
              <w:jc w:val="left"/>
            </w:pPr>
            <w:r>
              <w:t xml:space="preserve">No cost-based join ordering</w:t>
            </w:r>
          </w:p>
        </w:tc>
        <w:tc>
          <w:tcPr/>
          <w:p>
            <w:pPr>
              <w:pStyle w:val="Compact"/>
              <w:jc w:val="left"/>
            </w:pPr>
            <w:r>
              <w:rPr>
                <w:rStyle w:val="VerbatimChar"/>
              </w:rPr>
              <w:t xml:space="preserve">join_order.rs</w:t>
            </w:r>
            <w:r>
              <w:t xml:space="preserve">, 16 tests</w:t>
            </w:r>
          </w:p>
        </w:tc>
        <w:tc>
          <w:tcPr/>
          <w:p>
            <w:pPr>
              <w:pStyle w:val="Compact"/>
              <w:jc w:val="left"/>
            </w:pPr>
            <w:r>
              <w:t xml:space="preserve">§6.11</w:t>
            </w:r>
          </w:p>
        </w:tc>
      </w:tr>
      <w:tr>
        <w:tc>
          <w:tcPr/>
          <w:p>
            <w:pPr>
              <w:pStyle w:val="Compact"/>
              <w:jc w:val="left"/>
            </w:pPr>
            <w:r>
              <w:t xml:space="preserve">Appendix E stage 1 had no input</w:t>
            </w:r>
          </w:p>
        </w:tc>
        <w:tc>
          <w:tcPr/>
          <w:p>
            <w:pPr>
              <w:pStyle w:val="Compact"/>
              <w:jc w:val="left"/>
            </w:pPr>
            <w:r>
              <w:rPr>
                <w:rStyle w:val="VerbatimChar"/>
              </w:rPr>
              <w:t xml:space="preserve">bootstrap/lexer.niles</w:t>
            </w:r>
            <w:r>
              <w:t xml:space="preserve"> </w:t>
            </w:r>
            <w:r>
              <w:t xml:space="preserve">+ 14 gates</w:t>
            </w:r>
          </w:p>
        </w:tc>
        <w:tc>
          <w:tcPr/>
          <w:p>
            <w:pPr>
              <w:pStyle w:val="Compact"/>
              <w:jc w:val="left"/>
            </w:pPr>
            <w:r>
              <w:t xml:space="preserve">Appendix E.0, E.19</w:t>
            </w:r>
          </w:p>
        </w:tc>
      </w:tr>
      <w:tr>
        <w:tc>
          <w:tcPr/>
          <w:p>
            <w:pPr>
              <w:pStyle w:val="Compact"/>
              <w:jc w:val="left"/>
            </w:pPr>
            <w:r>
              <w:t xml:space="preserve">Appendix E had a lexer and no parser</w:t>
            </w:r>
          </w:p>
        </w:tc>
        <w:tc>
          <w:tcPr/>
          <w:p>
            <w:pPr>
              <w:pStyle w:val="Compact"/>
              <w:jc w:val="left"/>
            </w:pPr>
            <w:r>
              <w:rPr>
                <w:rStyle w:val="VerbatimChar"/>
              </w:rPr>
              <w:t xml:space="preserve">bootstrap/parser.niles</w:t>
            </w:r>
            <w:r>
              <w:t xml:space="preserve"> </w:t>
            </w:r>
            <w:r>
              <w:t xml:space="preserve">+ 16 gates</w:t>
            </w:r>
          </w:p>
        </w:tc>
        <w:tc>
          <w:tcPr/>
          <w:p>
            <w:pPr>
              <w:pStyle w:val="Compact"/>
              <w:jc w:val="left"/>
            </w:pPr>
            <w:r>
              <w:t xml:space="preserve">Appendix E.0, E.19.2</w:t>
            </w:r>
          </w:p>
        </w:tc>
      </w:tr>
      <w:tr>
        <w:tc>
          <w:tcPr/>
          <w:p>
            <w:pPr>
              <w:pStyle w:val="Compact"/>
              <w:jc w:val="left"/>
            </w:pPr>
            <w:r>
              <w:rPr>
                <w:bCs/>
                <w:b/>
              </w:rPr>
              <w:t xml:space="preserve">Assignment was left-associative in the reference parser</w:t>
            </w:r>
          </w:p>
        </w:tc>
        <w:tc>
          <w:tcPr/>
          <w:p>
            <w:pPr>
              <w:pStyle w:val="Compact"/>
              <w:jc w:val="left"/>
            </w:pPr>
            <w:r>
              <w:rPr>
                <w:rStyle w:val="VerbatimChar"/>
              </w:rPr>
              <w:t xml:space="preserve">expr_bp</w:t>
            </w:r>
            <w:r>
              <w:t xml:space="preserve"> </w:t>
            </w:r>
            <w:r>
              <w:t xml:space="preserve">recurses at power 0;</w:t>
            </w:r>
            <w:r>
              <w:t xml:space="preserve"> </w:t>
            </w:r>
            <w:r>
              <w:rPr>
                <w:rStyle w:val="VerbatimChar"/>
              </w:rPr>
              <w:t xml:space="preserve">precedence.rs</w:t>
            </w:r>
          </w:p>
        </w:tc>
        <w:tc>
          <w:tcPr/>
          <w:p>
            <w:pPr>
              <w:pStyle w:val="Compact"/>
              <w:jc w:val="left"/>
            </w:pPr>
            <w:r>
              <w:rPr>
                <w:bCs/>
                <w:b/>
              </w:rPr>
              <w:t xml:space="preserve">Appendix B.10.1</w:t>
            </w:r>
            <w:r>
              <w:t xml:space="preserve">, E.19.2</w:t>
            </w:r>
          </w:p>
        </w:tc>
      </w:tr>
      <w:tr>
        <w:tc>
          <w:tcPr/>
          <w:p>
            <w:pPr>
              <w:pStyle w:val="Compact"/>
              <w:jc w:val="left"/>
            </w:pPr>
            <w:r>
              <w:t xml:space="preserve">Appendix B had no operator precedence table, so §6.25’s</w:t>
            </w:r>
            <w:r>
              <w:t xml:space="preserve"> </w:t>
            </w:r>
            <w:r>
              <w:t xml:space="preserve">“</w:t>
            </w:r>
            <w:r>
              <w:t xml:space="preserve">the appendix wins</w:t>
            </w:r>
            <w:r>
              <w:t xml:space="preserve">”</w:t>
            </w:r>
            <w:r>
              <w:t xml:space="preserve"> </w:t>
            </w:r>
            <w:r>
              <w:t xml:space="preserve">had nothing to win with</w:t>
            </w:r>
          </w:p>
        </w:tc>
        <w:tc>
          <w:tcPr/>
          <w:p>
            <w:pPr>
              <w:pStyle w:val="Compact"/>
              <w:jc w:val="left"/>
            </w:pPr>
            <w:r>
              <w:t xml:space="preserve">table added, read by a drift test</w:t>
            </w:r>
          </w:p>
        </w:tc>
        <w:tc>
          <w:tcPr/>
          <w:p>
            <w:pPr>
              <w:pStyle w:val="Compact"/>
              <w:jc w:val="left"/>
            </w:pPr>
            <w:r>
              <w:t xml:space="preserve">Appendix B.10.1</w:t>
            </w:r>
          </w:p>
        </w:tc>
      </w:tr>
      <w:tr>
        <w:tc>
          <w:tcPr/>
          <w:p>
            <w:pPr>
              <w:pStyle w:val="Compact"/>
              <w:jc w:val="left"/>
            </w:pPr>
            <w:r>
              <w:t xml:space="preserve">The stage-0 interpreter spent ~95 KB of host stack per Niles call frame, and aborted the process rather than reporting</w:t>
            </w:r>
          </w:p>
        </w:tc>
        <w:tc>
          <w:tcPr/>
          <w:p>
            <w:pPr>
              <w:pStyle w:val="Compact"/>
              <w:jc w:val="left"/>
            </w:pPr>
            <w:r>
              <w:t xml:space="preserve">cold arms behind</w:t>
            </w:r>
            <w:r>
              <w:t xml:space="preserve"> </w:t>
            </w:r>
            <w:r>
              <w:rPr>
                <w:rStyle w:val="VerbatimChar"/>
              </w:rPr>
              <w:t xml:space="preserve">#[inline(never)]</w:t>
            </w:r>
            <w:r>
              <w:t xml:space="preserve">; a depth counter with a span</w:t>
            </w:r>
          </w:p>
        </w:tc>
        <w:tc>
          <w:tcPr/>
          <w:p>
            <w:pPr>
              <w:pStyle w:val="Compact"/>
              <w:jc w:val="left"/>
            </w:pPr>
            <w:r>
              <w:t xml:space="preserve">Appendix E.19.2</w:t>
            </w:r>
          </w:p>
        </w:tc>
      </w:tr>
      <w:tr>
        <w:tc>
          <w:tcPr/>
          <w:p>
            <w:pPr>
              <w:pStyle w:val="Compact"/>
              <w:jc w:val="left"/>
            </w:pPr>
            <w:r>
              <w:rPr>
                <w:rStyle w:val="VerbatimChar"/>
                <w:bCs/>
                <w:b/>
              </w:rPr>
              <w:t xml:space="preserve">select k from t where t.z = 1</w:t>
            </w:r>
            <w:r>
              <w:rPr>
                <w:bCs/>
                <w:b/>
              </w:rPr>
              <w:t xml:space="preserve"> </w:t>
            </w:r>
            <w:r>
              <w:rPr>
                <w:bCs/>
                <w:b/>
              </w:rPr>
              <w:t xml:space="preserve">returned every row</w:t>
            </w:r>
          </w:p>
        </w:tc>
        <w:tc>
          <w:tcPr/>
          <w:p>
            <w:pPr>
              <w:pStyle w:val="Compact"/>
              <w:jc w:val="left"/>
            </w:pPr>
            <w:r>
              <w:rPr>
                <w:rStyle w:val="VerbatimChar"/>
              </w:rPr>
              <w:t xml:space="preserve">sql_depth</w:t>
            </w:r>
            <w:r>
              <w:t xml:space="preserve"> </w:t>
            </w:r>
            <w:r>
              <w:t xml:space="preserve">in the parser;</w:t>
            </w:r>
            <w:r>
              <w:t xml:space="preserve"> </w:t>
            </w:r>
            <w:r>
              <w:rPr>
                <w:rStyle w:val="VerbatimChar"/>
              </w:rPr>
              <w:t xml:space="preserve">Lx::predicate</w:t>
            </w:r>
            <w:r>
              <w:t xml:space="preserve"> </w:t>
            </w:r>
            <w:r>
              <w:t xml:space="preserve">replaces the silent</w:t>
            </w:r>
            <w:r>
              <w:t xml:space="preserve"> </w:t>
            </w:r>
            <w:r>
              <w:rPr>
                <w:rStyle w:val="VerbatimChar"/>
              </w:rPr>
              <w:t xml:space="preserve">LitBool(true)</w:t>
            </w:r>
          </w:p>
        </w:tc>
        <w:tc>
          <w:tcPr/>
          <w:p>
            <w:pPr>
              <w:pStyle w:val="Compact"/>
              <w:jc w:val="left"/>
            </w:pPr>
            <w:r>
              <w:t xml:space="preserve">§9.14.2</w:t>
            </w:r>
          </w:p>
        </w:tc>
      </w:tr>
      <w:tr>
        <w:tc>
          <w:tcPr/>
          <w:p>
            <w:pPr>
              <w:pStyle w:val="Compact"/>
              <w:jc w:val="left"/>
            </w:pPr>
            <w:r>
              <w:t xml:space="preserve">A correlation whose columns shared a name was left behind as the tautology</w:t>
            </w:r>
            <w:r>
              <w:t xml:space="preserve"> </w:t>
            </w:r>
            <w:r>
              <w:rPr>
                <w:rStyle w:val="VerbatimChar"/>
              </w:rPr>
              <w:t xml:space="preserve">k = k</w:t>
            </w:r>
            <w:r>
              <w:t xml:space="preserve">, making</w:t>
            </w:r>
            <w:r>
              <w:t xml:space="preserve"> </w:t>
            </w:r>
            <w:r>
              <w:rPr>
                <w:rStyle w:val="VerbatimChar"/>
              </w:rPr>
              <w:t xml:space="preserve">exists</w:t>
            </w:r>
            <w:r>
              <w:t xml:space="preserve"> </w:t>
            </w:r>
            <w:r>
              <w:t xml:space="preserve">a no-op</w:t>
            </w:r>
          </w:p>
        </w:tc>
        <w:tc>
          <w:tcPr/>
          <w:p>
            <w:pPr>
              <w:pStyle w:val="Compact"/>
              <w:jc w:val="left"/>
            </w:pPr>
            <w:r>
              <w:t xml:space="preserve">the qualifier decides, with resolution as the fallback</w:t>
            </w:r>
          </w:p>
        </w:tc>
        <w:tc>
          <w:tcPr/>
          <w:p>
            <w:pPr>
              <w:pStyle w:val="Compact"/>
              <w:jc w:val="left"/>
            </w:pPr>
            <w:r>
              <w:t xml:space="preserve">§9.14.2</w:t>
            </w:r>
          </w:p>
        </w:tc>
      </w:tr>
      <w:tr>
        <w:tc>
          <w:tcPr/>
          <w:p>
            <w:pPr>
              <w:pStyle w:val="Compact"/>
              <w:jc w:val="left"/>
            </w:pPr>
            <w:r>
              <w:t xml:space="preserve">The IR had no null, so</w:t>
            </w:r>
            <w:r>
              <w:t xml:space="preserve"> </w:t>
            </w:r>
            <w:r>
              <w:rPr>
                <w:rStyle w:val="VerbatimChar"/>
              </w:rPr>
              <w:t xml:space="preserve">not in</w:t>
            </w:r>
            <w:r>
              <w:t xml:space="preserve"> </w:t>
            </w:r>
            <w:r>
              <w:t xml:space="preserve">was unstatable</w:t>
            </w:r>
          </w:p>
        </w:tc>
        <w:tc>
          <w:tcPr/>
          <w:p>
            <w:pPr>
              <w:pStyle w:val="Compact"/>
              <w:jc w:val="left"/>
            </w:pPr>
            <w:r>
              <w:rPr>
                <w:rStyle w:val="VerbatimChar"/>
              </w:rPr>
              <w:t xml:space="preserve">niles-ir::value</w:t>
            </w:r>
            <w:r>
              <w:t xml:space="preserve">, Kleene three-valued logic</w:t>
            </w:r>
          </w:p>
        </w:tc>
        <w:tc>
          <w:tcPr/>
          <w:p>
            <w:pPr>
              <w:pStyle w:val="Compact"/>
              <w:jc w:val="left"/>
            </w:pPr>
            <w:r>
              <w:t xml:space="preserve">§9.14.2, §3.3</w:t>
            </w:r>
          </w:p>
        </w:tc>
      </w:tr>
      <w:tr>
        <w:tc>
          <w:tcPr/>
          <w:p>
            <w:pPr>
              <w:pStyle w:val="Compact"/>
              <w:jc w:val="left"/>
            </w:pPr>
            <w:r>
              <w:t xml:space="preserve">A dependent join could be served, though it has no delta rule</w:t>
            </w:r>
          </w:p>
        </w:tc>
        <w:tc>
          <w:tcPr/>
          <w:p>
            <w:pPr>
              <w:pStyle w:val="Compact"/>
              <w:jc w:val="left"/>
            </w:pPr>
            <w:r>
              <w:t xml:space="preserve">verifier rule IR018</w:t>
            </w:r>
          </w:p>
        </w:tc>
        <w:tc>
          <w:tcPr/>
          <w:p>
            <w:pPr>
              <w:pStyle w:val="Compact"/>
              <w:jc w:val="left"/>
            </w:pPr>
            <w:r>
              <w:t xml:space="preserve">§9.14.2</w:t>
            </w:r>
          </w:p>
        </w:tc>
      </w:tr>
      <w:tr>
        <w:tc>
          <w:tcPr/>
          <w:p>
            <w:pPr>
              <w:pStyle w:val="Compact"/>
              <w:jc w:val="left"/>
            </w:pPr>
            <w:r>
              <w:t xml:space="preserve">The reference evaluator ran every equi-join as a nested loop, so counted work could not distinguish a rewrite from its absence</w:t>
            </w:r>
          </w:p>
        </w:tc>
        <w:tc>
          <w:tcPr/>
          <w:p>
            <w:pPr>
              <w:pStyle w:val="Compact"/>
              <w:jc w:val="left"/>
            </w:pPr>
            <w:r>
              <w:t xml:space="preserve">index-build and probe</w:t>
            </w:r>
          </w:p>
        </w:tc>
        <w:tc>
          <w:tcPr/>
          <w:p>
            <w:pPr>
              <w:pStyle w:val="Compact"/>
              <w:jc w:val="left"/>
            </w:pPr>
            <w:r>
              <w:t xml:space="preserve">§9.14.2</w:t>
            </w:r>
          </w:p>
        </w:tc>
      </w:tr>
      <w:tr>
        <w:tc>
          <w:tcPr/>
          <w:p>
            <w:pPr>
              <w:pStyle w:val="Compact"/>
              <w:jc w:val="left"/>
            </w:pPr>
            <w:r>
              <w:t xml:space="preserve">Noria</w:t>
            </w:r>
            <w:r>
              <w:t xml:space="preserve"> </w:t>
            </w:r>
            <w:r>
              <w:t xml:space="preserve">“</w:t>
            </w:r>
            <w:r>
              <w:t xml:space="preserve">unusable in production</w:t>
            </w:r>
            <w:r>
              <w:t xml:space="preserve">”</w:t>
            </w:r>
            <w:r>
              <w:t xml:space="preserve"> </w:t>
            </w:r>
            <w:r>
              <w:t xml:space="preserve">overstated</w:t>
            </w:r>
          </w:p>
        </w:tc>
        <w:tc>
          <w:tcPr/>
          <w:p>
            <w:pPr>
              <w:pStyle w:val="Compact"/>
              <w:jc w:val="left"/>
            </w:pPr>
            <w:r>
              <w:t xml:space="preserve">postmortem written</w:t>
            </w:r>
          </w:p>
        </w:tc>
        <w:tc>
          <w:tcPr/>
          <w:p>
            <w:pPr>
              <w:pStyle w:val="Compact"/>
              <w:jc w:val="left"/>
            </w:pPr>
            <w:r>
              <w:rPr>
                <w:bCs/>
                <w:b/>
              </w:rPr>
              <w:t xml:space="preserve">this section</w:t>
            </w:r>
            <w:r>
              <w:t xml:space="preserve">, §1.1</w:t>
            </w:r>
          </w:p>
        </w:tc>
      </w:tr>
      <w:tr>
        <w:tc>
          <w:tcPr/>
          <w:p>
            <w:pPr>
              <w:pStyle w:val="Compact"/>
              <w:jc w:val="left"/>
            </w:pPr>
            <w:r>
              <w:t xml:space="preserve">“</w:t>
            </w:r>
            <w:r>
              <w:t xml:space="preserve">REVs need a new engine</w:t>
            </w:r>
            <w:r>
              <w:t xml:space="preserve">”</w:t>
            </w:r>
          </w:p>
        </w:tc>
        <w:tc>
          <w:tcPr/>
          <w:p>
            <w:pPr>
              <w:pStyle w:val="Compact"/>
              <w:jc w:val="left"/>
            </w:pPr>
            <w:r>
              <w:t xml:space="preserve">—</w:t>
            </w:r>
          </w:p>
        </w:tc>
        <w:tc>
          <w:tcPr/>
          <w:p>
            <w:pPr>
              <w:pStyle w:val="Compact"/>
              <w:jc w:val="left"/>
            </w:pPr>
            <w:r>
              <w:t xml:space="preserve">§11.3, §11.5.2</w:t>
            </w:r>
          </w:p>
        </w:tc>
      </w:tr>
    </w:tbl>
    <w:p>
      <w:pPr>
        <w:pStyle w:val="BodyText"/>
      </w:pPr>
      <w:r>
        <w:t xml:space="preserve">The two entries with no repository column are corrections to</w:t>
      </w:r>
      <w:r>
        <w:t xml:space="preserve"> </w:t>
      </w:r>
      <w:r>
        <w:rPr>
          <w:iCs/>
          <w:i/>
        </w:rPr>
        <w:t xml:space="preserve">claims</w:t>
      </w:r>
      <w:r>
        <w:t xml:space="preserve">, and they are the two most consequential, because a defect in an argument survives every test suite.</w:t>
      </w:r>
    </w:p>
    <w:p>
      <w:pPr>
        <w:pStyle w:val="BodyText"/>
      </w:pPr>
      <w:r>
        <w:rPr>
          <w:bCs/>
          <w:b/>
        </w:rPr>
        <w:t xml:space="preserve">A pattern worth naming, since it has now recurred three times.</w:t>
      </w:r>
      <w:r>
        <w:t xml:space="preserve"> </w:t>
      </w:r>
      <w:r>
        <w:rPr>
          <w:rStyle w:val="VerbatimChar"/>
        </w:rPr>
        <w:t xml:space="preserve">Err(_) =&gt; 0</w:t>
      </w:r>
      <w:r>
        <w:t xml:space="preserve"> </w:t>
      </w:r>
      <w:r>
        <w:t xml:space="preserve">in the kernel,</w:t>
      </w:r>
      <w:r>
        <w:t xml:space="preserve"> </w:t>
      </w:r>
      <w:r>
        <w:rPr>
          <w:rStyle w:val="VerbatimChar"/>
        </w:rPr>
        <w:t xml:space="preserve">sum</w:t>
      </w:r>
      <w:r>
        <w:t xml:space="preserve"> </w:t>
      </w:r>
      <w:r>
        <w:t xml:space="preserve">over an empty group, and</w:t>
      </w:r>
      <w:r>
        <w:t xml:space="preserve"> </w:t>
      </w:r>
      <w:r>
        <w:rPr>
          <w:rStyle w:val="VerbatimChar"/>
        </w:rPr>
        <w:t xml:space="preserve">unwrap_or(LitBool(true))</w:t>
      </w:r>
      <w:r>
        <w:t xml:space="preserve"> </w:t>
      </w:r>
      <w:r>
        <w:t xml:space="preserve">in the lowering of a</w:t>
      </w:r>
      <w:r>
        <w:t xml:space="preserve"> </w:t>
      </w:r>
      <w:r>
        <w:rPr>
          <w:rStyle w:val="VerbatimChar"/>
        </w:rPr>
        <w:t xml:space="preserve">where</w:t>
      </w:r>
      <w:r>
        <w:t xml:space="preserve"> </w:t>
      </w:r>
      <w:r>
        <w:t xml:space="preserve">clause are the same defect in three costumes: an absence given a</w:t>
      </w:r>
      <w:r>
        <w:t xml:space="preserve"> </w:t>
      </w:r>
      <w:r>
        <w:rPr>
          <w:iCs/>
          <w:i/>
        </w:rPr>
        <w:t xml:space="preserve">reasonable default</w:t>
      </w:r>
      <w:r>
        <w:t xml:space="preserve"> </w:t>
      </w:r>
      <w:r>
        <w:t xml:space="preserve">that is a wrong answer wearing a plausible shape. In each case the failure mode is not a crash and not an obviously wrong number, but a well-formed answer that no answer-level test can distinguish from the right one — a balance that reads zero, a total that reads zero, a view that returns every row. §3.3’s lattice of absence exists because absences are not interchangeable and not substitutable by a value; these three are what happens when that discipline is not carried down into the implementation. The rule the repository now follows is that an absence gets a</w:t>
      </w:r>
      <w:r>
        <w:t xml:space="preserve"> </w:t>
      </w:r>
      <w:r>
        <w:rPr>
          <w:iCs/>
          <w:i/>
        </w:rPr>
        <w:t xml:space="preserve">named</w:t>
      </w:r>
      <w:r>
        <w:t xml:space="preserve"> </w:t>
      </w:r>
      <w:r>
        <w:t xml:space="preserve">representation or a diagnostic, never a default, and the three sites are pinned by tests that assert the default is gone rather than merely that the current behaviour is right.</w:t>
      </w:r>
    </w:p>
    <w:bookmarkEnd w:id="213"/>
    <w:bookmarkEnd w:id="214"/>
    <w:bookmarkEnd w:id="215"/>
    <w:bookmarkStart w:id="217" w:name="future-work"/>
    <w:p>
      <w:pPr>
        <w:pStyle w:val="Heading1"/>
      </w:pPr>
      <w:r>
        <w:t xml:space="preserve">12. Future Work</w:t>
      </w:r>
    </w:p>
    <w:p>
      <w:pPr>
        <w:pStyle w:val="FirstParagraph"/>
      </w:pPr>
      <w:r>
        <w:rPr>
          <w:bCs/>
          <w:b/>
        </w:rPr>
        <w:t xml:space="preserve">Mechanized proofs.</w:t>
      </w:r>
      <w:r>
        <w:t xml:space="preserve"> </w:t>
      </w:r>
      <w:r>
        <w:t xml:space="preserve">Formalize the partial-state algebra, Theorem 4.1 and λ_niles soundness in a proof assistant, closing the largest declared gap in Section 3.15. The cost is lower than it would otherwise be because the substrate has already been mechanized: DBSP’s mathematics has a Lean formalization, so the integration and differentiation laws this thesis builds on need not be re-established from scratch. The LTS and calculus were deliberately given small-step, syntax-directed presentations to keep this tractable.</w:t>
      </w:r>
    </w:p>
    <w:p>
      <w:pPr>
        <w:pStyle w:val="BodyText"/>
      </w:pPr>
      <w:r>
        <w:rPr>
          <w:bCs/>
          <w:b/>
        </w:rPr>
        <w:t xml:space="preserve">Sharpening the frontier.</w:t>
      </w:r>
      <w:r>
        <w:t xml:space="preserve"> </w:t>
      </w:r>
      <w:r>
        <w:t xml:space="preserve">Theorem 4.2’s constants are loose outside special cases. A tight competitive analysis of online eviction under anchored strictness — properly accounting for reconstruction latency, where the literature’s Ω(kZ)-style lower bounds suggest the achievable region is narrow — would turn the frontier band into a frontier line. Two extensions matter practically: correlated and non-stationary access processes, since real workloads have phases; and</w:t>
      </w:r>
      <w:r>
        <w:t xml:space="preserve"> </w:t>
      </w:r>
      <w:r>
        <w:rPr>
          <w:iCs/>
          <w:i/>
        </w:rPr>
        <w:t xml:space="preserve">learned</w:t>
      </w:r>
      <w:r>
        <w:t xml:space="preserve"> </w:t>
      </w:r>
      <w:r>
        <w:t xml:space="preserve">eviction with certified regret bounds against the theorem’s optimum, which is the natural meeting point between this thesis and the learned-caching literature.</w:t>
      </w:r>
    </w:p>
    <w:p>
      <w:pPr>
        <w:pStyle w:val="BodyText"/>
      </w:pPr>
      <w:r>
        <w:rPr>
          <w:bCs/>
          <w:b/>
        </w:rPr>
        <w:t xml:space="preserve">Optimizer theory.</w:t>
      </w:r>
      <w:r>
        <w:t xml:space="preserve"> </w:t>
      </w:r>
      <w:r>
        <w:t xml:space="preserve">Contribution 5 abandons the classical greedy guarantee because partial materialization violates the cost model that guarantee assumes. Recovering an approximation guarantee for the general case — perhaps by identifying a restricted but realistic class where benefit remains submodular, perhaps by a different algorithmic route entirely — is an open problem this thesis states cleanly rather than solves.</w:t>
      </w:r>
    </w:p>
    <w:p>
      <w:pPr>
        <w:pStyle w:val="BodyText"/>
      </w:pPr>
      <w:r>
        <w:rPr>
          <w:bCs/>
          <w:b/>
        </w:rPr>
        <w:t xml:space="preserve">Byzantine and multi-operator profiles.</w:t>
      </w:r>
      <w:r>
        <w:t xml:space="preserve"> </w:t>
      </w:r>
      <w:r>
        <w:t xml:space="preserve">The hash chain already gives evidence; adding Byzantine-tolerant consensus profiles and cross-institution shared bases — interbank settlement as mutually audited REV subscriptions — would extend the theory to adversarial trust models and meet the blockchain literature on this thesis’s semantic terms.</w:t>
      </w:r>
    </w:p>
    <w:p>
      <w:pPr>
        <w:pStyle w:val="BodyText"/>
      </w:pPr>
      <w:r>
        <w:rPr>
          <w:bCs/>
          <w:b/>
        </w:rPr>
        <w:t xml:space="preserve">Richer confidentiality.</w:t>
      </w:r>
      <w:r>
        <w:t xml:space="preserve"> </w:t>
      </w:r>
      <w:r>
        <w:t xml:space="preserve">Beyond commitments: zero-knowledge range proofs for authorization without disclosure (proving no overdraft without revealing a balance); secure multi-party computation for aggregate views over committed amounts; and a quantitative leakage budget for access patterns. The information-flow side has a specific open problem attached: Niles restricts confidentiality to static labels because non-interference results for dynamic labels do not exist in the literature, and extending the guarantee to dynamic labels is research rather than engineering.</w:t>
      </w:r>
    </w:p>
    <w:p>
      <w:pPr>
        <w:pStyle w:val="BodyText"/>
      </w:pPr>
      <w:r>
        <w:rPr>
          <w:bCs/>
          <w:b/>
        </w:rPr>
        <w:t xml:space="preserve">Language growth within the gate.</w:t>
      </w:r>
      <w:r>
        <w:t xml:space="preserve"> </w:t>
      </w:r>
      <w:r>
        <w:t xml:space="preserve">Guarded-recursive temporal logic for compliance rules — expressing obligations such as</w:t>
      </w:r>
      <w:r>
        <w:t xml:space="preserve"> </w:t>
      </w:r>
      <w:r>
        <w:t xml:space="preserve">“</w:t>
      </w:r>
      <w:r>
        <w:t xml:space="preserve">no account below zero for more than three business days</w:t>
      </w:r>
      <w:r>
        <w:t xml:space="preserve">”</w:t>
      </w:r>
      <w:r>
        <w:t xml:space="preserve"> </w:t>
      </w:r>
      <w:r>
        <w:t xml:space="preserve">as typed views; gradual adoption of the effect system by programs written against the SQL surface; and a verified-optimizer path in which compiler passes carry translation-validation certificates.</w:t>
      </w:r>
    </w:p>
    <w:p>
      <w:pPr>
        <w:pStyle w:val="BodyText"/>
      </w:pPr>
      <w:r>
        <w:rPr>
          <w:bCs/>
          <w:b/>
        </w:rPr>
        <w:t xml:space="preserve">Bootstrap trust, done properly.</w:t>
      </w:r>
      <w:r>
        <w:t xml:space="preserve"> </w:t>
      </w:r>
      <w:r>
        <w:t xml:space="preserve">Appendix E’s determinism gates prove the compiler is a</w:t>
      </w:r>
      <w:r>
        <w:t xml:space="preserve"> </w:t>
      </w:r>
      <w:r>
        <w:rPr>
          <w:iCs/>
          <w:i/>
        </w:rPr>
        <w:t xml:space="preserve">fixed point</w:t>
      </w:r>
      <w:r>
        <w:t xml:space="preserve">, which detects accidental non-determinism and some miscompilation classes. It does not detect a trusting-trust attack — a self-reproducing trojan is a fixed point by construction, so a bit-identical self-build is exactly what a successful attack looks like. Detecting that requires diverse double-compiling with an independently sourced parent compiler, of which reproducibility is a precondition rather than a substitute. Executing a genuine diverse-double-compilation of the Niles bootstrap is future work, and stating that plainly is more useful than implying the gates already provide it.</w:t>
      </w:r>
    </w:p>
    <w:p>
      <w:pPr>
        <w:pStyle w:val="BodyText"/>
      </w:pPr>
      <w:r>
        <w:rPr>
          <w:bCs/>
          <w:b/>
        </w:rPr>
        <w:t xml:space="preserve">Industrial validation.</w:t>
      </w:r>
      <w:r>
        <w:t xml:space="preserve"> </w:t>
      </w:r>
      <w:r>
        <w:t xml:space="preserve">Replace synthetic mixes with anonymized industrial traces under partnership; run the audit-rehearsal protocol with a real supervisory team against the audit-trail alternative that regulation now permits; and port one production product to</w:t>
      </w:r>
      <w:r>
        <w:t xml:space="preserve"> </w:t>
      </w:r>
      <w:r>
        <w:rPr>
          <w:rStyle w:val="VerbatimChar"/>
        </w:rPr>
        <w:t xml:space="preserve">std::bank</w:t>
      </w:r>
      <w:r>
        <w:t xml:space="preserve">, measuring the architectural-audit deltas in the field rather than in the laboratory.</w:t>
      </w:r>
    </w:p>
    <w:p>
      <w:pPr>
        <w:pStyle w:val="BodyText"/>
      </w:pPr>
      <w:r>
        <w:rPr>
          <w:bCs/>
          <w:b/>
        </w:rPr>
        <w:t xml:space="preserve">Beyond banking.</w:t>
      </w:r>
      <w:r>
        <w:t xml:space="preserve"> </w:t>
      </w:r>
      <w:r>
        <w:t xml:space="preserve">The conservation pattern generalizes to any conserved-quantity domain — inventory, emissions accounting, energy markets, in-game economies, clinical supply chains. A systematic treatment of the pattern family — which indexed monoids, which capability structures, which commit rules — would test whether Contribution 4 is a</w:t>
      </w:r>
      <w:r>
        <w:t xml:space="preserve"> </w:t>
      </w:r>
      <w:r>
        <w:rPr>
          <w:iCs/>
          <w:i/>
        </w:rPr>
        <w:t xml:space="preserve">schema</w:t>
      </w:r>
      <w:r>
        <w:t xml:space="preserve"> </w:t>
      </w:r>
      <w:r>
        <w:t xml:space="preserve">for domain calculi rather than one instance, which is the most interesting way this thesis could turn out to be more general than it claims.</w:t>
      </w:r>
    </w:p>
    <w:bookmarkStart w:id="216" w:name="Xbbbbb0accfac7ed1739b080b0162fc56e7d650a"/>
    <w:p>
      <w:pPr>
        <w:pStyle w:val="Heading2"/>
      </w:pPr>
      <w:r>
        <w:t xml:space="preserve">12.x Work Named by the Counterproposal and the Solver Analysis</w:t>
      </w:r>
    </w:p>
    <w:p>
      <w:pPr>
        <w:pStyle w:val="FirstParagraph"/>
      </w:pPr>
      <w:r>
        <w:t xml:space="preserve">Six items, each arising from a specific gap identified in Chapters 4 and 6 rather than from</w:t>
      </w:r>
      <w:r>
        <w:t xml:space="preserve"> </w:t>
      </w:r>
      <w:r>
        <w:t xml:space="preserve">a general wish for more.</w:t>
      </w:r>
    </w:p>
    <w:p>
      <w:pPr>
        <w:pStyle w:val="BodyText"/>
      </w:pPr>
      <w:r>
        <w:rPr>
          <w:bCs/>
          <w:b/>
        </w:rPr>
        <w:t xml:space="preserve">A defect corpus drawn independently.</w:t>
      </w:r>
      <w:r>
        <w:t xml:space="preserve"> </w:t>
      </w:r>
      <w:r>
        <w:t xml:space="preserve">E14’s twelve defect classes were chosen because</w:t>
      </w:r>
      <w:r>
        <w:t xml:space="preserve"> </w:t>
      </w:r>
      <w:r>
        <w:t xml:space="preserve">this thesis claims to catch them, which biases the result toward Niles. A corpus drawn from</w:t>
      </w:r>
      <w:r>
        <w:t xml:space="preserve"> </w:t>
      </w:r>
      <w:r>
        <w:t xml:space="preserve">CVEs, from published bank incident reports, or from the commit history of an open-source</w:t>
      </w:r>
      <w:r>
        <w:t xml:space="preserve"> </w:t>
      </w:r>
      <w:r>
        <w:t xml:space="preserve">ledger would be far stronger, and its absence is E14’s largest single weakness. This is the</w:t>
      </w:r>
      <w:r>
        <w:t xml:space="preserve"> </w:t>
      </w:r>
      <w:r>
        <w:t xml:space="preserve">missing</w:t>
      </w:r>
      <w:r>
        <w:t xml:space="preserve"> </w:t>
      </w:r>
      <w:r>
        <w:rPr>
          <w:iCs/>
          <w:i/>
        </w:rPr>
        <w:t xml:space="preserve">frequency</w:t>
      </w:r>
      <w:r>
        <w:t xml:space="preserve"> </w:t>
      </w:r>
      <w:r>
        <w:t xml:space="preserve">premise of §6.10.3, and without it the argument for Niles is incomplete</w:t>
      </w:r>
      <w:r>
        <w:t xml:space="preserve"> </w:t>
      </w:r>
      <w:r>
        <w:t xml:space="preserve">in a way no amount of further engineering repairs.</w:t>
      </w:r>
    </w:p>
    <w:p>
      <w:pPr>
        <w:pStyle w:val="BodyText"/>
      </w:pPr>
      <w:r>
        <w:rPr>
          <w:bCs/>
          <w:b/>
        </w:rPr>
        <w:t xml:space="preserve">A cost study.</w:t>
      </w:r>
      <w:r>
        <w:t xml:space="preserve"> </w:t>
      </w:r>
      <w:r>
        <w:t xml:space="preserve">Against nine avoided defect classes stands the cost of adopting a new</w:t>
      </w:r>
      <w:r>
        <w:t xml:space="preserve"> </w:t>
      </w:r>
      <w:r>
        <w:t xml:space="preserve">language. Measuring it needs at minimum a migration of a real schema, timed, with the</w:t>
      </w:r>
      <w:r>
        <w:t xml:space="preserve"> </w:t>
      </w:r>
      <w:r>
        <w:t xml:space="preserve">reserved-word collisions of §9.13.5 counted rather than anticipated.</w:t>
      </w:r>
    </w:p>
    <w:p>
      <w:pPr>
        <w:pStyle w:val="BodyText"/>
      </w:pPr>
      <w:r>
        <w:rPr>
          <w:bCs/>
          <w:b/>
        </w:rPr>
        <w:t xml:space="preserve">A diagnostics trial.</w:t>
      </w:r>
      <w:r>
        <w:t xml:space="preserve"> </w:t>
      </w:r>
      <w:r>
        <w:t xml:space="preserve">The same money-safety violation rendered three ways — single span;</w:t>
      </w:r>
      <w:r>
        <w:t xml:space="preserve"> </w:t>
      </w:r>
      <w:r>
        <w:t xml:space="preserve">span plus prose warrant; span plus a second span at the rule — measured on blame-attribution</w:t>
      </w:r>
      <w:r>
        <w:t xml:space="preserve"> </w:t>
      </w:r>
      <w:r>
        <w:t xml:space="preserve">accuracy and time-to-correct-fix. No study has compared multi-span against single-span</w:t>
      </w:r>
      <w:r>
        <w:t xml:space="preserve"> </w:t>
      </w:r>
      <w:r>
        <w:t xml:space="preserve">diagnostics for any error class in any language, so this would be the first, it is small, and</w:t>
      </w:r>
      <w:r>
        <w:t xml:space="preserve"> </w:t>
      </w:r>
      <w:r>
        <w:t xml:space="preserve">§6.10.2’s design rests on its outcome.</w:t>
      </w:r>
    </w:p>
    <w:p>
      <w:pPr>
        <w:pStyle w:val="BodyText"/>
      </w:pPr>
      <w:r>
        <w:rPr>
          <w:bCs/>
          <w:b/>
        </w:rPr>
        <w:t xml:space="preserve">A compositional conservation summary.</w:t>
      </w:r>
      <w:r>
        <w:t xml:space="preserve"> </w:t>
      </w:r>
      <w:r>
        <w:t xml:space="preserve">The solver is interprocedural only by inlining.</w:t>
      </w:r>
      <w:r>
        <w:t xml:space="preserve"> </w:t>
      </w:r>
      <w:r>
        <w:t xml:space="preserve">Müller-Olm and Seidl’s context-sensitive affine analysis shows the compositional version is</w:t>
      </w:r>
      <w:r>
        <w:t xml:space="preserve"> </w:t>
      </w:r>
      <w:r>
        <w:t xml:space="preserve">tractable, and for this domain it is easier still, because a function’s net effect is a</w:t>
      </w:r>
      <w:r>
        <w:t xml:space="preserve"> </w:t>
      </w:r>
      <w:r>
        <w:t xml:space="preserve">homomorphism into a commutative group and so a summary is a single row:</w:t>
      </w:r>
      <w:r>
        <w:t xml:space="preserve"> </w:t>
      </w:r>
      <w:r>
        <w:rPr>
          <w:rStyle w:val="VerbatimChar"/>
        </w:rPr>
        <w:t xml:space="preserve">fn fee&lt;C&gt;(m: Money&lt;C&gt;) -&gt; Money&lt;C&gt; net { C: -1*m + 1*result }</w:t>
      </w:r>
      <w:r>
        <w:t xml:space="preserve">. That would make conservation separately</w:t>
      </w:r>
      <w:r>
        <w:t xml:space="preserve"> </w:t>
      </w:r>
      <w:r>
        <w:t xml:space="preserve">checkable per function rather than only within a transaction — the single highest-value</w:t>
      </w:r>
      <w:r>
        <w:t xml:space="preserve"> </w:t>
      </w:r>
      <w:r>
        <w:t xml:space="preserve">extension to Contribution 4.</w:t>
      </w:r>
    </w:p>
    <w:p>
      <w:pPr>
        <w:pStyle w:val="BodyText"/>
      </w:pPr>
      <w:r>
        <w:rPr>
          <w:bCs/>
          <w:b/>
        </w:rPr>
        <w:t xml:space="preserve">Effect rows that earn the name.</w:t>
      </w:r>
      <w:r>
        <w:t xml:space="preserve"> </w:t>
      </w:r>
      <w:r>
        <w:t xml:space="preserve">§4.5.1 records that the currency-variable machinery is</w:t>
      </w:r>
      <w:r>
        <w:t xml:space="preserve"> </w:t>
      </w:r>
      <w:r>
        <w:t xml:space="preserve">first-order unification on a phantom parameter, not row polymorphism. The design in which the</w:t>
      </w:r>
      <w:r>
        <w:t xml:space="preserve"> </w:t>
      </w:r>
      <w:r>
        <w:t xml:space="preserve">term would be earned —</w:t>
      </w:r>
      <w:r>
        <w:t xml:space="preserve"> </w:t>
      </w:r>
      <w:r>
        <w:rPr>
          <w:rStyle w:val="VerbatimChar"/>
        </w:rPr>
        <w:t xml:space="preserve">net ⟨usd: 0, eur: 0 | ρ⟩</w:t>
      </w:r>
      <w:r>
        <w:t xml:space="preserve">, with a row variable and scoped-label</w:t>
      </w:r>
      <w:r>
        <w:t xml:space="preserve"> </w:t>
      </w:r>
      <w:r>
        <w:t xml:space="preserve">constraints supplying the</w:t>
      </w:r>
      <w:r>
        <w:t xml:space="preserve"> </w:t>
      </w:r>
      <w:r>
        <w:rPr>
          <w:iCs/>
          <w:i/>
        </w:rPr>
        <w:t xml:space="preserve">absence</w:t>
      </w:r>
      <w:r>
        <w:t xml:space="preserve"> </w:t>
      </w:r>
      <w:r>
        <w:t xml:space="preserve">facts that unification cannot — is strictly better than</w:t>
      </w:r>
      <w:r>
        <w:t xml:space="preserve"> </w:t>
      </w:r>
      <w:r>
        <w:t xml:space="preserve">what is built, and would let a function state that it has no JPY leg.</w:t>
      </w:r>
    </w:p>
    <w:p>
      <w:pPr>
        <w:pStyle w:val="BodyText"/>
      </w:pPr>
      <w:r>
        <w:rPr>
          <w:bCs/>
          <w:b/>
        </w:rPr>
        <w:t xml:space="preserve">Congruence closure over pure calls.</w:t>
      </w:r>
      <w:r>
        <w:t xml:space="preserve"> </w:t>
      </w:r>
      <w:r>
        <w:t xml:space="preserve">The solver’s inability to see that</w:t>
      </w:r>
      <w:r>
        <w:t xml:space="preserve"> </w:t>
      </w:r>
      <w:r>
        <w:rPr>
          <w:rStyle w:val="VerbatimChar"/>
        </w:rPr>
        <w:t xml:space="preserve">f(a) − f(a)</w:t>
      </w:r>
      <w:r>
        <w:t xml:space="preserve"> </w:t>
      </w:r>
      <w:r>
        <w:t xml:space="preserve">is</w:t>
      </w:r>
      <w:r>
        <w:t xml:space="preserve"> </w:t>
      </w:r>
      <w:r>
        <w:t xml:space="preserve">zero is a value-numbering failure, not an arithmetic one, and Gulwani and Necula’s</w:t>
      </w:r>
      <w:r>
        <w:t xml:space="preserve"> </w:t>
      </w:r>
      <w:r>
        <w:t xml:space="preserve">polynomial-time global value numbering fixes it. This is the cheapest precision improvement</w:t>
      </w:r>
      <w:r>
        <w:t xml:space="preserve"> </w:t>
      </w:r>
      <w:r>
        <w:t xml:space="preserve">available and it was misattributed as a fundamental limit in earlier drafts.</w:t>
      </w:r>
    </w:p>
    <w:bookmarkEnd w:id="216"/>
    <w:bookmarkEnd w:id="217"/>
    <w:bookmarkStart w:id="218" w:name="conclusion"/>
    <w:p>
      <w:pPr>
        <w:pStyle w:val="Heading1"/>
      </w:pPr>
      <w:r>
        <w:t xml:space="preserve">13. Conclusion</w:t>
      </w:r>
    </w:p>
    <w:p>
      <w:pPr>
        <w:pStyle w:val="FirstParagraph"/>
      </w:pPr>
      <w:r>
        <w:t xml:space="preserve">This thesis began from a mismatch every system of record lives with. The write path wants an immutable, strictly ordered, never-forgetting history. The read path wants the economics of a cache, and wants them across an open-ended family of derived views — available balances net of holds, balances as of any historical date, positions rolled up by product, currency, desk, legal entity and geography, statements, fraud features — whose membership regulation itself declines to bound, since a bank must answer</w:t>
      </w:r>
      <w:r>
        <w:t xml:space="preserve"> </w:t>
      </w:r>
      <w:r>
        <w:t xml:space="preserve">“</w:t>
      </w:r>
      <w:r>
        <w:t xml:space="preserve">a broad range of on-demand, ad hoc</w:t>
      </w:r>
      <w:r>
        <w:t xml:space="preserve">”</w:t>
      </w:r>
      <w:r>
        <w:t xml:space="preserve"> </w:t>
      </w:r>
      <w:r>
        <w:t xml:space="preserve">aggregation requests. Industry serves the pair by gluing components together, and the seams are where correctness, auditability and money leak; the failure has a name in supervisory guidance, and it is what happens when two derived views of one ledger disagree at the moment a decision is made.</w:t>
      </w:r>
    </w:p>
    <w:p>
      <w:pPr>
        <w:pStyle w:val="BodyText"/>
      </w:pPr>
      <w:r>
        <w:t xml:space="preserve">The claim of this thesis is that the mismatch dissolves under one abstraction studied rigorously: the</w:t>
      </w:r>
      <w:r>
        <w:t xml:space="preserve"> </w:t>
      </w:r>
      <w:r>
        <w:rPr>
          <w:bCs/>
          <w:b/>
        </w:rPr>
        <w:t xml:space="preserve">reconstructible epoch-anchored view</w:t>
      </w:r>
      <w:r>
        <w:t xml:space="preserve"> </w:t>
      </w:r>
      <w:r>
        <w:t xml:space="preserve">— versioned, partially materialized derived state over an immutable, epoch-ordered, hash-chained base, where the base in the general case is an authoritative relation with committed writes, and the double-entry ledger is that general case with a commit rule and typed columns.</w:t>
      </w:r>
    </w:p>
    <w:p>
      <w:pPr>
        <w:pStyle w:val="BodyText"/>
      </w:pPr>
      <w:r>
        <w:t xml:space="preserve">Seven results were stated and proved around that object. The</w:t>
      </w:r>
      <w:r>
        <w:t xml:space="preserve"> </w:t>
      </w:r>
      <w:r>
        <w:rPr>
          <w:bCs/>
          <w:b/>
        </w:rPr>
        <w:t xml:space="preserve">versioned partial-state algebra and reconstruction theorem</w:t>
      </w:r>
      <w:r>
        <w:t xml:space="preserve"> </w:t>
      </w:r>
      <w:r>
        <w:t xml:space="preserve">established that eviction and reconstruction are exact at every anchor, with the corollary that memory pressure can never create or destroy money — and, as an engineering dividend, that the five anomalies partial-state dataflow must otherwise exclude by protocol become inexpressible once the base stops moving. The</w:t>
      </w:r>
      <w:r>
        <w:t xml:space="preserve"> </w:t>
      </w:r>
      <w:r>
        <w:rPr>
          <w:bCs/>
          <w:b/>
        </w:rPr>
        <w:t xml:space="preserve">Eviction–Consistency Frontier Theorem</w:t>
      </w:r>
      <w:r>
        <w:t xml:space="preserve"> </w:t>
      </w:r>
      <w:r>
        <w:t xml:space="preserve">bounded the approach honestly, proving where strict-serializable partial materialization stops being cheaper than full materialization and that no policy escapes the bound. The</w:t>
      </w:r>
      <w:r>
        <w:t xml:space="preserve"> </w:t>
      </w:r>
      <w:r>
        <w:rPr>
          <w:bCs/>
          <w:b/>
        </w:rPr>
        <w:t xml:space="preserve">complexity theory of consistency under partial materialization</w:t>
      </w:r>
      <w:r>
        <w:t xml:space="preserve"> </w:t>
      </w:r>
      <w:r>
        <w:t xml:space="preserve">priced every rung of the ladder in workload shape alone, freeing the cost of correctness from the length of history. The</w:t>
      </w:r>
      <w:r>
        <w:t xml:space="preserve"> </w:t>
      </w:r>
      <w:r>
        <w:rPr>
          <w:bCs/>
          <w:b/>
        </w:rPr>
        <w:t xml:space="preserve">consistency-effect calculus</w:t>
      </w:r>
      <w:r>
        <w:t xml:space="preserve"> </w:t>
      </w:r>
      <w:r>
        <w:t xml:space="preserve">moved conservation, currency discipline and authorization from runtime policing into typing judgements, while declaring precisely what such a theorem cannot buy — non-negativity is provably not coordination-free, and no type system repeals that. The</w:t>
      </w:r>
      <w:r>
        <w:t xml:space="preserve"> </w:t>
      </w:r>
      <w:r>
        <w:rPr>
          <w:bCs/>
          <w:b/>
        </w:rPr>
        <w:t xml:space="preserve">adaptive materialization calculus</w:t>
      </w:r>
      <w:r>
        <w:t xml:space="preserve"> </w:t>
      </w:r>
      <w:r>
        <w:t xml:space="preserve">turned the frontier into a runtime policy over a five-point mode lattice with competitive guarantees, and reported as a negative result that the most-cited guarantee in the view-selection literature does not survive the move to partial state. And the</w:t>
      </w:r>
      <w:r>
        <w:t xml:space="preserve"> </w:t>
      </w:r>
      <w:r>
        <w:rPr>
          <w:bCs/>
          <w:b/>
        </w:rPr>
        <w:t xml:space="preserve">generality result</w:t>
      </w:r>
      <w:r>
        <w:t xml:space="preserve"> </w:t>
      </w:r>
      <w:r>
        <w:t xml:space="preserve">replaced an unprovable slogan about replacing SQL with three statements that can be checked — relational completeness, fixpoint completeness over the epoch-ordered base, and a semantics-preserving translation of a stated SQL fragment — with the ledger’s own total order supplying, at no cost, the ordering hypothesis that the fixpoint theorem requires.</w:t>
      </w:r>
    </w:p>
    <w:p>
      <w:pPr>
        <w:pStyle w:val="BodyText"/>
      </w:pPr>
      <w:r>
        <w:t xml:space="preserve">The theory was given an instrument precise enough to falsify it:</w:t>
      </w:r>
      <w:r>
        <w:t xml:space="preserve"> </w:t>
      </w:r>
      <w:r>
        <w:rPr>
          <w:bCs/>
          <w:b/>
        </w:rPr>
        <w:t xml:space="preserve">Niles</w:t>
      </w:r>
      <w:r>
        <w:t xml:space="preserve">, a general-purpose, SQL-first, Rust-fallback language whose novel constructs carry the theory’s vocabulary — bases and ledgers, money with per-currency scale, value dates and two time axes, idempotency windows, materialization modes, per-view consistency, lineage, retention and confidentiality — with banking as a library over a fully general relational core; and</w:t>
      </w:r>
      <w:r>
        <w:t xml:space="preserve"> </w:t>
      </w:r>
      <w:r>
        <w:rPr>
          <w:bCs/>
          <w:b/>
        </w:rPr>
        <w:t xml:space="preserve">Nilestream</w:t>
      </w:r>
      <w:r>
        <w:t xml:space="preserve">, a streaming DBMS pairing a ledger-grade write path with a partial-state read-model runtime over a typed intermediate representation that is the stable contract between language and engine, wire-compatible with MySQL and PostgreSQL so that adoption can be incremental. Four foundational hypotheses — unboundedness, stream-relation duality, alignment, and the immutable-base-plus-derived-state shape — were formalized with their independent, dependent and control variables and their falsifiers; the duality was proved within an established operator algebra and sharpened with the information-asymmetry lemma that makes the stream, not the table, primitive.</w:t>
      </w:r>
    </w:p>
    <w:p>
      <w:pPr>
        <w:pStyle w:val="BodyText"/>
      </w:pPr>
      <w:r>
        <w:t xml:space="preserve">What this thesis has, and earlier drafts did not, is measurements — of the mechanisms, not of a database. A research prototype implementing epoch-ordered commit, hash chaining, anchor indices, checkpoints, partial materialization over the absence lattice, anchored upqueries and three eviction policies was built and run under five fixed seeds, reporting machine-independent counted work. It corroborated what the theory predicted: across roughly 13,600 reconstructions under continuous eviction, no reconstructed value ever differed from an independent fold of the ledger; per-currency conservation held exactly on every run; the entire derived layer was wiped and rebuilt from the base with every balance matching; integration and differentiation round-tripped as canonical Z-sets at 1,000 consecutive epochs; and a measured phase boundary appeared where the theory said one should be.</w:t>
      </w:r>
    </w:p>
    <w:p>
      <w:pPr>
        <w:pStyle w:val="BodyText"/>
      </w:pPr>
      <w:r>
        <w:t xml:space="preserve">It also refuted three things this thesis had asserted. Partiality’s advantage does</w:t>
      </w:r>
      <w:r>
        <w:t xml:space="preserve"> </w:t>
      </w:r>
      <w:r>
        <w:rPr>
          <w:bCs/>
          <w:b/>
        </w:rPr>
        <w:t xml:space="preserve">not</w:t>
      </w:r>
      <w:r>
        <w:t xml:space="preserve"> </w:t>
      </w:r>
      <w:r>
        <w:t xml:space="preserve">grow with skew — full materialization’s own footprint shrinks faster, so the memory ratio moves against partiality as access concentrates, and what actually governs the trade is the price of memory relative to reconstruction, at an interior optimum budget. Per-key anchor indices do</w:t>
      </w:r>
      <w:r>
        <w:t xml:space="preserve"> </w:t>
      </w:r>
      <w:r>
        <w:rPr>
          <w:bCs/>
          <w:b/>
        </w:rPr>
        <w:t xml:space="preserve">not</w:t>
      </w:r>
      <w:r>
        <w:t xml:space="preserve"> </w:t>
      </w:r>
      <w:r>
        <w:t xml:space="preserve">make reconstruction cost history-independent — they buy two orders of magnitude in constant factor and nothing asymptotically, because a hot key under skewed access keeps a roughly constant share of a growing traffic total. And the prototype</w:t>
      </w:r>
      <w:r>
        <w:t xml:space="preserve"> </w:t>
      </w:r>
      <w:r>
        <w:rPr>
          <w:bCs/>
          <w:b/>
        </w:rPr>
        <w:t xml:space="preserve">cannot</w:t>
      </w:r>
      <w:r>
        <w:t xml:space="preserve"> </w:t>
      </w:r>
      <w:r>
        <w:t xml:space="preserve">speak to hot-account contention at all, being single-threaded, so its flat result on that axis is an absence of experiment rather than an absence of problem.</w:t>
      </w:r>
    </w:p>
    <w:p>
      <w:pPr>
        <w:pStyle w:val="BodyText"/>
      </w:pPr>
      <w:r>
        <w:t xml:space="preserve">The second refutation was the productive one. Testing why the claim failed identified the mechanism that makes it true — a per-key checkpoint, from which reconstruction folds only the suffix — and measuring that mechanism confirmed the bound its theory predicts: cost flat at about 8.5 base rows across a sixty-four-fold increase in history, against a predicted C/2 + 1 = 9. That is now the Bounded Reconstruction Theorem, the seventh contribution, and the only one that an experiment produced rather than confirmed. It also explains, in retrospect, why production ledgers maintain running balances instead of folding journals on demand: they are buying the same bound under a different name.</w:t>
      </w:r>
    </w:p>
    <w:p>
      <w:pPr>
        <w:pStyle w:val="BodyText"/>
      </w:pPr>
      <w:r>
        <w:t xml:space="preserve">What remains unmeasured is stated as plainly. There is no durability, no concurrency, no distribution and no compiler in the prototype, so there is no throughput comparison against any database, no isolation-level result, and no language claim. Those cells are marked</w:t>
      </w:r>
      <w:r>
        <w:t xml:space="preserve"> </w:t>
      </w:r>
      <w:r>
        <w:rPr>
          <w:iCs/>
          <w:i/>
        </w:rPr>
        <w:t xml:space="preserve">to be measured</w:t>
      </w:r>
      <w:r>
        <w:t xml:space="preserve">, with their protocols and their pre-registered predictions, and none is filled with an invented number. Two claims were withdrawn outright rather than weakened: that SQL-completeness could be established by passing a conformance suite, since no authoritative current suite exists and the last official one was withdrawn in 1997; and that a conservation-of-money suite is evidence of strict serializability, since a published analysis shows a system passing the former while violating the latter.</w:t>
      </w:r>
    </w:p>
    <w:p>
      <w:pPr>
        <w:pStyle w:val="BodyText"/>
      </w:pPr>
      <w:r>
        <w:t xml:space="preserve">The contribution, finally, is the theory: a formal account of versioned, partially materialized state over an immutable ledger with epoch-based consistency semantics — what it guarantees, what it costs, how to decide, and where it ends. If the phase diagram holds, institutions gain a principled instrument for a choice they currently make blind. If it fails, the failure will be localized, attributable, and itself a result. Either way the system was never the point. The system is the experiment; the understanding is the deliverable.</w:t>
      </w:r>
    </w:p>
    <w:bookmarkEnd w:id="218"/>
    <w:bookmarkStart w:id="243" w:name="X72f5d002349448bc4efb59cdfc6974207fee60d"/>
    <w:p>
      <w:pPr>
        <w:pStyle w:val="Heading1"/>
      </w:pPr>
      <w:r>
        <w:t xml:space="preserve">Appendix A. Niles for Non-Technical Readers: Metaphors and Analogies</w:t>
      </w:r>
    </w:p>
    <w:p>
      <w:pPr>
        <w:pStyle w:val="FirstParagraph"/>
      </w:pPr>
      <w:r>
        <w:t xml:space="preserve">This appendix retells the whole thesis without formulas. Every metaphor corresponds to a precise mechanism in the main text; a technical reader may treat it as an index of intuitions.</w:t>
      </w:r>
    </w:p>
    <w:bookmarkStart w:id="219" w:name="a.1-niles-in-simpler-terms"/>
    <w:p>
      <w:pPr>
        <w:pStyle w:val="Heading2"/>
      </w:pPr>
      <w:r>
        <w:t xml:space="preserve">A.1 Niles in Simpler Terms</w:t>
      </w:r>
    </w:p>
    <w:p>
      <w:pPr>
        <w:pStyle w:val="FirstParagraph"/>
      </w:pPr>
      <w:r>
        <w:t xml:space="preserve">Imagine a bank that keeps one perfect book of everything that ever happened, and thousands of sticky-note summaries of whatever people are currently asking about. The book is sacred and never edited. The sticky notes are cheap, disposable, and always rewritable from the book. This thesis is about proving that the sticky notes can never lie, working out how many are worth keeping and which ones, and inventing a way of writing instructions to the bank in which certain mistakes — losing money, mixing currencies, spending without permission — cannot be written down at all.</w:t>
      </w:r>
    </w:p>
    <w:bookmarkEnd w:id="219"/>
    <w:bookmarkStart w:id="220" w:name="a.2-the-great-vault-ledger"/>
    <w:p>
      <w:pPr>
        <w:pStyle w:val="Heading2"/>
      </w:pPr>
      <w:r>
        <w:t xml:space="preserve">A.2 The Great Vault Ledger</w:t>
      </w:r>
    </w:p>
    <w:p>
      <w:pPr>
        <w:pStyle w:val="FirstParagraph"/>
      </w:pPr>
      <w:r>
        <w:t xml:space="preserve">At the centre sits one book in a vault. Every deposit, withdrawal, transfer and fee is a line in it, written once, in order, in ink. Nobody — not the bank’s president, not the computer itself — has an eraser. Everything else in the whole system is a</w:t>
      </w:r>
      <w:r>
        <w:t xml:space="preserve"> </w:t>
      </w:r>
      <w:r>
        <w:rPr>
          <w:iCs/>
          <w:i/>
        </w:rPr>
        <w:t xml:space="preserve">derived</w:t>
      </w:r>
      <w:r>
        <w:t xml:space="preserve"> </w:t>
      </w:r>
      <w:r>
        <w:t xml:space="preserve">convenience: balances, statements, reports are all just rereadings of the book.</w:t>
      </w:r>
    </w:p>
    <w:p>
      <w:pPr>
        <w:pStyle w:val="BodyText"/>
      </w:pPr>
      <w:r>
        <w:t xml:space="preserve">And the book is not really about money. It is about</w:t>
      </w:r>
      <w:r>
        <w:t xml:space="preserve"> </w:t>
      </w:r>
      <w:r>
        <w:rPr>
          <w:iCs/>
          <w:i/>
        </w:rPr>
        <w:t xml:space="preserve">facts written down in order and never revised</w:t>
      </w:r>
      <w:r>
        <w:t xml:space="preserve">. Money is the strictest customer it has, which is why it was chosen; the same book works for warehouse stock or medical supplies.</w:t>
      </w:r>
    </w:p>
    <w:bookmarkEnd w:id="220"/>
    <w:bookmarkStart w:id="221" w:name="X7e0cbc60896432fbae75cf296e4360df7769c82"/>
    <w:p>
      <w:pPr>
        <w:pStyle w:val="Heading2"/>
      </w:pPr>
      <w:r>
        <w:t xml:space="preserve">A.3 Why the Main Book Can Never Be Erased</w:t>
      </w:r>
    </w:p>
    <w:p>
      <w:pPr>
        <w:pStyle w:val="FirstParagraph"/>
      </w:pPr>
      <w:r>
        <w:t xml:space="preserve">Each page ends with a special seal — a fingerprint computed from everything on that page</w:t>
      </w:r>
      <w:r>
        <w:t xml:space="preserve"> </w:t>
      </w:r>
      <w:r>
        <w:rPr>
          <w:iCs/>
          <w:i/>
        </w:rPr>
        <w:t xml:space="preserve">plus the previous page’s fingerprint</w:t>
      </w:r>
      <w:r>
        <w:t xml:space="preserve">. Change one old line and every seal after it stops matching.</w:t>
      </w:r>
    </w:p>
    <w:p>
      <w:pPr>
        <w:pStyle w:val="BodyText"/>
      </w:pPr>
      <w:r>
        <w:t xml:space="preserve">One honest caveat, because it matters. The seal does not physically prevent anyone from rewriting a page; it makes rewriting</w:t>
      </w:r>
      <w:r>
        <w:t xml:space="preserve"> </w:t>
      </w:r>
      <w:r>
        <w:rPr>
          <w:iCs/>
          <w:i/>
        </w:rPr>
        <w:t xml:space="preserve">detectable</w:t>
      </w:r>
      <w:r>
        <w:t xml:space="preserve"> </w:t>
      </w:r>
      <w:r>
        <w:t xml:space="preserve">— but only by someone who wrote down a fingerprint earlier and bothers to check it now. A vault nobody audits is a vault with a very good lock and nobody holding the key. Mistakes, meanwhile, are fixed the way accountants have fixed them for five centuries: with a new correcting line, never with an eraser.</w:t>
      </w:r>
    </w:p>
    <w:bookmarkEnd w:id="221"/>
    <w:bookmarkStart w:id="222" w:name="a.4-the-two-calendars"/>
    <w:p>
      <w:pPr>
        <w:pStyle w:val="Heading2"/>
      </w:pPr>
      <w:r>
        <w:t xml:space="preserve">A.4 The Two Calendars</w:t>
      </w:r>
    </w:p>
    <w:p>
      <w:pPr>
        <w:pStyle w:val="FirstParagraph"/>
      </w:pPr>
      <w:r>
        <w:t xml:space="preserve">The bank keeps two calendars on every line:</w:t>
      </w:r>
      <w:r>
        <w:t xml:space="preserve"> </w:t>
      </w:r>
      <w:r>
        <w:rPr>
          <w:iCs/>
          <w:i/>
        </w:rPr>
        <w:t xml:space="preserve">when it happened in the world</w:t>
      </w:r>
      <w:r>
        <w:t xml:space="preserve"> </w:t>
      </w:r>
      <w:r>
        <w:t xml:space="preserve">and</w:t>
      </w:r>
      <w:r>
        <w:t xml:space="preserve"> </w:t>
      </w:r>
      <w:r>
        <w:rPr>
          <w:iCs/>
          <w:i/>
        </w:rPr>
        <w:t xml:space="preserve">when we wrote it down</w:t>
      </w:r>
      <w:r>
        <w:t xml:space="preserve">. If a payment from Monday only reaches the bank on Thursday, both truths are kept. That is how the bank can answer the auditor’s favourite trick question:</w:t>
      </w:r>
      <w:r>
        <w:t xml:space="preserve"> </w:t>
      </w:r>
      <w:r>
        <w:t xml:space="preserve">“</w:t>
      </w:r>
      <w:r>
        <w:t xml:space="preserve">Never mind what you know now — what did you</w:t>
      </w:r>
      <w:r>
        <w:t xml:space="preserve"> </w:t>
      </w:r>
      <w:r>
        <w:rPr>
          <w:iCs/>
          <w:i/>
        </w:rPr>
        <w:t xml:space="preserve">believe</w:t>
      </w:r>
      <w:r>
        <w:t xml:space="preserve"> </w:t>
      </w:r>
      <w:r>
        <w:t xml:space="preserve">on Wednesday?</w:t>
      </w:r>
      <w:r>
        <w:t xml:space="preserve">”</w:t>
      </w:r>
      <w:r>
        <w:t xml:space="preserve"> </w:t>
      </w:r>
      <w:r>
        <w:t xml:space="preserve">With two calendars, that has one exact answer.</w:t>
      </w:r>
    </w:p>
    <w:p>
      <w:pPr>
        <w:pStyle w:val="BodyText"/>
      </w:pPr>
      <w:r>
        <w:t xml:space="preserve">This is not a nicety the bank chose. European payments law dictates the relationship between the two calendars — the day a payment counts for interest cannot drift arbitrarily from the day the money actually moved. A bank with one clock cannot even state the rule it is required to follow.</w:t>
      </w:r>
    </w:p>
    <w:bookmarkEnd w:id="222"/>
    <w:bookmarkStart w:id="223" w:name="a.5-the-endless-questions"/>
    <w:p>
      <w:pPr>
        <w:pStyle w:val="Heading2"/>
      </w:pPr>
      <w:r>
        <w:t xml:space="preserve">A.5 The Endless Questions</w:t>
      </w:r>
    </w:p>
    <w:p>
      <w:pPr>
        <w:pStyle w:val="FirstParagraph"/>
      </w:pPr>
      <w:r>
        <w:t xml:space="preserve">Customers and regulators never read the vault book directly; they ask questions. What’s my balance? What can I actually spend right now? What did I hold on this date three years ago? What is our total exposure, broken down by product, currency, desk, legal entity and country? What did I spend this month? Is this transaction suspicious, right now, in the eighty milliseconds before the card machine times out?</w:t>
      </w:r>
    </w:p>
    <w:p>
      <w:pPr>
        <w:pStyle w:val="BodyText"/>
      </w:pPr>
      <w:r>
        <w:t xml:space="preserve">There are thousands of such questions, and the list is</w:t>
      </w:r>
      <w:r>
        <w:t xml:space="preserve"> </w:t>
      </w:r>
      <w:r>
        <w:rPr>
          <w:iCs/>
          <w:i/>
        </w:rPr>
        <w:t xml:space="preserve">open</w:t>
      </w:r>
      <w:r>
        <w:t xml:space="preserve"> </w:t>
      </w:r>
      <w:r>
        <w:t xml:space="preserve">— the risk regulator explicitly requires banks to answer new groupings on demand, including during a crisis. You cannot pre-compute a list that has no end. A few questions are asked constantly; most are asked once in a blue moon. That lopsidedness is the economic fact the whole design exploits — and, as we will see in A.13, it is also the assumption most likely to be wrong in some banks, which is why the design measures it instead of trusting it.</w:t>
      </w:r>
    </w:p>
    <w:bookmarkEnd w:id="223"/>
    <w:bookmarkStart w:id="224" w:name="a.6-the-clerks-notebook"/>
    <w:p>
      <w:pPr>
        <w:pStyle w:val="Heading2"/>
      </w:pPr>
      <w:r>
        <w:t xml:space="preserve">A.6 The Clerk’s Notebook</w:t>
      </w:r>
    </w:p>
    <w:p>
      <w:pPr>
        <w:pStyle w:val="FirstParagraph"/>
      </w:pPr>
      <w:r>
        <w:t xml:space="preserve">For each kind of question, a clerk keeps a notebook of pre-computed answers. Ask your balance and the clerk does not reread ten years of the vault book — she looks at her notebook. The notebooks are fast, handy, and</w:t>
      </w:r>
      <w:r>
        <w:t xml:space="preserve"> </w:t>
      </w:r>
      <w:r>
        <w:rPr>
          <w:iCs/>
          <w:i/>
        </w:rPr>
        <w:t xml:space="preserve">entirely reconstructible</w:t>
      </w:r>
      <w:r>
        <w:t xml:space="preserve">, because everything in them came from the book.</w:t>
      </w:r>
    </w:p>
    <w:bookmarkEnd w:id="224"/>
    <w:bookmarkStart w:id="225" w:name="a.7-nudging-not-recounting"/>
    <w:p>
      <w:pPr>
        <w:pStyle w:val="Heading2"/>
      </w:pPr>
      <w:r>
        <w:t xml:space="preserve">A.7 Nudging, Not Recounting</w:t>
      </w:r>
    </w:p>
    <w:p>
      <w:pPr>
        <w:pStyle w:val="FirstParagraph"/>
      </w:pPr>
      <w:r>
        <w:t xml:space="preserve">When a new transaction lands, the clerk does not recompute your balance from scratch. She</w:t>
      </w:r>
      <w:r>
        <w:t xml:space="preserve"> </w:t>
      </w:r>
      <w:r>
        <w:rPr>
          <w:iCs/>
          <w:i/>
        </w:rPr>
        <w:t xml:space="preserve">nudges</w:t>
      </w:r>
      <w:r>
        <w:t xml:space="preserve"> </w:t>
      </w:r>
      <w:r>
        <w:t xml:space="preserve">it: balance was 100, a deposit of 5 arrived, write 105. Nudging is thousands of times cheaper than recounting, and the mathematics behind it guarantees that nudging always gives exactly what a full recount would.</w:t>
      </w:r>
    </w:p>
    <w:bookmarkEnd w:id="225"/>
    <w:bookmarkStart w:id="226" w:name="a.8-a-wall-of-flow-charts"/>
    <w:p>
      <w:pPr>
        <w:pStyle w:val="Heading2"/>
      </w:pPr>
      <w:r>
        <w:t xml:space="preserve">A.8 A Wall of Flow Charts</w:t>
      </w:r>
    </w:p>
    <w:p>
      <w:pPr>
        <w:pStyle w:val="FirstParagraph"/>
      </w:pPr>
      <w:r>
        <w:t xml:space="preserve">How does a clerk know which notebook entries a new transaction should nudge? Behind the clerks hangs a wall of flow charts — one per kind of question — showing how raw lines flow, step by step, into finished answers. New lines ride the arrows; each stop updates its intermediate note.</w:t>
      </w:r>
    </w:p>
    <w:bookmarkEnd w:id="226"/>
    <w:bookmarkStart w:id="227" w:name="a.9-erasing-to-make-room"/>
    <w:p>
      <w:pPr>
        <w:pStyle w:val="Heading2"/>
      </w:pPr>
      <w:r>
        <w:t xml:space="preserve">A.9 Erasing to Make Room</w:t>
      </w:r>
    </w:p>
    <w:p>
      <w:pPr>
        <w:pStyle w:val="FirstParagraph"/>
      </w:pPr>
      <w:r>
        <w:t xml:space="preserve">Notebooks are small; the book is enormous. So clerks erase entries nobody has asked about lately — the dormant account, the stale report. Erasing a</w:t>
      </w:r>
      <w:r>
        <w:t xml:space="preserve"> </w:t>
      </w:r>
      <w:r>
        <w:rPr>
          <w:iCs/>
          <w:i/>
        </w:rPr>
        <w:t xml:space="preserve">notebook</w:t>
      </w:r>
      <w:r>
        <w:t xml:space="preserve"> </w:t>
      </w:r>
      <w:r>
        <w:t xml:space="preserve">is always safe, because the notebook never held anything original. This is the crucial asymmetry: the book may never be erased; the notebooks may always be.</w:t>
      </w:r>
    </w:p>
    <w:bookmarkEnd w:id="227"/>
    <w:bookmarkStart w:id="228" w:name="a.10-reading-backwards-to-fill-a-gap"/>
    <w:p>
      <w:pPr>
        <w:pStyle w:val="Heading2"/>
      </w:pPr>
      <w:r>
        <w:t xml:space="preserve">A.10 Reading Backwards to Fill a Gap</w:t>
      </w:r>
    </w:p>
    <w:p>
      <w:pPr>
        <w:pStyle w:val="FirstParagraph"/>
      </w:pPr>
      <w:r>
        <w:t xml:space="preserve">When someone finally asks about an erased entry, the clerk walks the flow chart</w:t>
      </w:r>
      <w:r>
        <w:t xml:space="preserve"> </w:t>
      </w:r>
      <w:r>
        <w:rPr>
          <w:iCs/>
          <w:i/>
        </w:rPr>
        <w:t xml:space="preserve">backwards</w:t>
      </w:r>
      <w:r>
        <w:t xml:space="preserve"> </w:t>
      </w:r>
      <w:r>
        <w:t xml:space="preserve">— from the question, back through the intermediate stops, to the exact pages of the vault book that matter — recomputes just that one answer, and writes it back.</w:t>
      </w:r>
    </w:p>
    <w:p>
      <w:pPr>
        <w:pStyle w:val="BodyText"/>
      </w:pPr>
      <w:r>
        <w:t xml:space="preserve">The thesis’s first big theorem says the answer produced this way is</w:t>
      </w:r>
      <w:r>
        <w:t xml:space="preserve"> </w:t>
      </w:r>
      <w:r>
        <w:rPr>
          <w:iCs/>
          <w:i/>
        </w:rPr>
        <w:t xml:space="preserve">identical</w:t>
      </w:r>
      <w:r>
        <w:t xml:space="preserve"> </w:t>
      </w:r>
      <w:r>
        <w:t xml:space="preserve">to the answer of a clerk who never erased anything. Its corollary is the sentence the whole bank rests on:</w:t>
      </w:r>
      <w:r>
        <w:t xml:space="preserve"> </w:t>
      </w:r>
      <w:r>
        <w:rPr>
          <w:bCs/>
          <w:b/>
        </w:rPr>
        <w:t xml:space="preserve">erasing and reconstructing can never create or destroy money.</w:t>
      </w:r>
    </w:p>
    <w:p>
      <w:pPr>
        <w:pStyle w:val="BodyText"/>
      </w:pPr>
      <w:r>
        <w:t xml:space="preserve">There is a quieter reward too. In a bank whose main book could still be</w:t>
      </w:r>
      <w:r>
        <w:t xml:space="preserve"> </w:t>
      </w:r>
      <w:r>
        <w:rPr>
          <w:iCs/>
          <w:i/>
        </w:rPr>
        <w:t xml:space="preserve">edited</w:t>
      </w:r>
      <w:r>
        <w:t xml:space="preserve">, a clerk reading backwards might catch the book mid-change and produce nonsense — and systems that work that way need an elaborate protocol of warnings and hand-offs to prevent five different kinds of accident. When the book cannot change, those five accidents cannot happen, and the whole protocol simply disappears. A great deal of machinery is avoided by making one thing impossible.</w:t>
      </w:r>
    </w:p>
    <w:bookmarkEnd w:id="228"/>
    <w:bookmarkStart w:id="229" w:name="a.11-stamping-every-answer-with-a-moment"/>
    <w:p>
      <w:pPr>
        <w:pStyle w:val="Heading2"/>
      </w:pPr>
      <w:r>
        <w:t xml:space="preserve">A.11 Stamping Every Answer with a Moment</w:t>
      </w:r>
    </w:p>
    <w:p>
      <w:pPr>
        <w:pStyle w:val="FirstParagraph"/>
      </w:pPr>
      <w:r>
        <w:t xml:space="preserve">Every answer comes with a stamp:</w:t>
      </w:r>
      <w:r>
        <w:t xml:space="preserve"> </w:t>
      </w:r>
      <w:r>
        <w:t xml:space="preserve">“</w:t>
      </w:r>
      <w:r>
        <w:t xml:space="preserve">correct as of page 41,209.</w:t>
      </w:r>
      <w:r>
        <w:t xml:space="preserve">”</w:t>
      </w:r>
      <w:r>
        <w:t xml:space="preserve"> </w:t>
      </w:r>
      <w:r>
        <w:t xml:space="preserve">Never a bare number — always a number</w:t>
      </w:r>
      <w:r>
        <w:t xml:space="preserve"> </w:t>
      </w:r>
      <w:r>
        <w:rPr>
          <w:iCs/>
          <w:i/>
        </w:rPr>
        <w:t xml:space="preserve">and its moment</w:t>
      </w:r>
      <w:r>
        <w:t xml:space="preserve">. Arguments about</w:t>
      </w:r>
      <w:r>
        <w:t xml:space="preserve"> </w:t>
      </w:r>
      <w:r>
        <w:t xml:space="preserve">“</w:t>
      </w:r>
      <w:r>
        <w:t xml:space="preserve">but my screen said something different</w:t>
      </w:r>
      <w:r>
        <w:t xml:space="preserve">”</w:t>
      </w:r>
      <w:r>
        <w:t xml:space="preserve"> </w:t>
      </w:r>
      <w:r>
        <w:t xml:space="preserve">dissolve, because the two screens carried two different stamps and both were exactly right for their stamp.</w:t>
      </w:r>
    </w:p>
    <w:bookmarkEnd w:id="229"/>
    <w:bookmarkStart w:id="230" w:name="a.12-how-sure-do-you-want-to-be"/>
    <w:p>
      <w:pPr>
        <w:pStyle w:val="Heading2"/>
      </w:pPr>
      <w:r>
        <w:t xml:space="preserve">A.12 How Sure Do You Want to Be?</w:t>
      </w:r>
    </w:p>
    <w:p>
      <w:pPr>
        <w:pStyle w:val="FirstParagraph"/>
      </w:pPr>
      <w:r>
        <w:t xml:space="preserve">Different questions deserve different freshness. A management dashboard may run a few pages behind. A fraud check wants the most recent page it can get. A card authorization must see</w:t>
      </w:r>
      <w:r>
        <w:t xml:space="preserve"> </w:t>
      </w:r>
      <w:r>
        <w:rPr>
          <w:iCs/>
          <w:i/>
        </w:rPr>
        <w:t xml:space="preserve">this very second</w:t>
      </w:r>
      <w:r>
        <w:t xml:space="preserve">, no matter the cost.</w:t>
      </w:r>
    </w:p>
    <w:p>
      <w:pPr>
        <w:pStyle w:val="BodyText"/>
      </w:pPr>
      <w:r>
        <w:t xml:space="preserve">So the system offers a ladder of promises, from</w:t>
      </w:r>
      <w:r>
        <w:t xml:space="preserve"> </w:t>
      </w:r>
      <w:r>
        <w:t xml:space="preserve">“</w:t>
      </w:r>
      <w:r>
        <w:t xml:space="preserve">at most a few pages stale, and never more than five seconds old</w:t>
      </w:r>
      <w:r>
        <w:t xml:space="preserve">”</w:t>
      </w:r>
      <w:r>
        <w:t xml:space="preserve"> </w:t>
      </w:r>
      <w:r>
        <w:t xml:space="preserve">up to</w:t>
      </w:r>
      <w:r>
        <w:t xml:space="preserve"> </w:t>
      </w:r>
      <w:r>
        <w:t xml:space="preserve">“</w:t>
      </w:r>
      <w:r>
        <w:t xml:space="preserve">absolutely current, guaranteed,</w:t>
      </w:r>
      <w:r>
        <w:t xml:space="preserve">”</w:t>
      </w:r>
      <w:r>
        <w:t xml:space="preserve"> </w:t>
      </w:r>
      <w:r>
        <w:t xml:space="preserve">and every notebook declares which rung it stands on. The second big theorem is about the price list of that ladder — and it proves the top rung is sometimes so expensive that erasing stops paying at all, and draws the map of exactly where.</w:t>
      </w:r>
    </w:p>
    <w:bookmarkEnd w:id="230"/>
    <w:bookmarkStart w:id="231" w:name="a.13-the-clerk-who-decides-what-to-keep"/>
    <w:p>
      <w:pPr>
        <w:pStyle w:val="Heading2"/>
      </w:pPr>
      <w:r>
        <w:t xml:space="preserve">A.13 The Clerk Who Decides What to Keep</w:t>
      </w:r>
    </w:p>
    <w:p>
      <w:pPr>
        <w:pStyle w:val="FirstParagraph"/>
      </w:pPr>
      <w:r>
        <w:t xml:space="preserve">Someone has to decide which notebooks are kept complete, which are filled in on demand, which live in the filing cabinet instead of the desk, and which are not kept at all. Guessing is how banks do it today.</w:t>
      </w:r>
    </w:p>
    <w:p>
      <w:pPr>
        <w:pStyle w:val="BodyText"/>
      </w:pPr>
      <w:r>
        <w:t xml:space="preserve">Instead there is a head clerk with a rule book. She watches how often each question is asked, how expensive it is to reconstruct an answer,</w:t>
      </w:r>
      <w:r>
        <w:t xml:space="preserve"> </w:t>
      </w:r>
      <w:r>
        <w:rPr>
          <w:iCs/>
          <w:i/>
        </w:rPr>
        <w:t xml:space="preserve">how long the reconstruction takes</w:t>
      </w:r>
      <w:r>
        <w:t xml:space="preserve">, and how fresh the answer has to be — and she moves notebooks between the desk, the cabinet and the bin accordingly. Her rule book comes from a century of mathematics about renting versus buying: if you have paid to reconstruct something often enough that you could have kept it all along, keep it.</w:t>
      </w:r>
    </w:p>
    <w:p>
      <w:pPr>
        <w:pStyle w:val="BodyText"/>
      </w:pPr>
      <w:r>
        <w:t xml:space="preserve">Two honest notes. First, the timing matters more than it looks: while a clerk is walking back to the vault, other people queue up asking the same question, and a rule that ignores that queue is provably the wrong rule. Second, the head clerk can never change what an answer</w:t>
      </w:r>
      <w:r>
        <w:t xml:space="preserve"> </w:t>
      </w:r>
      <w:r>
        <w:rPr>
          <w:iCs/>
          <w:i/>
        </w:rPr>
        <w:t xml:space="preserve">is</w:t>
      </w:r>
      <w:r>
        <w:t xml:space="preserve">. She only changes where it comes from. That is a theorem, and it is what makes it safe to let her change her mind while the bank is open.</w:t>
      </w:r>
    </w:p>
    <w:bookmarkEnd w:id="231"/>
    <w:bookmarkStart w:id="232" w:name="X4929aaa7eb9d2599625161d74dbb77171363dc2"/>
    <w:p>
      <w:pPr>
        <w:pStyle w:val="Heading2"/>
      </w:pPr>
      <w:r>
        <w:t xml:space="preserve">A.14 Money You Have Versus Money You Can Spend</w:t>
      </w:r>
    </w:p>
    <w:p>
      <w:pPr>
        <w:pStyle w:val="FirstParagraph"/>
      </w:pPr>
      <w:r>
        <w:t xml:space="preserve">When you tap your card, the shop asks the bank to set money aside before anything has actually moved. That set-aside is a</w:t>
      </w:r>
      <w:r>
        <w:t xml:space="preserve"> </w:t>
      </w:r>
      <w:r>
        <w:rPr>
          <w:iCs/>
          <w:i/>
        </w:rPr>
        <w:t xml:space="preserve">hold</w:t>
      </w:r>
      <w:r>
        <w:t xml:space="preserve">, and it is why two perfectly correct balances can disagree: the money is still in the account, and it is already spoken for.</w:t>
      </w:r>
    </w:p>
    <w:p>
      <w:pPr>
        <w:pStyle w:val="BodyText"/>
      </w:pPr>
      <w:r>
        <w:t xml:space="preserve">In this design a hold is not a scribble in a margin — it is its own line in the vault book, and resolving it (charged, cancelled, expired) is another line. So</w:t>
      </w:r>
      <w:r>
        <w:t xml:space="preserve"> </w:t>
      </w:r>
      <w:r>
        <w:t xml:space="preserve">“</w:t>
      </w:r>
      <w:r>
        <w:t xml:space="preserve">the money you have</w:t>
      </w:r>
      <w:r>
        <w:t xml:space="preserve">”</w:t>
      </w:r>
      <w:r>
        <w:t xml:space="preserve"> </w:t>
      </w:r>
      <w:r>
        <w:t xml:space="preserve">and</w:t>
      </w:r>
      <w:r>
        <w:t xml:space="preserve"> </w:t>
      </w:r>
      <w:r>
        <w:t xml:space="preserve">“</w:t>
      </w:r>
      <w:r>
        <w:t xml:space="preserve">the money you can spend</w:t>
      </w:r>
      <w:r>
        <w:t xml:space="preserve">”</w:t>
      </w:r>
      <w:r>
        <w:t xml:space="preserve"> </w:t>
      </w:r>
      <w:r>
        <w:t xml:space="preserve">are simply two notebooks reading the same book with different rules. Regulators have written formal guidance about the harm caused when banks get the gap between those two numbers wrong; here the gap has a name, a declared freshness promise, and a test.</w:t>
      </w:r>
    </w:p>
    <w:p>
      <w:pPr>
        <w:pStyle w:val="BodyText"/>
      </w:pPr>
      <w:r>
        <w:t xml:space="preserve">There is a hard limit worth stating. Making sure two people cannot spend the same money at the same moment genuinely requires the clerks to talk to each other — three separate branches of computer science prove that this particular kind of check cannot be made free. Simply moving money without any such check</w:t>
      </w:r>
      <w:r>
        <w:t xml:space="preserve"> </w:t>
      </w:r>
      <w:r>
        <w:rPr>
          <w:iCs/>
          <w:i/>
        </w:rPr>
        <w:t xml:space="preserve">can</w:t>
      </w:r>
      <w:r>
        <w:t xml:space="preserve"> </w:t>
      </w:r>
      <w:r>
        <w:t xml:space="preserve">be made free. So the design confines the expensive part to the one place that needs it (the moment of authorization) and lets everything else run cheap.</w:t>
      </w:r>
    </w:p>
    <w:bookmarkEnd w:id="232"/>
    <w:bookmarkStart w:id="233" w:name="a.15-many-clerks-and-no-collisions"/>
    <w:p>
      <w:pPr>
        <w:pStyle w:val="Heading2"/>
      </w:pPr>
      <w:r>
        <w:t xml:space="preserve">A.15 Many Clerks and No Collisions</w:t>
      </w:r>
    </w:p>
    <w:p>
      <w:pPr>
        <w:pStyle w:val="FirstParagraph"/>
      </w:pPr>
      <w:r>
        <w:t xml:space="preserve">Hundreds of clerks read the book at once and never trip over each other, for one simple reason: sealed pages never change. You cannot collide over something nobody can move. The only place requiring turn-taking is the single desk where the current page is being written.</w:t>
      </w:r>
    </w:p>
    <w:bookmarkEnd w:id="233"/>
    <w:bookmarkStart w:id="234" w:name="a.16-where-the-notebooks-sit-on-the-desk"/>
    <w:p>
      <w:pPr>
        <w:pStyle w:val="Heading2"/>
      </w:pPr>
      <w:r>
        <w:t xml:space="preserve">A.16 Where the Notebooks Sit on the Desk</w:t>
      </w:r>
    </w:p>
    <w:p>
      <w:pPr>
        <w:pStyle w:val="FirstParagraph"/>
      </w:pPr>
      <w:r>
        <w:t xml:space="preserve">Hot notebooks stay open on the desk; cool ones go to the shelf; the book’s old volumes retire to deep archive — yet every seal still verifies when a volume comes back up. Moving a volume between rooms never changes what it says, because identity lives in the fingerprints, not the shelf.</w:t>
      </w:r>
    </w:p>
    <w:bookmarkEnd w:id="234"/>
    <w:bookmarkStart w:id="235" w:name="a.17-showing-your-work"/>
    <w:p>
      <w:pPr>
        <w:pStyle w:val="Heading2"/>
      </w:pPr>
      <w:r>
        <w:t xml:space="preserve">A.17 Showing Your Work</w:t>
      </w:r>
    </w:p>
    <w:p>
      <w:pPr>
        <w:pStyle w:val="FirstParagraph"/>
      </w:pPr>
      <w:r>
        <w:t xml:space="preserve">Every answer can be traced back to the exact lines of the vault book that produced it, and re-derived from scratch to check. If a wrong line is later corrected, the bank can ask which answers it touched. This is not a logging system bolted on the side; it falls out of the same mathematics that computes the answers, which is why it can be afforded at all.</w:t>
      </w:r>
    </w:p>
    <w:bookmarkEnd w:id="235"/>
    <w:bookmarkStart w:id="236" w:name="a.18-the-order-form-the-clerks-fill-in"/>
    <w:p>
      <w:pPr>
        <w:pStyle w:val="Heading2"/>
      </w:pPr>
      <w:r>
        <w:t xml:space="preserve">A.18 The Order Form the Clerks Fill In</w:t>
      </w:r>
    </w:p>
    <w:p>
      <w:pPr>
        <w:pStyle w:val="FirstParagraph"/>
      </w:pPr>
      <w:r>
        <w:t xml:space="preserve">Niles, the language, is the bank’s order form, and its trick is that the form itself refuses nonsense. A transfer that doesn’t balance: the form won’t accept it. Adding euros to dollars: the boxes physically don’t line up. Spending past a limit without a manager’s countersignature: there is no field for it. Whole categories of financial accident become</w:t>
      </w:r>
      <w:r>
        <w:t xml:space="preserve"> </w:t>
      </w:r>
      <w:r>
        <w:rPr>
          <w:iCs/>
          <w:i/>
        </w:rPr>
        <w:t xml:space="preserve">unwritable</w:t>
      </w:r>
      <w:r>
        <w:t xml:space="preserve">, rejected before the instruction ever reaches a clerk.</w:t>
      </w:r>
    </w:p>
    <w:p>
      <w:pPr>
        <w:pStyle w:val="BodyText"/>
      </w:pPr>
      <w:r>
        <w:t xml:space="preserve">One thing the form cannot do, and the thesis says so: it cannot promise you never go overdrawn. It can promise nobody</w:t>
      </w:r>
      <w:r>
        <w:t xml:space="preserve"> </w:t>
      </w:r>
      <w:r>
        <w:rPr>
          <w:iCs/>
          <w:i/>
        </w:rPr>
        <w:t xml:space="preserve">forgot to ask</w:t>
      </w:r>
      <w:r>
        <w:t xml:space="preserve">. The asking still has to happen at the counter.</w:t>
      </w:r>
    </w:p>
    <w:bookmarkEnd w:id="236"/>
    <w:bookmarkStart w:id="237" w:name="a.19-the-four-beliefs-underneath-it-all"/>
    <w:p>
      <w:pPr>
        <w:pStyle w:val="Heading2"/>
      </w:pPr>
      <w:r>
        <w:t xml:space="preserve">A.19 The Four Beliefs Underneath It All</w:t>
      </w:r>
    </w:p>
    <w:p>
      <w:pPr>
        <w:pStyle w:val="FirstParagraph"/>
      </w:pPr>
      <w:r>
        <w:t xml:space="preserve">Everything rests on four beliefs. The flow of events never ends. Any</w:t>
      </w:r>
      <w:r>
        <w:t xml:space="preserve"> </w:t>
      </w:r>
      <w:r>
        <w:t xml:space="preserve">“</w:t>
      </w:r>
      <w:r>
        <w:t xml:space="preserve">state</w:t>
      </w:r>
      <w:r>
        <w:t xml:space="preserve">”</w:t>
      </w:r>
      <w:r>
        <w:t xml:space="preserve"> </w:t>
      </w:r>
      <w:r>
        <w:t xml:space="preserve">is just the running total of its events — keep the events and you can always rebuild the totals, but not the other way round. Tools should be built for how the world actually is, not for a convenient fiction of it. And therefore the right shape is one unerasable book plus freely erasable notebooks.</w:t>
      </w:r>
    </w:p>
    <w:p>
      <w:pPr>
        <w:pStyle w:val="BodyText"/>
      </w:pPr>
      <w:r>
        <w:t xml:space="preserve">The second belief has a nice proof and a nicer consequence. Two very different histories —</w:t>
      </w:r>
      <w:r>
        <w:t xml:space="preserve"> </w:t>
      </w:r>
      <w:r>
        <w:t xml:space="preserve">“</w:t>
      </w:r>
      <w:r>
        <w:t xml:space="preserve">someone deposited five pounds</w:t>
      </w:r>
      <w:r>
        <w:t xml:space="preserve">”</w:t>
      </w:r>
      <w:r>
        <w:t xml:space="preserve"> </w:t>
      </w:r>
      <w:r>
        <w:t xml:space="preserve">and</w:t>
      </w:r>
      <w:r>
        <w:t xml:space="preserve"> </w:t>
      </w:r>
      <w:r>
        <w:t xml:space="preserve">“</w:t>
      </w:r>
      <w:r>
        <w:t xml:space="preserve">someone deposited seven then withdrew two</w:t>
      </w:r>
      <w:r>
        <w:t xml:space="preserve">”</w:t>
      </w:r>
      <w:r>
        <w:t xml:space="preserve"> </w:t>
      </w:r>
      <w:r>
        <w:t xml:space="preserve">— leave the same total. The total cannot tell you which happened; the history can always tell you the total. That is the whole argument for keeping the history.</w:t>
      </w:r>
    </w:p>
    <w:bookmarkEnd w:id="237"/>
    <w:bookmarkStart w:id="238" w:name="a.20-coins-in-separate-jars"/>
    <w:p>
      <w:pPr>
        <w:pStyle w:val="Heading2"/>
      </w:pPr>
      <w:r>
        <w:t xml:space="preserve">A.20 Coins in Separate Jars</w:t>
      </w:r>
    </w:p>
    <w:p>
      <w:pPr>
        <w:pStyle w:val="FirstParagraph"/>
      </w:pPr>
      <w:r>
        <w:t xml:space="preserve">Every currency is its own jar of coins, counted separately, conserved separately. An exchange is never coins teleporting between jars — it is two simultaneous, individually balanced moves, one in each jar, linked by a single order. So even mid-crash, mid-erasure, mid-anything, no jar’s total is ever wrong.</w:t>
      </w:r>
    </w:p>
    <w:bookmarkEnd w:id="238"/>
    <w:bookmarkStart w:id="239" w:name="a.21-the-sealed-room-and-the-only-key"/>
    <w:p>
      <w:pPr>
        <w:pStyle w:val="Heading2"/>
      </w:pPr>
      <w:r>
        <w:t xml:space="preserve">A.21 The Sealed Room and the Only Key</w:t>
      </w:r>
    </w:p>
    <w:p>
      <w:pPr>
        <w:pStyle w:val="FirstParagraph"/>
      </w:pPr>
      <w:r>
        <w:t xml:space="preserve">Some things on the forms — names, private memos — go into sealed envelopes before they ever reach the bank, and only the customer holds the key. The bank files, orders and fingerprints the envelopes without opening them.</w:t>
      </w:r>
    </w:p>
    <w:p>
      <w:pPr>
        <w:pStyle w:val="BodyText"/>
      </w:pPr>
      <w:r>
        <w:t xml:space="preserve">The honest fine print: the bank cannot compute with what it cannot read. So each field declares upfront whether it is sealed, semi-sealed or open, and the order form enforces the declaration. There is a clever middle option for amounts — a kind of sealed envelope you can still</w:t>
      </w:r>
      <w:r>
        <w:t xml:space="preserve"> </w:t>
      </w:r>
      <w:r>
        <w:rPr>
          <w:iCs/>
          <w:i/>
        </w:rPr>
        <w:t xml:space="preserve">add up</w:t>
      </w:r>
      <w:r>
        <w:t xml:space="preserve"> </w:t>
      </w:r>
      <w:r>
        <w:t xml:space="preserve">without opening — which lets the bank check that everything balances while never seeing the figures.</w:t>
      </w:r>
    </w:p>
    <w:bookmarkEnd w:id="239"/>
    <w:bookmarkStart w:id="240" w:name="a.22-beyond-banking"/>
    <w:p>
      <w:pPr>
        <w:pStyle w:val="Heading2"/>
      </w:pPr>
      <w:r>
        <w:t xml:space="preserve">A.22 Beyond Banking</w:t>
      </w:r>
    </w:p>
    <w:p>
      <w:pPr>
        <w:pStyle w:val="FirstParagraph"/>
      </w:pPr>
      <w:r>
        <w:t xml:space="preserve">The bank is only the sternest customer, chosen because it tolerates nothing. The same machinery counts anything that must never silently appear or vanish: warehouse stock, carbon credits, airline miles, game gold. Money is the proving ground, not the boundary.</w:t>
      </w:r>
    </w:p>
    <w:bookmarkEnd w:id="240"/>
    <w:bookmarkStart w:id="241" w:name="a.23-what-we-have-not-done-yet"/>
    <w:p>
      <w:pPr>
        <w:pStyle w:val="Heading2"/>
      </w:pPr>
      <w:r>
        <w:t xml:space="preserve">A.23 What We Have Not Done Yet</w:t>
      </w:r>
    </w:p>
    <w:p>
      <w:pPr>
        <w:pStyle w:val="FirstParagraph"/>
      </w:pPr>
      <w:r>
        <w:t xml:space="preserve">Honesty belongs in the simple version too. The mathematics is written and checked by hand. The vault, the clerks and the head clerk are designed in detail, and one piece is genuinely built: the tiny, deliberately stupid program that defines what</w:t>
      </w:r>
      <w:r>
        <w:t xml:space="preserve"> </w:t>
      </w:r>
      <w:r>
        <w:t xml:space="preserve">“</w:t>
      </w:r>
      <w:r>
        <w:t xml:space="preserve">correct</w:t>
      </w:r>
      <w:r>
        <w:t xml:space="preserve">”</w:t>
      </w:r>
      <w:r>
        <w:t xml:space="preserve"> </w:t>
      </w:r>
      <w:r>
        <w:t xml:space="preserve">means — the one that answers every question by rereading the entire book from the beginning, slowly, so that the fast system can be checked against it. What has</w:t>
      </w:r>
      <w:r>
        <w:t xml:space="preserve"> </w:t>
      </w:r>
      <w:r>
        <w:rPr>
          <w:iCs/>
          <w:i/>
        </w:rPr>
        <w:t xml:space="preserve">not</w:t>
      </w:r>
      <w:r>
        <w:t xml:space="preserve"> </w:t>
      </w:r>
      <w:r>
        <w:t xml:space="preserve">happened is the measuring. No speed or memory number in this thesis was produced by running this system, and none is claimed. What is written down instead is exactly what will be measured, what each result is predicted to be, and — importantly — what result would prove the whole idea wrong.</w:t>
      </w:r>
    </w:p>
    <w:bookmarkEnd w:id="241"/>
    <w:bookmarkStart w:id="242" w:name="a.24-why-all-this-matters"/>
    <w:p>
      <w:pPr>
        <w:pStyle w:val="Heading2"/>
      </w:pPr>
      <w:r>
        <w:t xml:space="preserve">A.24 Why All This Matters</w:t>
      </w:r>
    </w:p>
    <w:p>
      <w:pPr>
        <w:pStyle w:val="FirstParagraph"/>
      </w:pPr>
      <w:r>
        <w:t xml:space="preserve">Today, institutions run on many machines that each hold a slightly different version of the truth, stitched together with duct tape and hope; every mismatch is a support ticket, an incident, or a fine. This thesis is an argument, with proofs, that one truth plus cheap disposable summaries is not just cleaner — it can be</w:t>
      </w:r>
      <w:r>
        <w:t xml:space="preserve"> </w:t>
      </w:r>
      <w:r>
        <w:rPr>
          <w:iCs/>
          <w:i/>
        </w:rPr>
        <w:t xml:space="preserve">guaranteed</w:t>
      </w:r>
      <w:r>
        <w:t xml:space="preserve"> </w:t>
      </w:r>
      <w:r>
        <w:t xml:space="preserve">correct,</w:t>
      </w:r>
      <w:r>
        <w:t xml:space="preserve"> </w:t>
      </w:r>
      <w:r>
        <w:rPr>
          <w:iCs/>
          <w:i/>
        </w:rPr>
        <w:t xml:space="preserve">priced</w:t>
      </w:r>
      <w:r>
        <w:t xml:space="preserve"> </w:t>
      </w:r>
      <w:r>
        <w:t xml:space="preserve">honestly,</w:t>
      </w:r>
      <w:r>
        <w:t xml:space="preserve"> </w:t>
      </w:r>
      <w:r>
        <w:rPr>
          <w:iCs/>
          <w:i/>
        </w:rPr>
        <w:t xml:space="preserve">decided</w:t>
      </w:r>
      <w:r>
        <w:t xml:space="preserve"> </w:t>
      </w:r>
      <w:r>
        <w:t xml:space="preserve">automatically, and</w:t>
      </w:r>
      <w:r>
        <w:t xml:space="preserve"> </w:t>
      </w:r>
      <w:r>
        <w:rPr>
          <w:iCs/>
          <w:i/>
        </w:rPr>
        <w:t xml:space="preserve">written down</w:t>
      </w:r>
      <w:r>
        <w:t xml:space="preserve"> </w:t>
      </w:r>
      <w:r>
        <w:t xml:space="preserve">in a language that refuses the worst mistakes. The vault book never lies, the sticky notes can always be rebuilt, and now there is mathematics saying exactly when that bargain is a good one — and when it isn’t.</w:t>
      </w:r>
    </w:p>
    <w:bookmarkEnd w:id="242"/>
    <w:bookmarkEnd w:id="243"/>
    <w:bookmarkStart w:id="269" w:name="X9a6127e994810d5dc492fad4674038472f248bb"/>
    <w:p>
      <w:pPr>
        <w:pStyle w:val="Heading1"/>
      </w:pPr>
      <w:r>
        <w:t xml:space="preserve">Appendix B. The Niles Language: Complete Syntax Reference</w:t>
      </w:r>
    </w:p>
    <w:p>
      <w:pPr>
        <w:pStyle w:val="FirstParagraph"/>
      </w:pPr>
      <w:r>
        <w:t xml:space="preserve">Normative reference for Niles v0.1. The precedence rule of Section 6.22 governs every entry: Rust syntax first, SQL vocabulary second, novel forms last and never overloading inherited meaning.</w:t>
      </w:r>
    </w:p>
    <w:bookmarkStart w:id="244" w:name="b.1-design-principles"/>
    <w:p>
      <w:pPr>
        <w:pStyle w:val="Heading2"/>
      </w:pPr>
      <w:r>
        <w:t xml:space="preserve">B.1 Design Principles</w:t>
      </w:r>
    </w:p>
    <w:p>
      <w:pPr>
        <w:numPr>
          <w:ilvl w:val="0"/>
          <w:numId w:val="1024"/>
        </w:numPr>
        <w:pStyle w:val="Compact"/>
      </w:pPr>
      <w:r>
        <w:rPr>
          <w:bCs/>
          <w:b/>
        </w:rPr>
        <w:t xml:space="preserve">SQL-first, Rust-fallback, novel-last</w:t>
      </w:r>
      <w:r>
        <w:t xml:space="preserve">, applied per construct and auditable. Any construct SQL already expresses is written with SQL’s keywords and shape; everything SQL cannot say borrows Rust’s spelling; novel syntax is introduced only for what neither can express. The rule carries one exception: a SQL spelling is not reused where it would sacrifice determinism or efficiency the engine depends on — unbounded recursive CTEs are admitted only behind a guard, and</w:t>
      </w:r>
      <w:r>
        <w:t xml:space="preserve"> </w:t>
      </w:r>
      <w:r>
        <w:rPr>
          <w:rStyle w:val="VerbatimChar"/>
        </w:rPr>
        <w:t xml:space="preserve">float</w:t>
      </w:r>
      <w:r>
        <w:t xml:space="preserve"> </w:t>
      </w:r>
      <w:r>
        <w:t xml:space="preserve">is not a legal money type. The rationale, and the reason this ordering was chosen over its inverse, is adjudicated in Appendix J.1.</w:t>
      </w:r>
    </w:p>
    <w:p>
      <w:pPr>
        <w:numPr>
          <w:ilvl w:val="0"/>
          <w:numId w:val="1024"/>
        </w:numPr>
        <w:pStyle w:val="Compact"/>
      </w:pPr>
      <w:r>
        <w:rPr>
          <w:bCs/>
          <w:b/>
        </w:rPr>
        <w:t xml:space="preserve">One IR.</w:t>
      </w:r>
      <w:r>
        <w:t xml:space="preserve"> </w:t>
      </w:r>
      <w:r>
        <w:t xml:space="preserve">All surfaces lower to the typed IR of Appendix D; surface constructs are notation, never semantics.</w:t>
      </w:r>
    </w:p>
    <w:p>
      <w:pPr>
        <w:numPr>
          <w:ilvl w:val="0"/>
          <w:numId w:val="1024"/>
        </w:numPr>
        <w:pStyle w:val="Compact"/>
      </w:pPr>
      <w:r>
        <w:rPr>
          <w:bCs/>
          <w:b/>
        </w:rPr>
        <w:t xml:space="preserve">Types carry the guarantees.</w:t>
      </w:r>
      <w:r>
        <w:t xml:space="preserve"> </w:t>
      </w:r>
      <w:r>
        <w:t xml:space="preserve">Money with its currency</w:t>
      </w:r>
      <w:r>
        <w:t xml:space="preserve"> </w:t>
      </w:r>
      <w:r>
        <w:rPr>
          <w:iCs/>
          <w:i/>
        </w:rPr>
        <w:t xml:space="preserve">and scale</w:t>
      </w:r>
      <w:r>
        <w:t xml:space="preserve">, both time axes, consistency, materialization, lineage, retention and confidentiality live in the type system.</w:t>
      </w:r>
    </w:p>
    <w:p>
      <w:pPr>
        <w:numPr>
          <w:ilvl w:val="0"/>
          <w:numId w:val="1024"/>
        </w:numPr>
        <w:pStyle w:val="Compact"/>
      </w:pPr>
      <w:r>
        <w:rPr>
          <w:bCs/>
          <w:b/>
        </w:rPr>
        <w:t xml:space="preserve">Pipeline order.</w:t>
      </w:r>
      <w:r>
        <w:t xml:space="preserve"> </w:t>
      </w:r>
      <w:r>
        <w:t xml:space="preserve">Queries read top-to-bottom in dataflow order, never SQL’s inverted clause order.</w:t>
      </w:r>
    </w:p>
    <w:p>
      <w:pPr>
        <w:numPr>
          <w:ilvl w:val="0"/>
          <w:numId w:val="1024"/>
        </w:numPr>
        <w:pStyle w:val="Compact"/>
      </w:pPr>
      <w:r>
        <w:rPr>
          <w:bCs/>
          <w:b/>
        </w:rPr>
        <w:t xml:space="preserve">No silent coercions.</w:t>
      </w:r>
      <w:r>
        <w:t xml:space="preserve"> </w:t>
      </w:r>
      <w:r>
        <w:t xml:space="preserve">No implicit currency conversion, no implicit scale change, no implicit consistency downgrade, no implicit declassification.</w:t>
      </w:r>
    </w:p>
    <w:p>
      <w:pPr>
        <w:numPr>
          <w:ilvl w:val="0"/>
          <w:numId w:val="1024"/>
        </w:numPr>
        <w:pStyle w:val="Compact"/>
      </w:pPr>
      <w:r>
        <w:rPr>
          <w:bCs/>
          <w:b/>
        </w:rPr>
        <w:t xml:space="preserve">Every derived value carries its anchor.</w:t>
      </w:r>
      <w:r>
        <w:t xml:space="preserve"> </w:t>
      </w:r>
      <w:r>
        <w:t xml:space="preserve">Reads return</w:t>
      </w:r>
      <w:r>
        <w:t xml:space="preserve"> </w:t>
      </w:r>
      <w:r>
        <w:rPr>
          <w:rStyle w:val="VerbatimChar"/>
        </w:rPr>
        <w:t xml:space="preserve">Anchored&lt;T&gt;</w:t>
      </w:r>
      <w:r>
        <w:t xml:space="preserve">.</w:t>
      </w:r>
    </w:p>
    <w:p>
      <w:pPr>
        <w:numPr>
          <w:ilvl w:val="0"/>
          <w:numId w:val="1024"/>
        </w:numPr>
        <w:pStyle w:val="Compact"/>
      </w:pPr>
      <w:r>
        <w:rPr>
          <w:bCs/>
          <w:b/>
        </w:rPr>
        <w:t xml:space="preserve">Determinism in query context.</w:t>
      </w:r>
      <w:r>
        <w:t xml:space="preserve"> </w:t>
      </w:r>
      <w:r>
        <w:t xml:space="preserve">No ambient wall clock, no unguarded recursion, no nondeterministic iteration order.</w:t>
      </w:r>
    </w:p>
    <w:bookmarkEnd w:id="244"/>
    <w:bookmarkStart w:id="245" w:name="b.2-lexical-structure"/>
    <w:p>
      <w:pPr>
        <w:pStyle w:val="Heading2"/>
      </w:pPr>
      <w:r>
        <w:t xml:space="preserve">B.2 Lexical Structure</w:t>
      </w:r>
    </w:p>
    <w:p>
      <w:pPr>
        <w:pStyle w:val="FirstParagraph"/>
      </w:pPr>
      <w:r>
        <w:rPr>
          <w:bCs/>
          <w:b/>
        </w:rPr>
        <w:t xml:space="preserve">Character set.</w:t>
      </w:r>
      <w:r>
        <w:t xml:space="preserve"> </w:t>
      </w:r>
      <w:r>
        <w:t xml:space="preserve">UTF-8 source; identifiers use Unicode identifier classes as in Rust; keywords and operators are ASCII.</w:t>
      </w:r>
    </w:p>
    <w:p>
      <w:pPr>
        <w:pStyle w:val="BodyText"/>
      </w:pPr>
      <w:r>
        <w:rPr>
          <w:bCs/>
          <w:b/>
        </w:rPr>
        <w:t xml:space="preserve">Whitespace and comments.</w:t>
      </w:r>
      <w:r>
        <w:t xml:space="preserve"> </w:t>
      </w:r>
      <w:r>
        <w:t xml:space="preserve">Whitespace separates tokens. Comments:</w:t>
      </w:r>
      <w:r>
        <w:t xml:space="preserve"> </w:t>
      </w:r>
      <w:r>
        <w:rPr>
          <w:rStyle w:val="VerbatimChar"/>
        </w:rPr>
        <w:t xml:space="preserve">// line</w:t>
      </w:r>
      <w:r>
        <w:t xml:space="preserve">,</w:t>
      </w:r>
      <w:r>
        <w:t xml:space="preserve"> </w:t>
      </w:r>
      <w:r>
        <w:rPr>
          <w:rStyle w:val="VerbatimChar"/>
        </w:rPr>
        <w:t xml:space="preserve">/* nested block */</w:t>
      </w:r>
      <w:r>
        <w:t xml:space="preserve">,</w:t>
      </w:r>
      <w:r>
        <w:t xml:space="preserve"> </w:t>
      </w:r>
      <w:r>
        <w:rPr>
          <w:rStyle w:val="VerbatimChar"/>
        </w:rPr>
        <w:t xml:space="preserve">/// doc</w:t>
      </w:r>
      <w:r>
        <w:t xml:space="preserve">,</w:t>
      </w:r>
      <w:r>
        <w:t xml:space="preserve"> </w:t>
      </w:r>
      <w:r>
        <w:rPr>
          <w:rStyle w:val="VerbatimChar"/>
        </w:rPr>
        <w:t xml:space="preserve">//! module doc</w:t>
      </w:r>
      <w:r>
        <w:t xml:space="preserve">. SQL’s</w:t>
      </w:r>
      <w:r>
        <w:t xml:space="preserve"> </w:t>
      </w:r>
      <w:r>
        <w:rPr>
          <w:rStyle w:val="VerbatimChar"/>
        </w:rPr>
        <w:t xml:space="preserve">--</w:t>
      </w:r>
      <w:r>
        <w:t xml:space="preserve"> </w:t>
      </w:r>
      <w:r>
        <w:t xml:space="preserve">is accepted</w:t>
      </w:r>
      <w:r>
        <w:t xml:space="preserve"> </w:t>
      </w:r>
      <w:r>
        <w:rPr>
          <w:iCs/>
          <w:i/>
        </w:rPr>
        <w:t xml:space="preserve">only</w:t>
      </w:r>
      <w:r>
        <w:t xml:space="preserve"> </w:t>
      </w:r>
      <w:r>
        <w:t xml:space="preserve">inside</w:t>
      </w:r>
      <w:r>
        <w:t xml:space="preserve"> </w:t>
      </w:r>
      <w:r>
        <w:rPr>
          <w:rStyle w:val="VerbatimChar"/>
        </w:rPr>
        <w:t xml:space="preserve">sql { … }</w:t>
      </w:r>
      <w:r>
        <w:t xml:space="preserve"> </w:t>
      </w:r>
      <w:r>
        <w:t xml:space="preserve">blocks.</w:t>
      </w:r>
    </w:p>
    <w:p>
      <w:pPr>
        <w:pStyle w:val="BodyText"/>
      </w:pPr>
      <w:r>
        <w:rPr>
          <w:bCs/>
          <w:b/>
        </w:rPr>
        <w:t xml:space="preserve">Identifiers.</w:t>
      </w:r>
      <w:r>
        <w:t xml:space="preserve"> </w:t>
      </w:r>
      <w:r>
        <w:t xml:space="preserve">Rust rules, with raw identifiers</w:t>
      </w:r>
      <w:r>
        <w:t xml:space="preserve"> </w:t>
      </w:r>
      <w:r>
        <w:rPr>
          <w:rStyle w:val="VerbatimChar"/>
        </w:rPr>
        <w:t xml:space="preserve">r#serve</w:t>
      </w:r>
      <w:r>
        <w:t xml:space="preserve"> </w:t>
      </w:r>
      <w:r>
        <w:t xml:space="preserve">permitting any reserved word as a name. Convention:</w:t>
      </w:r>
      <w:r>
        <w:t xml:space="preserve"> </w:t>
      </w:r>
      <w:r>
        <w:rPr>
          <w:rStyle w:val="VerbatimChar"/>
        </w:rPr>
        <w:t xml:space="preserve">snake_case</w:t>
      </w:r>
      <w:r>
        <w:t xml:space="preserve"> </w:t>
      </w:r>
      <w:r>
        <w:t xml:space="preserve">items,</w:t>
      </w:r>
      <w:r>
        <w:t xml:space="preserve"> </w:t>
      </w:r>
      <w:r>
        <w:rPr>
          <w:rStyle w:val="VerbatimChar"/>
        </w:rPr>
        <w:t xml:space="preserve">CamelCase</w:t>
      </w:r>
      <w:r>
        <w:t xml:space="preserve"> </w:t>
      </w:r>
      <w:r>
        <w:t xml:space="preserve">types,</w:t>
      </w:r>
      <w:r>
        <w:t xml:space="preserve"> </w:t>
      </w:r>
      <w:r>
        <w:rPr>
          <w:rStyle w:val="VerbatimChar"/>
        </w:rPr>
        <w:t xml:space="preserve">SCREAMING_SNAKE</w:t>
      </w:r>
      <w:r>
        <w:t xml:space="preserve"> </w:t>
      </w:r>
      <w:r>
        <w:t xml:space="preserve">constants.</w:t>
      </w:r>
    </w:p>
    <w:p>
      <w:pPr>
        <w:pStyle w:val="BodyText"/>
      </w:pPr>
      <w:r>
        <w:rPr>
          <w:bCs/>
          <w:b/>
        </w:rPr>
        <w:t xml:space="preserve">Literals.</w:t>
      </w:r>
    </w:p>
    <w:p>
      <w:pPr>
        <w:numPr>
          <w:ilvl w:val="0"/>
          <w:numId w:val="1025"/>
        </w:numPr>
        <w:pStyle w:val="Compact"/>
      </w:pPr>
      <w:r>
        <w:t xml:space="preserve">Integers:</w:t>
      </w:r>
      <w:r>
        <w:t xml:space="preserve"> </w:t>
      </w:r>
      <w:r>
        <w:rPr>
          <w:rStyle w:val="VerbatimChar"/>
        </w:rPr>
        <w:t xml:space="preserve">42</w:t>
      </w:r>
      <w:r>
        <w:t xml:space="preserve">,</w:t>
      </w:r>
      <w:r>
        <w:t xml:space="preserve"> </w:t>
      </w:r>
      <w:r>
        <w:rPr>
          <w:rStyle w:val="VerbatimChar"/>
        </w:rPr>
        <w:t xml:space="preserve">1_000_000</w:t>
      </w:r>
      <w:r>
        <w:t xml:space="preserve">,</w:t>
      </w:r>
      <w:r>
        <w:t xml:space="preserve"> </w:t>
      </w:r>
      <w:r>
        <w:rPr>
          <w:rStyle w:val="VerbatimChar"/>
        </w:rPr>
        <w:t xml:space="preserve">0xFF</w:t>
      </w:r>
      <w:r>
        <w:t xml:space="preserve">,</w:t>
      </w:r>
      <w:r>
        <w:t xml:space="preserve"> </w:t>
      </w:r>
      <w:r>
        <w:rPr>
          <w:rStyle w:val="VerbatimChar"/>
        </w:rPr>
        <w:t xml:space="preserve">0o77</w:t>
      </w:r>
      <w:r>
        <w:t xml:space="preserve">,</w:t>
      </w:r>
      <w:r>
        <w:t xml:space="preserve"> </w:t>
      </w:r>
      <w:r>
        <w:rPr>
          <w:rStyle w:val="VerbatimChar"/>
        </w:rPr>
        <w:t xml:space="preserve">0b1010</w:t>
      </w:r>
      <w:r>
        <w:t xml:space="preserve">, with suffixes</w:t>
      </w:r>
      <w:r>
        <w:t xml:space="preserve"> </w:t>
      </w:r>
      <w:r>
        <w:rPr>
          <w:rStyle w:val="VerbatimChar"/>
        </w:rPr>
        <w:t xml:space="preserve">42i64</w:t>
      </w:r>
      <w:r>
        <w:t xml:space="preserve">,</w:t>
      </w:r>
      <w:r>
        <w:t xml:space="preserve"> </w:t>
      </w:r>
      <w:r>
        <w:rPr>
          <w:rStyle w:val="VerbatimChar"/>
        </w:rPr>
        <w:t xml:space="preserve">7u32</w:t>
      </w:r>
      <w:r>
        <w:t xml:space="preserve">.</w:t>
      </w:r>
    </w:p>
    <w:p>
      <w:pPr>
        <w:numPr>
          <w:ilvl w:val="0"/>
          <w:numId w:val="1025"/>
        </w:numPr>
        <w:pStyle w:val="Compact"/>
      </w:pPr>
      <w:r>
        <w:t xml:space="preserve">Floats:</w:t>
      </w:r>
      <w:r>
        <w:t xml:space="preserve"> </w:t>
      </w:r>
      <w:r>
        <w:rPr>
          <w:rStyle w:val="VerbatimChar"/>
        </w:rPr>
        <w:t xml:space="preserve">3.14</w:t>
      </w:r>
      <w:r>
        <w:t xml:space="preserve">,</w:t>
      </w:r>
      <w:r>
        <w:t xml:space="preserve"> </w:t>
      </w:r>
      <w:r>
        <w:rPr>
          <w:rStyle w:val="VerbatimChar"/>
        </w:rPr>
        <w:t xml:space="preserve">6.02e23</w:t>
      </w:r>
      <w:r>
        <w:t xml:space="preserve"> </w:t>
      </w:r>
      <w:r>
        <w:t xml:space="preserve">—</w:t>
      </w:r>
      <w:r>
        <w:t xml:space="preserve"> </w:t>
      </w:r>
      <w:r>
        <w:rPr>
          <w:iCs/>
          <w:i/>
        </w:rPr>
        <w:t xml:space="preserve">banned in</w:t>
      </w:r>
      <w:r>
        <w:rPr>
          <w:iCs/>
          <w:i/>
        </w:rPr>
        <w:t xml:space="preserve"> </w:t>
      </w:r>
      <w:r>
        <w:rPr>
          <w:rStyle w:val="VerbatimChar"/>
          <w:iCs/>
          <w:i/>
        </w:rPr>
        <w:t xml:space="preserve">Money</w:t>
      </w:r>
      <w:r>
        <w:rPr>
          <w:iCs/>
          <w:i/>
        </w:rPr>
        <w:t xml:space="preserve"> </w:t>
      </w:r>
      <w:r>
        <w:rPr>
          <w:iCs/>
          <w:i/>
        </w:rPr>
        <w:t xml:space="preserve">positions by type</w:t>
      </w:r>
      <w:r>
        <w:t xml:space="preserve">, never merely by convention.</w:t>
      </w:r>
    </w:p>
    <w:p>
      <w:pPr>
        <w:numPr>
          <w:ilvl w:val="0"/>
          <w:numId w:val="1025"/>
        </w:numPr>
        <w:pStyle w:val="Compact"/>
      </w:pPr>
      <w:r>
        <w:t xml:space="preserve">Strings:</w:t>
      </w:r>
      <w:r>
        <w:t xml:space="preserve"> </w:t>
      </w:r>
      <w:r>
        <w:rPr>
          <w:rStyle w:val="VerbatimChar"/>
        </w:rPr>
        <w:t xml:space="preserve">"…"</w:t>
      </w:r>
      <w:r>
        <w:t xml:space="preserve"> </w:t>
      </w:r>
      <w:r>
        <w:t xml:space="preserve">with Rust escapes; raw</w:t>
      </w:r>
      <w:r>
        <w:t xml:space="preserve"> </w:t>
      </w:r>
      <w:r>
        <w:rPr>
          <w:rStyle w:val="VerbatimChar"/>
        </w:rPr>
        <w:t xml:space="preserve">r"…"</w:t>
      </w:r>
      <w:r>
        <w:t xml:space="preserve">,</w:t>
      </w:r>
      <w:r>
        <w:t xml:space="preserve"> </w:t>
      </w:r>
      <w:r>
        <w:rPr>
          <w:rStyle w:val="VerbatimChar"/>
        </w:rPr>
        <w:t xml:space="preserve">r#"…"#</w:t>
      </w:r>
      <w:r>
        <w:t xml:space="preserve">; byte strings</w:t>
      </w:r>
      <w:r>
        <w:t xml:space="preserve"> </w:t>
      </w:r>
      <w:r>
        <w:rPr>
          <w:rStyle w:val="VerbatimChar"/>
        </w:rPr>
        <w:t xml:space="preserve">b"…"</w:t>
      </w:r>
      <w:r>
        <w:t xml:space="preserve">.</w:t>
      </w:r>
    </w:p>
    <w:p>
      <w:pPr>
        <w:numPr>
          <w:ilvl w:val="0"/>
          <w:numId w:val="1025"/>
        </w:numPr>
        <w:pStyle w:val="Compact"/>
      </w:pPr>
      <w:r>
        <w:t xml:space="preserve">Booleans</w:t>
      </w:r>
      <w:r>
        <w:t xml:space="preserve"> </w:t>
      </w:r>
      <w:r>
        <w:rPr>
          <w:rStyle w:val="VerbatimChar"/>
        </w:rPr>
        <w:t xml:space="preserve">true</w:t>
      </w:r>
      <w:r>
        <w:t xml:space="preserve">/</w:t>
      </w:r>
      <w:r>
        <w:rPr>
          <w:rStyle w:val="VerbatimChar"/>
        </w:rPr>
        <w:t xml:space="preserve">false</w:t>
      </w:r>
      <w:r>
        <w:t xml:space="preserve">; unit</w:t>
      </w:r>
      <w:r>
        <w:t xml:space="preserve"> </w:t>
      </w:r>
      <w:r>
        <w:rPr>
          <w:rStyle w:val="VerbatimChar"/>
        </w:rPr>
        <w:t xml:space="preserve">()</w:t>
      </w:r>
      <w:r>
        <w:t xml:space="preserve">.</w:t>
      </w:r>
    </w:p>
    <w:p>
      <w:pPr>
        <w:numPr>
          <w:ilvl w:val="0"/>
          <w:numId w:val="1025"/>
        </w:numPr>
        <w:pStyle w:val="Compact"/>
      </w:pPr>
      <w:r>
        <w:rPr>
          <w:bCs/>
          <w:b/>
        </w:rPr>
        <w:t xml:space="preserve">Money literals (novel):</w:t>
      </w:r>
      <w:r>
        <w:t xml:space="preserve"> </w:t>
      </w:r>
      <w:r>
        <w:rPr>
          <w:rStyle w:val="VerbatimChar"/>
        </w:rPr>
        <w:t xml:space="preserve">125.00 usd</w:t>
      </w:r>
      <w:r>
        <w:t xml:space="preserve">,</w:t>
      </w:r>
      <w:r>
        <w:t xml:space="preserve"> </w:t>
      </w:r>
      <w:r>
        <w:rPr>
          <w:rStyle w:val="VerbatimChar"/>
        </w:rPr>
        <w:t xml:space="preserve">9_990.50 mxn</w:t>
      </w:r>
      <w:r>
        <w:t xml:space="preserve">,</w:t>
      </w:r>
      <w:r>
        <w:t xml:space="preserve"> </w:t>
      </w:r>
      <w:r>
        <w:rPr>
          <w:rStyle w:val="VerbatimChar"/>
        </w:rPr>
        <w:t xml:space="preserve">1_000 jpy</w:t>
      </w:r>
      <w:r>
        <w:t xml:space="preserve">,</w:t>
      </w:r>
      <w:r>
        <w:t xml:space="preserve"> </w:t>
      </w:r>
      <w:r>
        <w:rPr>
          <w:rStyle w:val="VerbatimChar"/>
        </w:rPr>
        <w:t xml:space="preserve">12.345 kwd</w:t>
      </w:r>
      <w:r>
        <w:t xml:space="preserve">. The suffix is a declared currency; the mantissa’s fractional digits must match that currency’s declared scale exactly —</w:t>
      </w:r>
      <w:r>
        <w:t xml:space="preserve"> </w:t>
      </w:r>
      <w:r>
        <w:rPr>
          <w:rStyle w:val="VerbatimChar"/>
        </w:rPr>
        <w:t xml:space="preserve">12.345 kwd</w:t>
      </w:r>
      <w:r>
        <w:t xml:space="preserve"> </w:t>
      </w:r>
      <w:r>
        <w:t xml:space="preserve">is well-formed (scale 3),</w:t>
      </w:r>
      <w:r>
        <w:t xml:space="preserve"> </w:t>
      </w:r>
      <w:r>
        <w:rPr>
          <w:rStyle w:val="VerbatimChar"/>
        </w:rPr>
        <w:t xml:space="preserve">1_000.00 jpy</w:t>
      </w:r>
      <w:r>
        <w:t xml:space="preserve"> </w:t>
      </w:r>
      <w:r>
        <w:t xml:space="preserve">is a compile error (scale 0), and</w:t>
      </w:r>
      <w:r>
        <w:t xml:space="preserve"> </w:t>
      </w:r>
      <w:r>
        <w:rPr>
          <w:rStyle w:val="VerbatimChar"/>
        </w:rPr>
        <w:t xml:space="preserve">2.5 usd</w:t>
      </w:r>
      <w:r>
        <w:t xml:space="preserve"> </w:t>
      </w:r>
      <w:r>
        <w:t xml:space="preserve">is a compile error (scale 2 requires two digits or none:</w:t>
      </w:r>
      <w:r>
        <w:t xml:space="preserve"> </w:t>
      </w:r>
      <w:r>
        <w:rPr>
          <w:rStyle w:val="VerbatimChar"/>
        </w:rPr>
        <w:t xml:space="preserve">2.50 usd</w:t>
      </w:r>
      <w:r>
        <w:t xml:space="preserve">). This strictness exists because currency scales genuinely range 0–3 and some codes have no minor unit at all.</w:t>
      </w:r>
    </w:p>
    <w:p>
      <w:pPr>
        <w:numPr>
          <w:ilvl w:val="0"/>
          <w:numId w:val="1025"/>
        </w:numPr>
        <w:pStyle w:val="Compact"/>
      </w:pPr>
      <w:r>
        <w:rPr>
          <w:bCs/>
          <w:b/>
        </w:rPr>
        <w:t xml:space="preserve">Temporal literals (novel):</w:t>
      </w:r>
      <w:r>
        <w:t xml:space="preserve"> </w:t>
      </w:r>
      <w:r>
        <w:t xml:space="preserve">instants</w:t>
      </w:r>
      <w:r>
        <w:t xml:space="preserve"> </w:t>
      </w:r>
      <w:r>
        <w:rPr>
          <w:rStyle w:val="VerbatimChar"/>
        </w:rPr>
        <w:t xml:space="preserve">@2026-08-25T12:00:00Z</w:t>
      </w:r>
      <w:r>
        <w:t xml:space="preserve">; dates</w:t>
      </w:r>
      <w:r>
        <w:t xml:space="preserve"> </w:t>
      </w:r>
      <w:r>
        <w:rPr>
          <w:rStyle w:val="VerbatimChar"/>
        </w:rPr>
        <w:t xml:space="preserve">@2026-08-25</w:t>
      </w:r>
      <w:r>
        <w:t xml:space="preserve">;</w:t>
      </w:r>
      <w:r>
        <w:t xml:space="preserve"> </w:t>
      </w:r>
      <w:r>
        <w:rPr>
          <w:bCs/>
          <w:b/>
        </w:rPr>
        <w:t xml:space="preserve">value dates</w:t>
      </w:r>
      <w:r>
        <w:t xml:space="preserve"> </w:t>
      </w:r>
      <w:r>
        <w:rPr>
          <w:rStyle w:val="VerbatimChar"/>
        </w:rPr>
        <w:t xml:space="preserve">v@2026-08-25</w:t>
      </w:r>
      <w:r>
        <w:t xml:space="preserve">; epochs</w:t>
      </w:r>
      <w:r>
        <w:t xml:space="preserve"> </w:t>
      </w:r>
      <w:r>
        <w:rPr>
          <w:rStyle w:val="VerbatimChar"/>
        </w:rPr>
        <w:t xml:space="preserve">#41209</w:t>
      </w:r>
      <w:r>
        <w:t xml:space="preserve">; durations</w:t>
      </w:r>
      <w:r>
        <w:t xml:space="preserve"> </w:t>
      </w:r>
      <w:r>
        <w:rPr>
          <w:rStyle w:val="VerbatimChar"/>
        </w:rPr>
        <w:t xml:space="preserve">3.epochs</w:t>
      </w:r>
      <w:r>
        <w:t xml:space="preserve">,</w:t>
      </w:r>
      <w:r>
        <w:t xml:space="preserve"> </w:t>
      </w:r>
      <w:r>
        <w:rPr>
          <w:rStyle w:val="VerbatimChar"/>
        </w:rPr>
        <w:t xml:space="preserve">250.ms</w:t>
      </w:r>
      <w:r>
        <w:t xml:space="preserve">,</w:t>
      </w:r>
      <w:r>
        <w:t xml:space="preserve"> </w:t>
      </w:r>
      <w:r>
        <w:rPr>
          <w:rStyle w:val="VerbatimChar"/>
        </w:rPr>
        <w:t xml:space="preserve">2.days</w:t>
      </w:r>
      <w:r>
        <w:t xml:space="preserve">; valid-time intervals</w:t>
      </w:r>
      <w:r>
        <w:t xml:space="preserve"> </w:t>
      </w:r>
      <w:r>
        <w:rPr>
          <w:rStyle w:val="VerbatimChar"/>
        </w:rPr>
        <w:t xml:space="preserve">@2026-01-01 ..= @2026-12-31</w:t>
      </w:r>
      <w:r>
        <w:t xml:space="preserve">.</w:t>
      </w:r>
    </w:p>
    <w:p>
      <w:pPr>
        <w:numPr>
          <w:ilvl w:val="0"/>
          <w:numId w:val="1025"/>
        </w:numPr>
        <w:pStyle w:val="Compact"/>
      </w:pPr>
      <w:r>
        <w:rPr>
          <w:bCs/>
          <w:b/>
        </w:rPr>
        <w:t xml:space="preserve">Idempotency key (novel):</w:t>
      </w:r>
      <w:r>
        <w:t xml:space="preserve"> </w:t>
      </w:r>
      <w:r>
        <w:rPr>
          <w:rStyle w:val="VerbatimChar"/>
        </w:rPr>
        <w:t xml:space="preserve">idem"payment-7f3a"</w:t>
      </w:r>
      <w:r>
        <w:t xml:space="preserve">.</w:t>
      </w:r>
    </w:p>
    <w:p>
      <w:pPr>
        <w:pStyle w:val="FirstParagraph"/>
      </w:pPr>
      <w:r>
        <w:rPr>
          <w:bCs/>
          <w:b/>
        </w:rPr>
        <w:t xml:space="preserve">Operators and punctuation.</w:t>
      </w:r>
      <w:r>
        <w:t xml:space="preserve"> </w:t>
      </w:r>
      <w:r>
        <w:t xml:space="preserve">The Rust set, plus novel</w:t>
      </w:r>
      <w:r>
        <w:t xml:space="preserve"> </w:t>
      </w:r>
      <w:r>
        <w:rPr>
          <w:rStyle w:val="VerbatimChar"/>
        </w:rPr>
        <w:t xml:space="preserve">|&gt;</w:t>
      </w:r>
      <w:r>
        <w:t xml:space="preserve"> </w:t>
      </w:r>
      <w:r>
        <w:t xml:space="preserve">(explicit pipeline stage) and</w:t>
      </w:r>
      <w:r>
        <w:t xml:space="preserve"> </w:t>
      </w:r>
      <w:r>
        <w:rPr>
          <w:rStyle w:val="VerbatimChar"/>
        </w:rPr>
        <w:t xml:space="preserve">@</w:t>
      </w:r>
      <w:r>
        <w:t xml:space="preserve"> </w:t>
      </w:r>
      <w:r>
        <w:t xml:space="preserve">(temporal literal introducer and annotation sigil).</w:t>
      </w:r>
    </w:p>
    <w:bookmarkEnd w:id="245"/>
    <w:bookmarkStart w:id="249" w:name="b.3-keywords"/>
    <w:p>
      <w:pPr>
        <w:pStyle w:val="Heading2"/>
      </w:pPr>
      <w:r>
        <w:t xml:space="preserve">B.3 Keywords</w:t>
      </w:r>
    </w:p>
    <w:bookmarkStart w:id="246" w:name="b.3.1-sql-derived"/>
    <w:p>
      <w:pPr>
        <w:pStyle w:val="Heading3"/>
      </w:pPr>
      <w:r>
        <w:t xml:space="preserve">B.3.1 SQL-Derived</w:t>
      </w:r>
    </w:p>
    <w:p>
      <w:pPr>
        <w:pStyle w:val="FirstParagraph"/>
      </w:pPr>
      <w:r>
        <w:rPr>
          <w:rStyle w:val="VerbatimChar"/>
        </w:rPr>
        <w:t xml:space="preserve">select from where group having order limit offset join left right full outer inner on union except intersect distinct as create table view index insert into values update delete begin commit rollback grant revoke primary key foreign references check default null and or not in exists between like case when then else end</w:t>
      </w:r>
    </w:p>
    <w:p>
      <w:pPr>
        <w:pStyle w:val="BodyText"/>
      </w:pPr>
      <w:r>
        <w:t xml:space="preserve">SQL-derived words are legal only in their assigned positions;</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w:t>
      </w:r>
      <w:r>
        <w:t xml:space="preserve">are legal only against</w:t>
      </w:r>
      <w:r>
        <w:t xml:space="preserve"> </w:t>
      </w:r>
      <w:r>
        <w:rPr>
          <w:rStyle w:val="VerbatimChar"/>
        </w:rPr>
        <w:t xml:space="preserve">table</w:t>
      </w:r>
      <w:r>
        <w:t xml:space="preserve"> </w:t>
      </w:r>
      <w:r>
        <w:t xml:space="preserve">data, never against a</w:t>
      </w:r>
      <w:r>
        <w:t xml:space="preserve"> </w:t>
      </w:r>
      <w:r>
        <w:rPr>
          <w:rStyle w:val="VerbatimChar"/>
        </w:rPr>
        <w:t xml:space="preserve">ledger</w:t>
      </w:r>
      <w:r>
        <w:t xml:space="preserve">.</w:t>
      </w:r>
    </w:p>
    <w:bookmarkEnd w:id="246"/>
    <w:bookmarkStart w:id="247" w:name="b.3.2-rust-derived"/>
    <w:p>
      <w:pPr>
        <w:pStyle w:val="Heading3"/>
      </w:pPr>
      <w:r>
        <w:t xml:space="preserve">B.3.2 Rust-Derived</w:t>
      </w:r>
    </w:p>
    <w:p>
      <w:pPr>
        <w:pStyle w:val="FirstParagraph"/>
      </w:pPr>
      <w:r>
        <w:rPr>
          <w:rStyle w:val="VerbatimChar"/>
        </w:rPr>
        <w:t xml:space="preserve">fn let mut const static struct enum trait impl for while loop if else match return break continue mod use pub crate self Self super type where move ref in as dyn</w:t>
      </w:r>
    </w:p>
    <w:p>
      <w:pPr>
        <w:pStyle w:val="BodyText"/>
      </w:pPr>
      <w:r>
        <w:rPr>
          <w:rStyle w:val="VerbatimChar"/>
        </w:rPr>
        <w:t xml:space="preserve">unsafe</w:t>
      </w:r>
      <w:r>
        <w:t xml:space="preserve">,</w:t>
      </w:r>
      <w:r>
        <w:t xml:space="preserve"> </w:t>
      </w:r>
      <w:r>
        <w:rPr>
          <w:rStyle w:val="VerbatimChar"/>
        </w:rPr>
        <w:t xml:space="preserve">async</w:t>
      </w:r>
      <w:r>
        <w:t xml:space="preserve"> </w:t>
      </w:r>
      <w:r>
        <w:t xml:space="preserve">and</w:t>
      </w:r>
      <w:r>
        <w:t xml:space="preserve"> </w:t>
      </w:r>
      <w:r>
        <w:rPr>
          <w:rStyle w:val="VerbatimChar"/>
        </w:rPr>
        <w:t xml:space="preserve">await</w:t>
      </w:r>
      <w:r>
        <w:t xml:space="preserve"> </w:t>
      </w:r>
      <w:r>
        <w:t xml:space="preserve">are reserved and rejected in v0.1.</w:t>
      </w:r>
      <w:r>
        <w:t xml:space="preserve"> </w:t>
      </w:r>
      <w:r>
        <w:rPr>
          <w:rStyle w:val="VerbatimChar"/>
        </w:rPr>
        <w:t xml:space="preserve">where</w:t>
      </w:r>
      <w:r>
        <w:t xml:space="preserve"> </w:t>
      </w:r>
      <w:r>
        <w:t xml:space="preserve">serves both Rust’s bound clause and the pipeline filter stage; positions are disjoint and the grammar disambiguates.</w:t>
      </w:r>
    </w:p>
    <w:bookmarkEnd w:id="247"/>
    <w:bookmarkStart w:id="248" w:name="b.3.3-novel-niles-keywords"/>
    <w:p>
      <w:pPr>
        <w:pStyle w:val="Heading3"/>
      </w:pPr>
      <w:r>
        <w:t xml:space="preserve">B.3.3 Novel Niles Keywords</w:t>
      </w:r>
    </w:p>
    <w:p>
      <w:pPr>
        <w:pStyle w:val="FirstParagraph"/>
      </w:pPr>
      <w:r>
        <w:rPr>
          <w:rStyle w:val="VerbatimChar"/>
        </w:rPr>
        <w:t xml:space="preserve">base ledger posting txn hold resolve void expire schema serve consistency bounded monotonic read_your_writes snapshot serializable ledger_consistent materialize absent demand full spilled tiered budget freshness retain evictable pinned forever anchor as_of epoch valid_at value_date recorded_at bitemporal authorize capability idem window conserve currency scale fx leg confidential e2ee committed declassify lineage emit signal backfill upto guard measure explain reproduce impact</w:t>
      </w:r>
    </w:p>
    <w:bookmarkEnd w:id="248"/>
    <w:bookmarkEnd w:id="249"/>
    <w:bookmarkStart w:id="250" w:name="b.4-type-system"/>
    <w:p>
      <w:pPr>
        <w:pStyle w:val="Heading2"/>
      </w:pPr>
      <w:r>
        <w:t xml:space="preserve">B.4 Type System</w:t>
      </w:r>
    </w:p>
    <w:p>
      <w:pPr>
        <w:pStyle w:val="FirstParagraph"/>
      </w:pPr>
      <w:r>
        <w:rPr>
          <w:bCs/>
          <w:b/>
        </w:rPr>
        <w:t xml:space="preserve">Primitives.</w:t>
      </w:r>
      <w:r>
        <w:t xml:space="preserve"> </w:t>
      </w:r>
      <w:r>
        <w:rPr>
          <w:rStyle w:val="VerbatimChar"/>
        </w:rPr>
        <w:t xml:space="preserve">bool, i8…i128, u8…u128, f32, f64, Text, Bytes, ()</w:t>
      </w:r>
      <w:r>
        <w:t xml:space="preserve">.</w:t>
      </w:r>
    </w:p>
    <w:p>
      <w:pPr>
        <w:pStyle w:val="BodyText"/>
      </w:pPr>
      <w:r>
        <w:rPr>
          <w:bCs/>
          <w:b/>
        </w:rPr>
        <w:t xml:space="preserve">Composites.</w:t>
      </w:r>
      <w:r>
        <w:t xml:space="preserve"> </w:t>
      </w:r>
      <w:r>
        <w:t xml:space="preserve">Tuples, arrays, slices,</w:t>
      </w:r>
      <w:r>
        <w:t xml:space="preserve"> </w:t>
      </w:r>
      <w:r>
        <w:rPr>
          <w:rStyle w:val="VerbatimChar"/>
        </w:rPr>
        <w:t xml:space="preserve">Vec&lt;T&gt;</w:t>
      </w:r>
      <w:r>
        <w:t xml:space="preserve">,</w:t>
      </w:r>
      <w:r>
        <w:t xml:space="preserve"> </w:t>
      </w:r>
      <w:r>
        <w:rPr>
          <w:rStyle w:val="VerbatimChar"/>
        </w:rPr>
        <w:t xml:space="preserve">Option&lt;T&gt;</w:t>
      </w:r>
      <w:r>
        <w:t xml:space="preserve">,</w:t>
      </w:r>
      <w:r>
        <w:t xml:space="preserve"> </w:t>
      </w:r>
      <w:r>
        <w:rPr>
          <w:rStyle w:val="VerbatimChar"/>
        </w:rPr>
        <w:t xml:space="preserve">Result&lt;T,E&gt;</w:t>
      </w:r>
      <w:r>
        <w:t xml:space="preserve">, structs, enums, shared references, and a</w:t>
      </w:r>
      <w:r>
        <w:t xml:space="preserve"> </w:t>
      </w:r>
      <w:r>
        <w:rPr>
          <w:rStyle w:val="VerbatimChar"/>
        </w:rPr>
        <w:t xml:space="preserve">Json</w:t>
      </w:r>
      <w:r>
        <w:t xml:space="preserve"> </w:t>
      </w:r>
      <w:r>
        <w:t xml:space="preserve">type for semi-structured columns.</w:t>
      </w:r>
    </w:p>
    <w:p>
      <w:pPr>
        <w:pStyle w:val="BodyText"/>
      </w:pPr>
      <w:r>
        <w:rPr>
          <w:bCs/>
          <w:b/>
        </w:rPr>
        <w:t xml:space="preserve">Novel domain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Meaning</w:t>
            </w:r>
          </w:p>
        </w:tc>
      </w:tr>
      <w:tr>
        <w:tc>
          <w:tcPr/>
          <w:p>
            <w:pPr>
              <w:pStyle w:val="Compact"/>
              <w:jc w:val="left"/>
            </w:pPr>
            <w:r>
              <w:rPr>
                <w:rStyle w:val="VerbatimChar"/>
              </w:rPr>
              <w:t xml:space="preserve">Money&lt;CUR&gt;</w:t>
            </w:r>
          </w:p>
        </w:tc>
        <w:tc>
          <w:tcPr/>
          <w:p>
            <w:pPr>
              <w:pStyle w:val="Compact"/>
              <w:jc w:val="left"/>
            </w:pPr>
            <w:r>
              <w:t xml:space="preserve">Exact integer minor units at</w:t>
            </w:r>
            <w:r>
              <w:t xml:space="preserve"> </w:t>
            </w:r>
            <w:r>
              <w:rPr>
                <w:rStyle w:val="VerbatimChar"/>
              </w:rPr>
              <w:t xml:space="preserve">CUR</w:t>
            </w:r>
            <w:r>
              <w:t xml:space="preserve">’s declared scale. Closed under</w:t>
            </w:r>
            <w:r>
              <w:t xml:space="preserve"> </w:t>
            </w:r>
            <w:r>
              <w:rPr>
                <w:rStyle w:val="VerbatimChar"/>
              </w:rPr>
              <w:t xml:space="preserve">+</w:t>
            </w:r>
            <w:r>
              <w:t xml:space="preserve">,</w:t>
            </w:r>
            <w:r>
              <w:t xml:space="preserve"> </w:t>
            </w:r>
            <w:r>
              <w:rPr>
                <w:rStyle w:val="VerbatimChar"/>
              </w:rPr>
              <w:t xml:space="preserve">−</w:t>
            </w:r>
            <w:r>
              <w:t xml:space="preserve">, integer scaling.</w:t>
            </w:r>
            <w:r>
              <w:t xml:space="preserve"> </w:t>
            </w:r>
            <w:r>
              <w:rPr>
                <w:bCs/>
                <w:b/>
              </w:rPr>
              <w:t xml:space="preserve">No</w:t>
            </w:r>
            <w:r>
              <w:t xml:space="preserve"> </w:t>
            </w:r>
            <w:r>
              <w:t xml:space="preserve">operation joins distinct currencies.</w:t>
            </w:r>
          </w:p>
        </w:tc>
      </w:tr>
      <w:tr>
        <w:tc>
          <w:tcPr/>
          <w:p>
            <w:pPr>
              <w:pStyle w:val="Compact"/>
              <w:jc w:val="left"/>
            </w:pPr>
            <w:r>
              <w:rPr>
                <w:rStyle w:val="VerbatimChar"/>
              </w:rPr>
              <w:t xml:space="preserve">Currency</w:t>
            </w:r>
          </w:p>
        </w:tc>
        <w:tc>
          <w:tcPr/>
          <w:p>
            <w:pPr>
              <w:pStyle w:val="Compact"/>
              <w:jc w:val="left"/>
            </w:pPr>
            <w:r>
              <w:t xml:space="preserve">Currency index kind; declared with its scale:</w:t>
            </w:r>
            <w:r>
              <w:t xml:space="preserve"> </w:t>
            </w:r>
            <w:r>
              <w:rPr>
                <w:rStyle w:val="VerbatimChar"/>
              </w:rPr>
              <w:t xml:space="preserve">currency kwd { scale: 3 }</w:t>
            </w:r>
            <w:r>
              <w:t xml:space="preserve">.</w:t>
            </w:r>
          </w:p>
        </w:tc>
      </w:tr>
      <w:tr>
        <w:tc>
          <w:tcPr/>
          <w:p>
            <w:pPr>
              <w:pStyle w:val="Compact"/>
              <w:jc w:val="left"/>
            </w:pPr>
            <w:r>
              <w:rPr>
                <w:rStyle w:val="VerbatimChar"/>
              </w:rPr>
              <w:t xml:space="preserve">Id&lt;T&gt;</w:t>
            </w:r>
          </w:p>
        </w:tc>
        <w:tc>
          <w:tcPr/>
          <w:p>
            <w:pPr>
              <w:pStyle w:val="Compact"/>
              <w:jc w:val="left"/>
            </w:pPr>
            <w:r>
              <w:t xml:space="preserve">Phantom-indexed identifier.</w:t>
            </w:r>
          </w:p>
        </w:tc>
      </w:tr>
      <w:tr>
        <w:tc>
          <w:tcPr/>
          <w:p>
            <w:pPr>
              <w:pStyle w:val="Compact"/>
              <w:jc w:val="left"/>
            </w:pPr>
            <w:r>
              <w:rPr>
                <w:rStyle w:val="VerbatimChar"/>
              </w:rPr>
              <w:t xml:space="preserve">Epoch</w:t>
            </w:r>
            <w:r>
              <w:t xml:space="preserve">,</w:t>
            </w:r>
            <w:r>
              <w:t xml:space="preserve"> </w:t>
            </w:r>
            <w:r>
              <w:rPr>
                <w:rStyle w:val="VerbatimChar"/>
              </w:rPr>
              <w:t xml:space="preserve">Instant</w:t>
            </w:r>
            <w:r>
              <w:t xml:space="preserve">,</w:t>
            </w:r>
            <w:r>
              <w:t xml:space="preserve"> </w:t>
            </w:r>
            <w:r>
              <w:rPr>
                <w:rStyle w:val="VerbatimChar"/>
              </w:rPr>
              <w:t xml:space="preserve">Date</w:t>
            </w:r>
            <w:r>
              <w:t xml:space="preserve">,</w:t>
            </w:r>
            <w:r>
              <w:t xml:space="preserve"> </w:t>
            </w:r>
            <w:r>
              <w:rPr>
                <w:rStyle w:val="VerbatimChar"/>
              </w:rPr>
              <w:t xml:space="preserve">Duration</w:t>
            </w:r>
            <w:r>
              <w:t xml:space="preserve">,</w:t>
            </w:r>
            <w:r>
              <w:t xml:space="preserve"> </w:t>
            </w:r>
            <w:r>
              <w:rPr>
                <w:rStyle w:val="VerbatimChar"/>
              </w:rPr>
              <w:t xml:space="preserve">Interval&lt;Valid&gt;</w:t>
            </w:r>
          </w:p>
        </w:tc>
        <w:tc>
          <w:tcPr/>
          <w:p>
            <w:pPr>
              <w:pStyle w:val="Compact"/>
              <w:jc w:val="left"/>
            </w:pPr>
            <w:r>
              <w:t xml:space="preserve">Temporal kinds.</w:t>
            </w:r>
          </w:p>
        </w:tc>
      </w:tr>
      <w:tr>
        <w:tc>
          <w:tcPr/>
          <w:p>
            <w:pPr>
              <w:pStyle w:val="Compact"/>
              <w:jc w:val="left"/>
            </w:pPr>
            <w:r>
              <w:rPr>
                <w:rStyle w:val="VerbatimChar"/>
              </w:rPr>
              <w:t xml:space="preserve">Signal&lt;T&gt;</w:t>
            </w:r>
          </w:p>
        </w:tc>
        <w:tc>
          <w:tcPr/>
          <w:p>
            <w:pPr>
              <w:pStyle w:val="Compact"/>
              <w:jc w:val="left"/>
            </w:pPr>
            <w:r>
              <w:t xml:space="preserve">Epoch-indexed value (Section 6.8).</w:t>
            </w:r>
          </w:p>
        </w:tc>
      </w:tr>
      <w:tr>
        <w:tc>
          <w:tcPr/>
          <w:p>
            <w:pPr>
              <w:pStyle w:val="Compact"/>
              <w:jc w:val="left"/>
            </w:pPr>
            <w:r>
              <w:rPr>
                <w:rStyle w:val="VerbatimChar"/>
              </w:rPr>
              <w:t xml:space="preserve">Bitemporal&lt;T&gt;</w:t>
            </w:r>
          </w:p>
        </w:tc>
        <w:tc>
          <w:tcPr/>
          <w:p>
            <w:pPr>
              <w:pStyle w:val="Compact"/>
              <w:jc w:val="left"/>
            </w:pPr>
            <w:r>
              <w:t xml:space="preserve">Value with both axes;</w:t>
            </w:r>
            <w:r>
              <w:t xml:space="preserve"> </w:t>
            </w:r>
            <w:r>
              <w:rPr>
                <w:rStyle w:val="VerbatimChar"/>
              </w:rPr>
              <w:t xml:space="preserve">as_of(sys).valid_at(t)</w:t>
            </w:r>
            <w:r>
              <w:t xml:space="preserve"> </w:t>
            </w:r>
            <w:r>
              <w:t xml:space="preserve">projects.</w:t>
            </w:r>
          </w:p>
        </w:tc>
      </w:tr>
      <w:tr>
        <w:tc>
          <w:tcPr/>
          <w:p>
            <w:pPr>
              <w:pStyle w:val="Compact"/>
              <w:jc w:val="left"/>
            </w:pPr>
            <w:r>
              <w:rPr>
                <w:rStyle w:val="VerbatimChar"/>
              </w:rPr>
              <w:t xml:space="preserve">Posting</w:t>
            </w:r>
            <w:r>
              <w:t xml:space="preserve">,</w:t>
            </w:r>
            <w:r>
              <w:t xml:space="preserve"> </w:t>
            </w:r>
            <w:r>
              <w:rPr>
                <w:rStyle w:val="VerbatimChar"/>
              </w:rPr>
              <w:t xml:space="preserve">Debit&lt;CUR&gt;</w:t>
            </w:r>
            <w:r>
              <w:t xml:space="preserve">,</w:t>
            </w:r>
            <w:r>
              <w:t xml:space="preserve"> </w:t>
            </w:r>
            <w:r>
              <w:rPr>
                <w:rStyle w:val="VerbatimChar"/>
              </w:rPr>
              <w:t xml:space="preserve">Credit&lt;CUR&gt;</w:t>
            </w:r>
          </w:p>
        </w:tc>
        <w:tc>
          <w:tcPr/>
          <w:p>
            <w:pPr>
              <w:pStyle w:val="Compact"/>
              <w:jc w:val="left"/>
            </w:pPr>
            <w:r>
              <w:t xml:space="preserve">Linear halves consumed exactly once.</w:t>
            </w:r>
          </w:p>
        </w:tc>
      </w:tr>
      <w:tr>
        <w:tc>
          <w:tcPr/>
          <w:p>
            <w:pPr>
              <w:pStyle w:val="Compact"/>
              <w:jc w:val="left"/>
            </w:pPr>
            <w:r>
              <w:rPr>
                <w:rStyle w:val="VerbatimChar"/>
              </w:rPr>
              <w:t xml:space="preserve">Hold&lt;CUR&gt;</w:t>
            </w:r>
          </w:p>
        </w:tc>
        <w:tc>
          <w:tcPr/>
          <w:p>
            <w:pPr>
              <w:pStyle w:val="Compact"/>
              <w:jc w:val="left"/>
            </w:pPr>
            <w:r>
              <w:t xml:space="preserve">A reservation; resolvable exactly once by post/void/expire.</w:t>
            </w:r>
          </w:p>
        </w:tc>
      </w:tr>
      <w:tr>
        <w:tc>
          <w:tcPr/>
          <w:p>
            <w:pPr>
              <w:pStyle w:val="Compact"/>
              <w:jc w:val="left"/>
            </w:pPr>
            <w:r>
              <w:rPr>
                <w:rStyle w:val="VerbatimChar"/>
              </w:rPr>
              <w:t xml:space="preserve">Auth&lt;E&gt;</w:t>
            </w:r>
          </w:p>
        </w:tc>
        <w:tc>
          <w:tcPr/>
          <w:p>
            <w:pPr>
              <w:pStyle w:val="Compact"/>
              <w:jc w:val="left"/>
            </w:pPr>
            <w:r>
              <w:t xml:space="preserve">Unforgeable capability for effect</w:t>
            </w:r>
            <w:r>
              <w:t xml:space="preserve"> </w:t>
            </w:r>
            <w:r>
              <w:rPr>
                <w:rStyle w:val="VerbatimChar"/>
              </w:rPr>
              <w:t xml:space="preserve">E</w:t>
            </w:r>
            <w:r>
              <w:t xml:space="preserve">.</w:t>
            </w:r>
          </w:p>
        </w:tc>
      </w:tr>
      <w:tr>
        <w:tc>
          <w:tcPr/>
          <w:p>
            <w:pPr>
              <w:pStyle w:val="Compact"/>
              <w:jc w:val="left"/>
            </w:pPr>
            <w:r>
              <w:rPr>
                <w:rStyle w:val="VerbatimChar"/>
              </w:rPr>
              <w:t xml:space="preserve">Anchored&lt;T&gt;</w:t>
            </w:r>
          </w:p>
        </w:tc>
        <w:tc>
          <w:tcPr/>
          <w:p>
            <w:pPr>
              <w:pStyle w:val="Compact"/>
              <w:jc w:val="left"/>
            </w:pPr>
            <w:r>
              <w:t xml:space="preserve">A value with its epoch. The return type of every view read.</w:t>
            </w:r>
          </w:p>
        </w:tc>
      </w:tr>
      <w:tr>
        <w:tc>
          <w:tcPr/>
          <w:p>
            <w:pPr>
              <w:pStyle w:val="Compact"/>
              <w:jc w:val="left"/>
            </w:pPr>
            <w:r>
              <w:rPr>
                <w:rStyle w:val="VerbatimChar"/>
              </w:rPr>
              <w:t xml:space="preserve">IdemKey</w:t>
            </w:r>
          </w:p>
        </w:tc>
        <w:tc>
          <w:tcPr/>
          <w:p>
            <w:pPr>
              <w:pStyle w:val="Compact"/>
              <w:jc w:val="left"/>
            </w:pPr>
            <w:r>
              <w:t xml:space="preserve">Idempotency key with a declared window.</w:t>
            </w:r>
          </w:p>
        </w:tc>
      </w:tr>
      <w:tr>
        <w:tc>
          <w:tcPr/>
          <w:p>
            <w:pPr>
              <w:pStyle w:val="Compact"/>
              <w:jc w:val="left"/>
            </w:pPr>
            <w:r>
              <w:rPr>
                <w:rStyle w:val="VerbatimChar"/>
              </w:rPr>
              <w:t xml:space="preserve">Lineage&lt;T&gt;</w:t>
            </w:r>
          </w:p>
        </w:tc>
        <w:tc>
          <w:tcPr/>
          <w:p>
            <w:pPr>
              <w:pStyle w:val="Compact"/>
              <w:jc w:val="left"/>
            </w:pPr>
            <w:r>
              <w:t xml:space="preserve">Provenance annotation at the view’s declared mode.</w:t>
            </w:r>
          </w:p>
        </w:tc>
      </w:tr>
    </w:tbl>
    <w:p>
      <w:pPr>
        <w:pStyle w:val="BodyText"/>
      </w:pPr>
      <w:r>
        <w:rPr>
          <w:bCs/>
          <w:b/>
        </w:rPr>
        <w:t xml:space="preserve">Effect rows</w:t>
      </w:r>
      <w:r>
        <w:t xml:space="preserve"> </w:t>
      </w:r>
      <w:r>
        <w:t xml:space="preserve">appear on function types:</w:t>
      </w:r>
      <w:r>
        <w:t xml:space="preserve"> </w:t>
      </w:r>
      <w:r>
        <w:rPr>
          <w:rStyle w:val="VerbatimChar"/>
        </w:rPr>
        <w:t xml:space="preserve">fn(..) -&gt; T ! {read@snapshot, append, debit&lt;usd&gt;}</w:t>
      </w:r>
      <w:r>
        <w:t xml:space="preserve">.</w:t>
      </w:r>
    </w:p>
    <w:p>
      <w:pPr>
        <w:pStyle w:val="BodyText"/>
      </w:pPr>
      <w:r>
        <w:t xml:space="preserve">Generics, traits and</w:t>
      </w:r>
      <w:r>
        <w:t xml:space="preserve"> </w:t>
      </w:r>
      <w:r>
        <w:rPr>
          <w:rStyle w:val="VerbatimChar"/>
        </w:rPr>
        <w:t xml:space="preserve">impl</w:t>
      </w:r>
      <w:r>
        <w:t xml:space="preserve"> </w:t>
      </w:r>
      <w:r>
        <w:t xml:space="preserve">follow Rust. Linearity is enforced for</w:t>
      </w:r>
      <w:r>
        <w:t xml:space="preserve"> </w:t>
      </w:r>
      <w:r>
        <w:rPr>
          <w:rStyle w:val="VerbatimChar"/>
        </w:rPr>
        <w:t xml:space="preserve">Debit</w:t>
      </w:r>
      <w:r>
        <w:t xml:space="preserve">,</w:t>
      </w:r>
      <w:r>
        <w:t xml:space="preserve"> </w:t>
      </w:r>
      <w:r>
        <w:rPr>
          <w:rStyle w:val="VerbatimChar"/>
        </w:rPr>
        <w:t xml:space="preserve">Credit</w:t>
      </w:r>
      <w:r>
        <w:t xml:space="preserve"> </w:t>
      </w:r>
      <w:r>
        <w:t xml:space="preserve">and</w:t>
      </w:r>
      <w:r>
        <w:t xml:space="preserve"> </w:t>
      </w:r>
      <w:r>
        <w:rPr>
          <w:rStyle w:val="VerbatimChar"/>
        </w:rPr>
        <w:t xml:space="preserve">Hold</w:t>
      </w:r>
      <w:r>
        <w:t xml:space="preserve"> </w:t>
      </w:r>
      <w:r>
        <w:t xml:space="preserve">by move semantics plus a no-implicit-drop rule.</w:t>
      </w:r>
    </w:p>
    <w:bookmarkEnd w:id="250"/>
    <w:bookmarkStart w:id="251" w:name="Xe49ec52dee8c53135f02ed0ad20e5458a7fa4cb"/>
    <w:p>
      <w:pPr>
        <w:pStyle w:val="Heading2"/>
      </w:pPr>
      <w:r>
        <w:t xml:space="preserve">B.5 Data Definition (SQL Reused, Novel Clauses Added)</w:t>
      </w:r>
    </w:p>
    <w:p>
      <w:pPr>
        <w:pStyle w:val="SourceCode"/>
      </w:pPr>
      <w:r>
        <w:rPr>
          <w:rStyle w:val="VerbatimChar"/>
        </w:rPr>
        <w:t xml:space="preserve">schema bank {</w:t>
      </w:r>
      <w:r>
        <w:br/>
      </w:r>
      <w:r>
        <w:rPr>
          <w:rStyle w:val="VerbatimChar"/>
        </w:rPr>
        <w:t xml:space="preserve">    currency usd { scale: 2 }</w:t>
      </w:r>
      <w:r>
        <w:br/>
      </w:r>
      <w:r>
        <w:rPr>
          <w:rStyle w:val="VerbatimChar"/>
        </w:rPr>
        <w:t xml:space="preserve">    currency jpy { scale: 0 }</w:t>
      </w:r>
      <w:r>
        <w:br/>
      </w:r>
      <w:r>
        <w:rPr>
          <w:rStyle w:val="VerbatimChar"/>
        </w:rPr>
        <w:t xml:space="preserve">    currency kwd { scale: 3 }</w:t>
      </w:r>
      <w:r>
        <w:br/>
      </w:r>
      <w:r>
        <w:br/>
      </w:r>
      <w:r>
        <w:rPr>
          <w:rStyle w:val="VerbatimChar"/>
        </w:rPr>
        <w:t xml:space="preserve">    table customers {</w:t>
      </w:r>
      <w:r>
        <w:br/>
      </w:r>
      <w:r>
        <w:rPr>
          <w:rStyle w:val="VerbatimChar"/>
        </w:rPr>
        <w:t xml:space="preserve">        id: Id&lt;Customer&gt; primary key,</w:t>
      </w:r>
      <w:r>
        <w:br/>
      </w:r>
      <w:r>
        <w:rPr>
          <w:rStyle w:val="VerbatimChar"/>
        </w:rPr>
        <w:t xml:space="preserve">        name: Text @confidential(e2ee),</w:t>
      </w:r>
      <w:r>
        <w:br/>
      </w:r>
      <w:r>
        <w:rPr>
          <w:rStyle w:val="VerbatimChar"/>
        </w:rPr>
        <w:t xml:space="preserve">        opened: Date,</w:t>
      </w:r>
      <w:r>
        <w:br/>
      </w:r>
      <w:r>
        <w:rPr>
          <w:rStyle w:val="VerbatimChar"/>
        </w:rPr>
        <w:t xml:space="preserve">        profile: Json,</w:t>
      </w:r>
      <w:r>
        <w:br/>
      </w:r>
      <w:r>
        <w:rPr>
          <w:rStyle w:val="VerbatimChar"/>
        </w:rPr>
        <w:t xml:space="preserve">        check (opened &gt;= @2000-01-01),</w:t>
      </w:r>
      <w:r>
        <w:br/>
      </w:r>
      <w:r>
        <w:rPr>
          <w:rStyle w:val="VerbatimChar"/>
        </w:rPr>
        <w:t xml:space="preserve">    }</w:t>
      </w:r>
      <w:r>
        <w:br/>
      </w:r>
      <w:r>
        <w:br/>
      </w:r>
      <w:r>
        <w:rPr>
          <w:rStyle w:val="VerbatimChar"/>
        </w:rPr>
        <w:t xml:space="preserve">    ledger postings {</w:t>
      </w:r>
      <w:r>
        <w:br/>
      </w:r>
      <w:r>
        <w:rPr>
          <w:rStyle w:val="VerbatimChar"/>
        </w:rPr>
        <w:t xml:space="preserve">        txn: TxnId,</w:t>
      </w:r>
      <w:r>
        <w:br/>
      </w:r>
      <w:r>
        <w:rPr>
          <w:rStyle w:val="VerbatimChar"/>
        </w:rPr>
        <w:t xml:space="preserve">        acct: Id&lt;Account&gt; references accounts.id,</w:t>
      </w:r>
      <w:r>
        <w:br/>
      </w:r>
      <w:r>
        <w:rPr>
          <w:rStyle w:val="VerbatimChar"/>
        </w:rPr>
        <w:t xml:space="preserve">        cur: Currency,</w:t>
      </w:r>
      <w:r>
        <w:br/>
      </w:r>
      <w:r>
        <w:rPr>
          <w:rStyle w:val="VerbatimChar"/>
        </w:rPr>
        <w:t xml:space="preserve">        amt: Money,</w:t>
      </w:r>
      <w:r>
        <w:br/>
      </w:r>
      <w:r>
        <w:rPr>
          <w:rStyle w:val="VerbatimChar"/>
        </w:rPr>
        <w:t xml:space="preserve">        value_date: Date,</w:t>
      </w:r>
      <w:r>
        <w:br/>
      </w:r>
      <w:r>
        <w:rPr>
          <w:rStyle w:val="VerbatimChar"/>
        </w:rPr>
        <w:t xml:space="preserve">        idem: IdemKey window 30.days,</w:t>
      </w:r>
      <w:r>
        <w:br/>
      </w:r>
      <w:r>
        <w:rPr>
          <w:rStyle w:val="VerbatimChar"/>
        </w:rPr>
        <w:t xml:space="preserve">        conserve per (txn, cur);      // the commit rule</w:t>
      </w:r>
      <w:r>
        <w:br/>
      </w:r>
      <w:r>
        <w:rPr>
          <w:rStyle w:val="VerbatimChar"/>
        </w:rPr>
        <w:t xml:space="preserve">        retain forever;               // mandatory on a ledger</w:t>
      </w:r>
      <w:r>
        <w:br/>
      </w:r>
      <w:r>
        <w:rPr>
          <w:rStyle w:val="VerbatimChar"/>
        </w:rPr>
        <w:t xml:space="preserve">        lineage full;                 // base-level provenance retention</w:t>
      </w:r>
      <w:r>
        <w:br/>
      </w:r>
      <w:r>
        <w:rPr>
          <w:rStyle w:val="VerbatimChar"/>
        </w:rPr>
        <w:t xml:space="preserve">    }</w:t>
      </w:r>
      <w:r>
        <w:br/>
      </w:r>
      <w:r>
        <w:br/>
      </w:r>
      <w:r>
        <w:rPr>
          <w:rStyle w:val="VerbatimChar"/>
        </w:rPr>
        <w:t xml:space="preserve">    index customers_by_name on customers(name);   // compile error: e2ee field</w:t>
      </w:r>
      <w:r>
        <w:br/>
      </w:r>
      <w:r>
        <w:rPr>
          <w:rStyle w:val="VerbatimChar"/>
        </w:rPr>
        <w:t xml:space="preserve">}</w:t>
      </w:r>
    </w:p>
    <w:p>
      <w:pPr>
        <w:pStyle w:val="FirstParagraph"/>
      </w:pPr>
      <w:r>
        <w:rPr>
          <w:rStyle w:val="VerbatimChar"/>
        </w:rPr>
        <w:t xml:space="preserve">base</w:t>
      </w:r>
      <w:r>
        <w:t xml:space="preserve"> </w:t>
      </w:r>
      <w:r>
        <w:t xml:space="preserve">is the general keyword;</w:t>
      </w:r>
      <w:r>
        <w:t xml:space="preserve"> </w:t>
      </w:r>
      <w:r>
        <w:rPr>
          <w:rStyle w:val="VerbatimChar"/>
        </w:rPr>
        <w:t xml:space="preserve">ledger</w:t>
      </w:r>
      <w:r>
        <w:t xml:space="preserve"> </w:t>
      </w:r>
      <w:r>
        <w:t xml:space="preserve">is</w:t>
      </w:r>
      <w:r>
        <w:t xml:space="preserve"> </w:t>
      </w:r>
      <w:r>
        <w:rPr>
          <w:rStyle w:val="VerbatimChar"/>
        </w:rPr>
        <w:t xml:space="preserve">base</w:t>
      </w:r>
      <w:r>
        <w:t xml:space="preserve"> </w:t>
      </w:r>
      <w:r>
        <w:t xml:space="preserve">with a</w:t>
      </w:r>
      <w:r>
        <w:t xml:space="preserve"> </w:t>
      </w:r>
      <w:r>
        <w:rPr>
          <w:rStyle w:val="VerbatimChar"/>
        </w:rPr>
        <w:t xml:space="preserve">conserve</w:t>
      </w:r>
      <w:r>
        <w:t xml:space="preserve"> </w:t>
      </w:r>
      <w:r>
        <w:t xml:space="preserve">rule and monetary/bitemporal column types. Both are append-only.</w:t>
      </w:r>
    </w:p>
    <w:bookmarkEnd w:id="251"/>
    <w:bookmarkStart w:id="252" w:name="b.6-data-manipulation-sql-reused"/>
    <w:p>
      <w:pPr>
        <w:pStyle w:val="Heading2"/>
      </w:pPr>
      <w:r>
        <w:t xml:space="preserve">B.6 Data Manipulation (SQL Reused)</w:t>
      </w:r>
    </w:p>
    <w:p>
      <w:pPr>
        <w:pStyle w:val="FirstParagraph"/>
      </w:pPr>
      <w:r>
        <w:rPr>
          <w:rStyle w:val="VerbatimChar"/>
        </w:rPr>
        <w:t xml:space="preserve">insert into t values (…)</w:t>
      </w:r>
      <w:r>
        <w:t xml:space="preserve">,</w:t>
      </w:r>
      <w:r>
        <w:t xml:space="preserve"> </w:t>
      </w:r>
      <w:r>
        <w:rPr>
          <w:rStyle w:val="VerbatimChar"/>
        </w:rPr>
        <w:t xml:space="preserve">update t set … where …</w:t>
      </w:r>
      <w:r>
        <w:t xml:space="preserve">,</w:t>
      </w:r>
      <w:r>
        <w:t xml:space="preserve"> </w:t>
      </w:r>
      <w:r>
        <w:rPr>
          <w:rStyle w:val="VerbatimChar"/>
        </w:rPr>
        <w:t xml:space="preserve">delete from t where …</w:t>
      </w:r>
      <w:r>
        <w:t xml:space="preserve"> </w:t>
      </w:r>
      <w:r>
        <w:t xml:space="preserve">— legal on</w:t>
      </w:r>
      <w:r>
        <w:t xml:space="preserve"> </w:t>
      </w:r>
      <w:r>
        <w:rPr>
          <w:rStyle w:val="VerbatimChar"/>
        </w:rPr>
        <w:t xml:space="preserve">table</w:t>
      </w:r>
      <w:r>
        <w:t xml:space="preserve"> </w:t>
      </w:r>
      <w:r>
        <w:t xml:space="preserve">only. Writes to a</w:t>
      </w:r>
      <w:r>
        <w:t xml:space="preserve"> </w:t>
      </w:r>
      <w:r>
        <w:rPr>
          <w:rStyle w:val="VerbatimChar"/>
        </w:rPr>
        <w:t xml:space="preserve">base</w:t>
      </w:r>
      <w:r>
        <w:t xml:space="preserve">/</w:t>
      </w:r>
      <w:r>
        <w:rPr>
          <w:rStyle w:val="VerbatimChar"/>
        </w:rPr>
        <w:t xml:space="preserve">ledger</w:t>
      </w:r>
      <w:r>
        <w:t xml:space="preserve"> </w:t>
      </w:r>
      <w:r>
        <w:t xml:space="preserve">go through</w:t>
      </w:r>
      <w:r>
        <w:t xml:space="preserve"> </w:t>
      </w:r>
      <w:r>
        <w:rPr>
          <w:rStyle w:val="VerbatimChar"/>
        </w:rPr>
        <w:t xml:space="preserve">txn</w:t>
      </w:r>
      <w:r>
        <w:t xml:space="preserve"> </w:t>
      </w:r>
      <w:r>
        <w:t xml:space="preserve">blocks (B.10);</w:t>
      </w:r>
      <w:r>
        <w:t xml:space="preserve"> </w:t>
      </w:r>
      <w:r>
        <w:rPr>
          <w:rStyle w:val="VerbatimChar"/>
        </w:rPr>
        <w:t xml:space="preserve">insert into</w:t>
      </w:r>
      <w:r>
        <w:t xml:space="preserve"> </w:t>
      </w:r>
      <w:r>
        <w:t xml:space="preserve">a ledger is a compile error naming the requirement.</w:t>
      </w:r>
    </w:p>
    <w:bookmarkEnd w:id="252"/>
    <w:bookmarkStart w:id="253" w:name="X6ffe923ee1f7c5bbb3c3366e668c3614caac1ed"/>
    <w:p>
      <w:pPr>
        <w:pStyle w:val="Heading2"/>
      </w:pPr>
      <w:r>
        <w:t xml:space="preserve">B.7 Queries — SQL Vocabulary, Pipelined Order</w:t>
      </w:r>
    </w:p>
    <w:p>
      <w:pPr>
        <w:pStyle w:val="SourceCode"/>
      </w:pPr>
      <w:r>
        <w:rPr>
          <w:rStyle w:val="VerbatimChar"/>
        </w:rPr>
        <w:t xml:space="preserve">let exposure = postings</w:t>
      </w:r>
      <w:r>
        <w:br/>
      </w:r>
      <w:r>
        <w:rPr>
          <w:rStyle w:val="VerbatimChar"/>
        </w:rPr>
        <w:t xml:space="preserve">    .where(|p| p.cur == usd)</w:t>
      </w:r>
      <w:r>
        <w:br/>
      </w:r>
      <w:r>
        <w:rPr>
          <w:rStyle w:val="VerbatimChar"/>
        </w:rPr>
        <w:t xml:space="preserve">    .join(accounts, |p, a| p.acct == a.id)</w:t>
      </w:r>
      <w:r>
        <w:br/>
      </w:r>
      <w:r>
        <w:rPr>
          <w:rStyle w:val="VerbatimChar"/>
        </w:rPr>
        <w:t xml:space="preserve">    .group_by(|p, a| (a.desk, a.legal_entity, a.region, p.cur))</w:t>
      </w:r>
      <w:r>
        <w:br/>
      </w:r>
      <w:r>
        <w:rPr>
          <w:rStyle w:val="VerbatimChar"/>
        </w:rPr>
        <w:t xml:space="preserve">    .sum(|p, _| p.amt)</w:t>
      </w:r>
      <w:r>
        <w:br/>
      </w:r>
      <w:r>
        <w:rPr>
          <w:rStyle w:val="VerbatimChar"/>
        </w:rPr>
        <w:t xml:space="preserve">    .having(|(_, total)| total.abs() &gt; 1_000_000.00 usd)</w:t>
      </w:r>
      <w:r>
        <w:br/>
      </w:r>
      <w:r>
        <w:rPr>
          <w:rStyle w:val="VerbatimChar"/>
        </w:rPr>
        <w:t xml:space="preserve">    .order_by(|(k, total)| desc(total))</w:t>
      </w:r>
      <w:r>
        <w:br/>
      </w:r>
      <w:r>
        <w:rPr>
          <w:rStyle w:val="VerbatimChar"/>
        </w:rPr>
        <w:t xml:space="preserve">    .limit(100);</w:t>
      </w:r>
    </w:p>
    <w:p>
      <w:pPr>
        <w:pStyle w:val="FirstParagraph"/>
      </w:pPr>
      <w:r>
        <w:rPr>
          <w:bCs/>
          <w:b/>
        </w:rPr>
        <w:t xml:space="preserve">Stages.</w:t>
      </w:r>
      <w:r>
        <w:t xml:space="preserve"> </w:t>
      </w:r>
      <w:r>
        <w:rPr>
          <w:rStyle w:val="VerbatimChar"/>
        </w:rPr>
        <w:t xml:space="preserve">.where .join(other, on) .left_join .semi_join .anti_join .group_by .agg/.sum/.count/.avg/.min/.max/.top_k .having .map .order_by .limit .offset .distinct .union .except .intersect .window(w) .match_pattern(…)</w:t>
      </w:r>
      <w:r>
        <w:t xml:space="preserve">.</w:t>
      </w:r>
    </w:p>
    <w:p>
      <w:pPr>
        <w:pStyle w:val="BodyText"/>
      </w:pPr>
      <w:r>
        <w:rPr>
          <w:bCs/>
          <w:b/>
        </w:rPr>
        <w:t xml:space="preserve">Temporal stages.</w:t>
      </w:r>
      <w:r>
        <w:t xml:space="preserve"> </w:t>
      </w:r>
      <w:r>
        <w:rPr>
          <w:rStyle w:val="VerbatimChar"/>
        </w:rPr>
        <w:t xml:space="preserve">.as_of(#e)</w:t>
      </w:r>
      <w:r>
        <w:t xml:space="preserve">,</w:t>
      </w:r>
      <w:r>
        <w:t xml:space="preserve"> </w:t>
      </w:r>
      <w:r>
        <w:rPr>
          <w:rStyle w:val="VerbatimChar"/>
        </w:rPr>
        <w:t xml:space="preserve">.valid_at(t)</w:t>
      </w:r>
      <w:r>
        <w:t xml:space="preserve">,</w:t>
      </w:r>
      <w:r>
        <w:t xml:space="preserve"> </w:t>
      </w:r>
      <w:r>
        <w:rPr>
          <w:rStyle w:val="VerbatimChar"/>
        </w:rPr>
        <w:t xml:space="preserve">.value_date_between(a, b)</w:t>
      </w:r>
      <w:r>
        <w:t xml:space="preserve">,</w:t>
      </w:r>
      <w:r>
        <w:t xml:space="preserve"> </w:t>
      </w:r>
      <w:r>
        <w:rPr>
          <w:rStyle w:val="VerbatimChar"/>
        </w:rPr>
        <w:t xml:space="preserve">.recorded_at(e)</w:t>
      </w:r>
      <w:r>
        <w:t xml:space="preserve">,</w:t>
      </w:r>
      <w:r>
        <w:t xml:space="preserve"> </w:t>
      </w:r>
      <w:r>
        <w:rPr>
          <w:rStyle w:val="VerbatimChar"/>
        </w:rPr>
        <w:t xml:space="preserve">.bitemporal(sys, valid)</w:t>
      </w:r>
      <w:r>
        <w:t xml:space="preserve">.</w:t>
      </w:r>
    </w:p>
    <w:p>
      <w:pPr>
        <w:pStyle w:val="BodyText"/>
      </w:pPr>
      <w:r>
        <w:rPr>
          <w:bCs/>
          <w:b/>
        </w:rPr>
        <w:t xml:space="preserve">Recursive stages.</w:t>
      </w:r>
      <w:r>
        <w:t xml:space="preserve"> </w:t>
      </w:r>
      <w:r>
        <w:rPr>
          <w:rStyle w:val="VerbatimChar"/>
        </w:rPr>
        <w:t xml:space="preserve">.fixpoint(step) guard measure(m)</w:t>
      </w:r>
      <w:r>
        <w:t xml:space="preserve"> </w:t>
      </w:r>
      <w:r>
        <w:t xml:space="preserve">— the guarded least-fixpoint construct that gives Theorem 4.6(b) and serves graph traversal.</w:t>
      </w:r>
    </w:p>
    <w:p>
      <w:pPr>
        <w:pStyle w:val="BodyText"/>
      </w:pPr>
      <w:r>
        <w:t xml:space="preserve">The SQL surface accepts classical</w:t>
      </w:r>
      <w:r>
        <w:t xml:space="preserve"> </w:t>
      </w:r>
      <w:r>
        <w:rPr>
          <w:rStyle w:val="VerbatimChar"/>
        </w:rPr>
        <w:t xml:space="preserve">SELECT … FROM … WHERE …</w:t>
      </w:r>
      <w:r>
        <w:t xml:space="preserve"> </w:t>
      </w:r>
      <w:r>
        <w:t xml:space="preserve">for the fragment of Appendix H; both lower to α-equivalent circuits.</w:t>
      </w:r>
    </w:p>
    <w:bookmarkEnd w:id="253"/>
    <w:bookmarkStart w:id="254" w:name="b.8-views-and-the-serve-contract"/>
    <w:p>
      <w:pPr>
        <w:pStyle w:val="Heading2"/>
      </w:pPr>
      <w:r>
        <w:t xml:space="preserve">B.8 Views and the Serve Contract</w:t>
      </w:r>
    </w:p>
    <w:p>
      <w:pPr>
        <w:pStyle w:val="SourceCode"/>
      </w:pPr>
      <w:r>
        <w:rPr>
          <w:rStyle w:val="VerbatimChar"/>
        </w:rPr>
        <w:t xml:space="preserve">view available_balance = postings</w:t>
      </w:r>
      <w:r>
        <w:br/>
      </w:r>
      <w:r>
        <w:rPr>
          <w:rStyle w:val="VerbatimChar"/>
        </w:rPr>
        <w:t xml:space="preserve">    .group_by(|p| (p.acct, p.cur))</w:t>
      </w:r>
      <w:r>
        <w:br/>
      </w:r>
      <w:r>
        <w:rPr>
          <w:rStyle w:val="VerbatimChar"/>
        </w:rPr>
        <w:t xml:space="preserve">    .sum(|p| p.amt)</w:t>
      </w:r>
      <w:r>
        <w:br/>
      </w:r>
      <w:r>
        <w:rPr>
          <w:rStyle w:val="VerbatimChar"/>
        </w:rPr>
        <w:t xml:space="preserve">    .minus(holds.unresolved().group_by(|h| (h.acct, h.cur)).sum(|h| h.amount))</w:t>
      </w:r>
      <w:r>
        <w:br/>
      </w:r>
      <w:r>
        <w:rPr>
          <w:rStyle w:val="VerbatimChar"/>
        </w:rPr>
        <w:t xml:space="preserve">    serve {</w:t>
      </w:r>
      <w:r>
        <w:br/>
      </w:r>
      <w:r>
        <w:rPr>
          <w:rStyle w:val="VerbatimChar"/>
        </w:rPr>
        <w:t xml:space="preserve">        consistency:  ledger_consistent,       // l5 — the authorization path</w:t>
      </w:r>
      <w:r>
        <w:br/>
      </w:r>
      <w:r>
        <w:rPr>
          <w:rStyle w:val="VerbatimChar"/>
        </w:rPr>
        <w:t xml:space="preserve">        materialize:  demand,                  // optimizer may override upward</w:t>
      </w:r>
      <w:r>
        <w:br/>
      </w:r>
      <w:r>
        <w:rPr>
          <w:rStyle w:val="VerbatimChar"/>
        </w:rPr>
        <w:t xml:space="preserve">        budget:       share(0.10),</w:t>
      </w:r>
      <w:r>
        <w:br/>
      </w:r>
      <w:r>
        <w:rPr>
          <w:rStyle w:val="VerbatimChar"/>
        </w:rPr>
        <w:t xml:space="preserve">        freshness:    none,                    // implied by l5</w:t>
      </w:r>
      <w:r>
        <w:br/>
      </w:r>
      <w:r>
        <w:rPr>
          <w:rStyle w:val="VerbatimChar"/>
        </w:rPr>
        <w:t xml:space="preserve">        retain:       evictable,</w:t>
      </w:r>
      <w:r>
        <w:br/>
      </w:r>
      <w:r>
        <w:rPr>
          <w:rStyle w:val="VerbatimChar"/>
        </w:rPr>
        <w:t xml:space="preserve">        lineage:      key,</w:t>
      </w:r>
      <w:r>
        <w:br/>
      </w:r>
      <w:r>
        <w:rPr>
          <w:rStyle w:val="VerbatimChar"/>
        </w:rPr>
        <w:t xml:space="preserve">        backfill:     upto(#0),</w:t>
      </w:r>
      <w:r>
        <w:br/>
      </w:r>
      <w:r>
        <w:rPr>
          <w:rStyle w:val="VerbatimChar"/>
        </w:rPr>
        <w:t xml:space="preserve">    };</w:t>
      </w:r>
      <w:r>
        <w:br/>
      </w:r>
      <w:r>
        <w:br/>
      </w:r>
      <w:r>
        <w:rPr>
          <w:rStyle w:val="VerbatimChar"/>
        </w:rPr>
        <w:t xml:space="preserve">view desk_exposure = /* … */</w:t>
      </w:r>
      <w:r>
        <w:br/>
      </w:r>
      <w:r>
        <w:rPr>
          <w:rStyle w:val="VerbatimChar"/>
        </w:rPr>
        <w:t xml:space="preserve">    serve { consistency: bounded(2.epochs, 5.s), materialize: auto, retain: evictable };</w:t>
      </w:r>
    </w:p>
    <w:p>
      <w:pPr>
        <w:pStyle w:val="FirstParagraph"/>
      </w:pPr>
      <w:r>
        <w:rPr>
          <w:bCs/>
          <w:b/>
        </w:rPr>
        <w:t xml:space="preserve">Contract terms.</w:t>
      </w:r>
      <w:r>
        <w:t xml:space="preserve"> </w:t>
      </w:r>
      <w:r>
        <w:rPr>
          <w:rStyle w:val="VerbatimChar"/>
        </w:rPr>
        <w:t xml:space="preserve">consistency</w:t>
      </w:r>
      <w:r>
        <w:t xml:space="preserve"> </w:t>
      </w:r>
      <w:r>
        <w:t xml:space="preserve">(the six rungs of Section 3.7);</w:t>
      </w:r>
      <w:r>
        <w:t xml:space="preserve"> </w:t>
      </w:r>
      <w:r>
        <w:rPr>
          <w:rStyle w:val="VerbatimChar"/>
        </w:rPr>
        <w:t xml:space="preserve">checkpoint(C)</w:t>
      </w:r>
      <w:r>
        <w:t xml:space="preserve"> </w:t>
      </w:r>
      <w:r>
        <w:t xml:space="preserve">(per-key checkpoint interval; the constant in the Bounded Reconstruction Theorem, measured in §9.4.1);</w:t>
      </w:r>
      <w:r>
        <w:t xml:space="preserve"> </w:t>
      </w:r>
      <w:r>
        <w:rPr>
          <w:rStyle w:val="VerbatimChar"/>
        </w:rPr>
        <w:t xml:space="preserve">materialize (</w:t>
      </w:r>
      <w:r>
        <w:t xml:space="preserve">absent | demand | full | spilled | tiered | auto</w:t>
      </w:r>
      <w:r>
        <w:rPr>
          <w:rStyle w:val="VerbatimChar"/>
        </w:rPr>
        <w:t xml:space="preserve">, where</w:t>
      </w:r>
      <w:r>
        <w:t xml:space="preserve">auto</w:t>
      </w:r>
      <w:r>
        <w:rPr>
          <w:rStyle w:val="VerbatimChar"/>
        </w:rPr>
        <w:t xml:space="preserve">delegates to the optimizer within the other constraints);</w:t>
      </w:r>
      <w:r>
        <w:t xml:space="preserve">budget</w:t>
      </w:r>
      <w:r>
        <w:rPr>
          <w:rStyle w:val="VerbatimChar"/>
        </w:rPr>
        <w:t xml:space="preserve">;</w:t>
      </w:r>
      <w:r>
        <w:t xml:space="preserve">freshness</w:t>
      </w:r>
      <w:r>
        <w:rPr>
          <w:rStyle w:val="VerbatimChar"/>
        </w:rPr>
        <w:t xml:space="preserve">(K, T);</w:t>
      </w:r>
      <w:r>
        <w:t xml:space="preserve">retain</w:t>
      </w:r>
      <w:r>
        <w:rPr>
          <w:rStyle w:val="VerbatimChar"/>
        </w:rPr>
        <w:t xml:space="preserve">(</w:t>
      </w:r>
      <w:r>
        <w:t xml:space="preserve">evictable | pinned | forever</w:t>
      </w:r>
      <w:r>
        <w:rPr>
          <w:rStyle w:val="VerbatimChar"/>
        </w:rPr>
        <w:t xml:space="preserve">);</w:t>
      </w:r>
      <w:r>
        <w:t xml:space="preserve">lineage</w:t>
      </w:r>
      <w:r>
        <w:rPr>
          <w:rStyle w:val="VerbatimChar"/>
        </w:rPr>
        <w:t xml:space="preserve">(</w:t>
      </w:r>
      <w:r>
        <w:t xml:space="preserve">off | key | full</w:t>
      </w:r>
      <w:r>
        <w:rPr>
          <w:rStyle w:val="VerbatimChar"/>
        </w:rPr>
        <w:t xml:space="preserve">);</w:t>
      </w:r>
      <w:r>
        <w:t xml:space="preserve">backfill`; and confidentiality inherited from column annotations.</w:t>
      </w:r>
    </w:p>
    <w:p>
      <w:pPr>
        <w:pStyle w:val="BodyText"/>
      </w:pPr>
      <w:r>
        <w:t xml:space="preserve">Reads return</w:t>
      </w:r>
      <w:r>
        <w:t xml:space="preserve"> </w:t>
      </w:r>
      <w:r>
        <w:rPr>
          <w:rStyle w:val="VerbatimChar"/>
        </w:rPr>
        <w:t xml:space="preserve">Anchored&lt;T&gt;</w:t>
      </w:r>
      <w:r>
        <w:t xml:space="preserve">:</w:t>
      </w:r>
    </w:p>
    <w:p>
      <w:pPr>
        <w:pStyle w:val="SourceCode"/>
      </w:pPr>
      <w:r>
        <w:rPr>
          <w:rStyle w:val="VerbatimChar"/>
        </w:rPr>
        <w:t xml:space="preserve">let b = available_balance.get((acct, usd))?;   // b.value, b.anchor</w:t>
      </w:r>
    </w:p>
    <w:bookmarkEnd w:id="254"/>
    <w:bookmarkStart w:id="255" w:name="X6a34a8894fd6cc8ff80a455bc2be7e7e2a7ddfa"/>
    <w:p>
      <w:pPr>
        <w:pStyle w:val="Heading2"/>
      </w:pPr>
      <w:r>
        <w:t xml:space="preserve">B.9 Transactions, Holds, and Access Control</w:t>
      </w:r>
    </w:p>
    <w:p>
      <w:pPr>
        <w:pStyle w:val="SourceCode"/>
      </w:pPr>
      <w:r>
        <w:rPr>
          <w:rStyle w:val="VerbatimChar"/>
        </w:rPr>
        <w:t xml:space="preserve">fn authorize(card: Id&lt;Account&gt;, amt: Money&lt;usd&gt;, auth: Option&lt;Auth&lt;overdraw&gt;&gt;)</w:t>
      </w:r>
      <w:r>
        <w:br/>
      </w:r>
      <w:r>
        <w:rPr>
          <w:rStyle w:val="VerbatimChar"/>
        </w:rPr>
        <w:t xml:space="preserve">    -&gt; Result&lt;Hold&lt;usd&gt;, TxnError&gt;</w:t>
      </w:r>
      <w:r>
        <w:br/>
      </w:r>
      <w:r>
        <w:rPr>
          <w:rStyle w:val="VerbatimChar"/>
        </w:rPr>
        <w:t xml:space="preserve">{</w:t>
      </w:r>
      <w:r>
        <w:br/>
      </w:r>
      <w:r>
        <w:rPr>
          <w:rStyle w:val="VerbatimChar"/>
        </w:rPr>
        <w:t xml:space="preserve">    txn idem"auth-{card}-{nonce()}" {</w:t>
      </w:r>
      <w:r>
        <w:br/>
      </w:r>
      <w:r>
        <w:rPr>
          <w:rStyle w:val="VerbatimChar"/>
        </w:rPr>
        <w:t xml:space="preserve">        let avail = available_balance.get((card, usd))?;   // typed l5 by the view</w:t>
      </w:r>
      <w:r>
        <w:br/>
      </w:r>
      <w:r>
        <w:rPr>
          <w:rStyle w:val="VerbatimChar"/>
        </w:rPr>
        <w:t xml:space="preserve">        hold(card, amt, expires: 7.days, auth)?            // appends a hold row</w:t>
      </w:r>
      <w:r>
        <w:br/>
      </w:r>
      <w:r>
        <w:rPr>
          <w:rStyle w:val="VerbatimChar"/>
        </w:rPr>
        <w:t xml:space="preserve">    }</w:t>
      </w:r>
      <w:r>
        <w:br/>
      </w:r>
      <w:r>
        <w:rPr>
          <w:rStyle w:val="VerbatimChar"/>
        </w:rPr>
        <w:t xml:space="preserve">}</w:t>
      </w:r>
      <w:r>
        <w:br/>
      </w:r>
      <w:r>
        <w:br/>
      </w:r>
      <w:r>
        <w:rPr>
          <w:rStyle w:val="VerbatimChar"/>
        </w:rPr>
        <w:t xml:space="preserve">fn capture(h: Hold&lt;usd&gt;, amt: Money&lt;usd&gt;) -&gt; Result&lt;TxnId, TxnError&gt; {</w:t>
      </w:r>
      <w:r>
        <w:br/>
      </w:r>
      <w:r>
        <w:rPr>
          <w:rStyle w:val="VerbatimChar"/>
        </w:rPr>
        <w:t xml:space="preserve">    txn idem"cap-{h.id}" { resolve h post amt }            // partial capture releases remainder</w:t>
      </w:r>
      <w:r>
        <w:br/>
      </w:r>
      <w:r>
        <w:rPr>
          <w:rStyle w:val="VerbatimChar"/>
        </w:rPr>
        <w:t xml:space="preserve">}</w:t>
      </w:r>
    </w:p>
    <w:p>
      <w:pPr>
        <w:pStyle w:val="FirstParagraph"/>
      </w:pPr>
      <w:r>
        <w:rPr>
          <w:rStyle w:val="VerbatimChar"/>
        </w:rPr>
        <w:t xml:space="preserve">resolve h post amt | void | expire</w:t>
      </w:r>
      <w:r>
        <w:t xml:space="preserve"> </w:t>
      </w:r>
      <w:r>
        <w:t xml:space="preserve">consumes the linear</w:t>
      </w:r>
      <w:r>
        <w:t xml:space="preserve"> </w:t>
      </w:r>
      <w:r>
        <w:rPr>
          <w:rStyle w:val="VerbatimChar"/>
        </w:rPr>
        <w:t xml:space="preserve">Hold</w:t>
      </w:r>
      <w:r>
        <w:t xml:space="preserve"> </w:t>
      </w:r>
      <w:r>
        <w:t xml:space="preserve">exactly once and</w:t>
      </w:r>
      <w:r>
        <w:t xml:space="preserve"> </w:t>
      </w:r>
      <w:r>
        <w:rPr>
          <w:iCs/>
          <w:i/>
        </w:rPr>
        <w:t xml:space="preserve">appends</w:t>
      </w:r>
      <w:r>
        <w:t xml:space="preserve"> </w:t>
      </w:r>
      <w:r>
        <w:t xml:space="preserve">a resolution row. Access control reuses SQL’s</w:t>
      </w:r>
      <w:r>
        <w:t xml:space="preserve"> </w:t>
      </w:r>
      <w:r>
        <w:rPr>
          <w:rStyle w:val="VerbatimChar"/>
        </w:rPr>
        <w:t xml:space="preserve">grant</w:t>
      </w:r>
      <w:r>
        <w:t xml:space="preserve">/</w:t>
      </w:r>
      <w:r>
        <w:rPr>
          <w:rStyle w:val="VerbatimChar"/>
        </w:rPr>
        <w:t xml:space="preserve">revoke</w:t>
      </w:r>
      <w:r>
        <w:t xml:space="preserve">, extended so capabilities are grantable objects:</w:t>
      </w:r>
    </w:p>
    <w:p>
      <w:pPr>
        <w:pStyle w:val="SourceCode"/>
      </w:pPr>
      <w:r>
        <w:rPr>
          <w:rStyle w:val="VerbatimChar"/>
        </w:rPr>
        <w:t xml:space="preserve">grant capability overdraw(limit: 500.00 usd) on accounts to role manager;</w:t>
      </w:r>
    </w:p>
    <w:bookmarkEnd w:id="255"/>
    <w:bookmarkStart w:id="257" w:name="Xb5490d2faaa129f23988c6f7a228d06f9d09087"/>
    <w:p>
      <w:pPr>
        <w:pStyle w:val="Heading2"/>
      </w:pPr>
      <w:r>
        <w:t xml:space="preserve">B.10 The Imperative Sublanguage (Rust Reused)</w:t>
      </w:r>
    </w:p>
    <w:p>
      <w:pPr>
        <w:pStyle w:val="FirstParagraph"/>
      </w:pPr>
      <w:r>
        <w:t xml:space="preserve">Rust statement and expression forms —</w:t>
      </w:r>
      <w:r>
        <w:t xml:space="preserve"> </w:t>
      </w:r>
      <w:r>
        <w:rPr>
          <w:rStyle w:val="VerbatimChar"/>
        </w:rPr>
        <w:t xml:space="preserve">let</w:t>
      </w:r>
      <w:r>
        <w:t xml:space="preserve">,</w:t>
      </w:r>
      <w:r>
        <w:t xml:space="preserve"> </w:t>
      </w:r>
      <w:r>
        <w:rPr>
          <w:rStyle w:val="VerbatimChar"/>
        </w:rPr>
        <w:t xml:space="preserve">if</w:t>
      </w:r>
      <w:r>
        <w:t xml:space="preserve">/</w:t>
      </w:r>
      <w:r>
        <w:rPr>
          <w:rStyle w:val="VerbatimChar"/>
        </w:rPr>
        <w:t xml:space="preserve">else</w:t>
      </w:r>
      <w:r>
        <w:t xml:space="preserve">,</w:t>
      </w:r>
      <w:r>
        <w:t xml:space="preserve"> </w:t>
      </w:r>
      <w:r>
        <w:rPr>
          <w:rStyle w:val="VerbatimChar"/>
        </w:rPr>
        <w:t xml:space="preserve">match</w:t>
      </w:r>
      <w:r>
        <w:t xml:space="preserve">,</w:t>
      </w:r>
      <w:r>
        <w:t xml:space="preserve"> </w:t>
      </w:r>
      <w:r>
        <w:rPr>
          <w:rStyle w:val="VerbatimChar"/>
        </w:rPr>
        <w:t xml:space="preserve">for</w:t>
      </w:r>
      <w:r>
        <w:t xml:space="preserve">,</w:t>
      </w:r>
      <w:r>
        <w:t xml:space="preserve"> </w:t>
      </w:r>
      <w:r>
        <w:rPr>
          <w:rStyle w:val="VerbatimChar"/>
        </w:rPr>
        <w:t xml:space="preserve">while</w:t>
      </w:r>
      <w:r>
        <w:t xml:space="preserve">,</w:t>
      </w:r>
      <w:r>
        <w:t xml:space="preserve"> </w:t>
      </w:r>
      <w:r>
        <w:rPr>
          <w:rStyle w:val="VerbatimChar"/>
        </w:rPr>
        <w:t xml:space="preserve">loop</w:t>
      </w:r>
      <w:r>
        <w:t xml:space="preserve">, functions, closures,</w:t>
      </w:r>
      <w:r>
        <w:t xml:space="preserve"> </w:t>
      </w:r>
      <w:r>
        <w:rPr>
          <w:rStyle w:val="VerbatimChar"/>
        </w:rPr>
        <w:t xml:space="preserve">?</w:t>
      </w:r>
      <w:r>
        <w:t xml:space="preserve"> </w:t>
      </w:r>
      <w:r>
        <w:t xml:space="preserve">on</w:t>
      </w:r>
      <w:r>
        <w:t xml:space="preserve"> </w:t>
      </w:r>
      <w:r>
        <w:rPr>
          <w:rStyle w:val="VerbatimChar"/>
        </w:rPr>
        <w:t xml:space="preserve">Result</w:t>
      </w:r>
      <w:r>
        <w:t xml:space="preserve">. The novel form is</w:t>
      </w:r>
      <w:r>
        <w:t xml:space="preserve"> </w:t>
      </w:r>
      <w:r>
        <w:rPr>
          <w:rStyle w:val="VerbatimChar"/>
        </w:rPr>
        <w:t xml:space="preserve">txn</w:t>
      </w:r>
      <w:r>
        <w:t xml:space="preserve">:</w:t>
      </w:r>
    </w:p>
    <w:p>
      <w:pPr>
        <w:pStyle w:val="SourceCode"/>
      </w:pPr>
      <w:r>
        <w:rPr>
          <w:rStyle w:val="VerbatimChar"/>
        </w:rPr>
        <w:t xml:space="preserve">fn transfer(from: Id&lt;Account&gt;, to: Id&lt;Account&gt;, amt: Money&lt;mxn&gt;,</w:t>
      </w:r>
      <w:r>
        <w:br/>
      </w:r>
      <w:r>
        <w:rPr>
          <w:rStyle w:val="VerbatimChar"/>
        </w:rPr>
        <w:t xml:space="preserve">            auth: Option&lt;Auth&lt;overdraw&gt;&gt;) -&gt; Result&lt;TxnId, TxnError&gt; {</w:t>
      </w:r>
      <w:r>
        <w:br/>
      </w:r>
      <w:r>
        <w:rPr>
          <w:rStyle w:val="VerbatimChar"/>
        </w:rPr>
        <w:t xml:space="preserve">    txn idem"tx-{from}-{to}-{nonce()}" {</w:t>
      </w:r>
      <w:r>
        <w:br/>
      </w:r>
      <w:r>
        <w:rPr>
          <w:rStyle w:val="VerbatimChar"/>
        </w:rPr>
        <w:t xml:space="preserve">        let d: Debit&lt;mxn&gt;  = debit(from, amt, auth)?;</w:t>
      </w:r>
      <w:r>
        <w:br/>
      </w:r>
      <w:r>
        <w:rPr>
          <w:rStyle w:val="VerbatimChar"/>
        </w:rPr>
        <w:t xml:space="preserve">        let c: Credit&lt;mxn&gt; = credit(to, amt);</w:t>
      </w:r>
      <w:r>
        <w:br/>
      </w:r>
      <w:r>
        <w:rPr>
          <w:rStyle w:val="VerbatimChar"/>
        </w:rPr>
        <w:t xml:space="preserve">        post(d, c)                     // types only if per-currency rows cancel</w:t>
      </w:r>
      <w:r>
        <w:br/>
      </w:r>
      <w:r>
        <w:rPr>
          <w:rStyle w:val="VerbatimChar"/>
        </w:rPr>
        <w:t xml:space="preserve">    }</w:t>
      </w:r>
      <w:r>
        <w:br/>
      </w:r>
      <w:r>
        <w:rPr>
          <w:rStyle w:val="VerbatimChar"/>
        </w:rPr>
        <w:t xml:space="preserve">}</w:t>
      </w:r>
    </w:p>
    <w:bookmarkStart w:id="256" w:name="Xdba006416472b25ca3ce26dae324ae5aded12b5"/>
    <w:p>
      <w:pPr>
        <w:pStyle w:val="Heading3"/>
      </w:pPr>
      <w:r>
        <w:t xml:space="preserve">B.10.1 Operator Precedence and Associativity</w:t>
      </w:r>
    </w:p>
    <w:p>
      <w:pPr>
        <w:pStyle w:val="FirstParagraph"/>
      </w:pPr>
      <w:r>
        <w:t xml:space="preserve">Normative. Higher binding power binds tighter; every level is left-associative except assignment, which is right-associative and binds loosest of all. Where a word and a symbol denote the same operator —</w:t>
      </w:r>
      <w:r>
        <w:t xml:space="preserve"> </w:t>
      </w:r>
      <w:r>
        <w:rPr>
          <w:rStyle w:val="VerbatimChar"/>
        </w:rPr>
        <w:t xml:space="preserve">and</w:t>
      </w:r>
      <w:r>
        <w:t xml:space="preserve">/</w:t>
      </w:r>
      <w:r>
        <w:rPr>
          <w:rStyle w:val="VerbatimChar"/>
        </w:rPr>
        <w:t xml:space="preserve">&amp;&amp;</w:t>
      </w:r>
      <w:r>
        <w:t xml:space="preserve">,</w:t>
      </w:r>
      <w:r>
        <w:t xml:space="preserve"> </w:t>
      </w:r>
      <w:r>
        <w:rPr>
          <w:rStyle w:val="VerbatimChar"/>
        </w:rPr>
        <w:t xml:space="preserve">or</w:t>
      </w:r>
      <w:r>
        <w:t xml:space="preserve">/</w:t>
      </w:r>
      <w:r>
        <w:rPr>
          <w:rStyle w:val="VerbatimChar"/>
        </w:rPr>
        <w:t xml:space="preserve">||</w:t>
      </w:r>
      <w:r>
        <w:t xml:space="preserve"> </w:t>
      </w:r>
      <w:r>
        <w:t xml:space="preserve">— they share a level and produce the same tree, because a program’s meaning must not depend on which of its two ancestries the author was thinking 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Power</w:t>
            </w:r>
          </w:p>
        </w:tc>
        <w:tc>
          <w:tcPr/>
          <w:p>
            <w:pPr>
              <w:pStyle w:val="Compact"/>
              <w:jc w:val="left"/>
            </w:pPr>
            <w:r>
              <w:t xml:space="preserve">Operators</w:t>
            </w:r>
          </w:p>
        </w:tc>
        <w:tc>
          <w:tcPr/>
          <w:p>
            <w:pPr>
              <w:pStyle w:val="Compact"/>
              <w:jc w:val="left"/>
            </w:pPr>
            <w:r>
              <w:t xml:space="preserve">Associativity</w:t>
            </w:r>
          </w:p>
        </w:tc>
      </w:tr>
      <w:tr>
        <w:tc>
          <w:tcPr/>
          <w:p>
            <w:pPr>
              <w:pStyle w:val="Compact"/>
              <w:jc w:val="left"/>
            </w:pPr>
            <w:r>
              <w:rPr>
                <w:iCs/>
                <w:i/>
              </w:rPr>
              <w:t xml:space="preserve">(loosest)</w:t>
            </w:r>
          </w:p>
        </w:tc>
        <w:tc>
          <w:tcPr/>
          <w:p>
            <w:pPr>
              <w:pStyle w:val="Compact"/>
              <w:jc w:val="left"/>
            </w:pPr>
            <w:r>
              <w:rPr>
                <w:rStyle w:val="VerbatimChar"/>
              </w:rPr>
              <w:t xml:space="preserve">=</w:t>
            </w:r>
          </w:p>
        </w:tc>
        <w:tc>
          <w:tcPr/>
          <w:p>
            <w:pPr>
              <w:pStyle w:val="Compact"/>
              <w:jc w:val="left"/>
            </w:pPr>
            <w:r>
              <w:rPr>
                <w:bCs/>
                <w:b/>
              </w:rPr>
              <w:t xml:space="preserve">right</w:t>
            </w:r>
          </w:p>
        </w:tc>
      </w:tr>
      <w:tr>
        <w:tc>
          <w:tcPr/>
          <w:p>
            <w:pPr>
              <w:pStyle w:val="Compact"/>
              <w:jc w:val="left"/>
            </w:pPr>
            <w:r>
              <w:t xml:space="preserve">1</w:t>
            </w:r>
          </w:p>
        </w:tc>
        <w:tc>
          <w:tcPr/>
          <w:p>
            <w:pPr>
              <w:pStyle w:val="Compact"/>
              <w:jc w:val="left"/>
            </w:pPr>
            <w:r>
              <w:rPr>
                <w:rStyle w:val="VerbatimChar"/>
              </w:rPr>
              <w:t xml:space="preserve">or</w:t>
            </w:r>
            <w:r>
              <w:t xml:space="preserve"> </w:t>
            </w:r>
            <w:r>
              <w:rPr>
                <w:rStyle w:val="VerbatimChar"/>
              </w:rPr>
              <w:t xml:space="preserve">\|\|</w:t>
            </w:r>
          </w:p>
        </w:tc>
        <w:tc>
          <w:tcPr/>
          <w:p>
            <w:pPr>
              <w:pStyle w:val="Compact"/>
              <w:jc w:val="left"/>
            </w:pPr>
            <w:r>
              <w:t xml:space="preserve">left</w:t>
            </w:r>
          </w:p>
        </w:tc>
      </w:tr>
      <w:tr>
        <w:tc>
          <w:tcPr/>
          <w:p>
            <w:pPr>
              <w:pStyle w:val="Compact"/>
              <w:jc w:val="left"/>
            </w:pPr>
            <w:r>
              <w:t xml:space="preserve">2</w:t>
            </w:r>
          </w:p>
        </w:tc>
        <w:tc>
          <w:tcPr/>
          <w:p>
            <w:pPr>
              <w:pStyle w:val="Compact"/>
              <w:jc w:val="left"/>
            </w:pPr>
            <w:r>
              <w:rPr>
                <w:rStyle w:val="VerbatimChar"/>
              </w:rPr>
              <w:t xml:space="preserve">and</w:t>
            </w:r>
            <w:r>
              <w:t xml:space="preserve"> </w:t>
            </w:r>
            <w:r>
              <w:rPr>
                <w:rStyle w:val="VerbatimChar"/>
              </w:rPr>
              <w:t xml:space="preserve">&amp;&amp;</w:t>
            </w:r>
          </w:p>
        </w:tc>
        <w:tc>
          <w:tcPr/>
          <w:p>
            <w:pPr>
              <w:pStyle w:val="Compact"/>
              <w:jc w:val="left"/>
            </w:pPr>
            <w:r>
              <w:t xml:space="preserve">left</w:t>
            </w:r>
          </w:p>
        </w:tc>
      </w:tr>
      <w:tr>
        <w:tc>
          <w:tcPr/>
          <w:p>
            <w:pPr>
              <w:pStyle w:val="Compact"/>
              <w:jc w:val="left"/>
            </w:pPr>
            <w:r>
              <w:t xml:space="preserve">3</w:t>
            </w:r>
          </w:p>
        </w:tc>
        <w:tc>
          <w:tcPr/>
          <w:p>
            <w:pPr>
              <w:pStyle w:val="Compact"/>
              <w:jc w:val="left"/>
            </w:pPr>
            <w:r>
              <w:rPr>
                <w:rStyle w:val="VerbatimChar"/>
              </w:rPr>
              <w:t xml:space="preserve">==</w:t>
            </w:r>
            <w:r>
              <w:t xml:space="preserve"> </w:t>
            </w:r>
            <w:r>
              <w:rPr>
                <w:rStyle w:val="VerbatimChar"/>
              </w:rPr>
              <w:t xml:space="preserve">!=</w:t>
            </w:r>
            <w:r>
              <w:t xml:space="preserve"> </w:t>
            </w:r>
            <w:r>
              <w:rPr>
                <w:rStyle w:val="VerbatimChar"/>
              </w:rPr>
              <w:t xml:space="preserve">&lt;</w:t>
            </w:r>
            <w:r>
              <w:t xml:space="preserve"> </w:t>
            </w:r>
            <w:r>
              <w:rPr>
                <w:rStyle w:val="VerbatimChar"/>
              </w:rPr>
              <w:t xml:space="preserve">&lt;=</w:t>
            </w:r>
            <w:r>
              <w:t xml:space="preserve"> </w:t>
            </w:r>
            <w:r>
              <w:rPr>
                <w:rStyle w:val="VerbatimChar"/>
              </w:rPr>
              <w:t xml:space="preserve">&gt;</w:t>
            </w:r>
            <w:r>
              <w:t xml:space="preserve"> </w:t>
            </w:r>
            <w:r>
              <w:rPr>
                <w:rStyle w:val="VerbatimChar"/>
              </w:rPr>
              <w:t xml:space="preserve">&gt;=</w:t>
            </w:r>
            <w:r>
              <w:t xml:space="preserve"> </w:t>
            </w:r>
            <w:r>
              <w:rPr>
                <w:rStyle w:val="VerbatimChar"/>
              </w:rPr>
              <w:t xml:space="preserve">is</w:t>
            </w:r>
            <w:r>
              <w:t xml:space="preserve"> </w:t>
            </w:r>
            <w:r>
              <w:rPr>
                <w:rStyle w:val="VerbatimChar"/>
              </w:rPr>
              <w:t xml:space="preserve">is not</w:t>
            </w:r>
            <w:r>
              <w:t xml:space="preserve"> </w:t>
            </w:r>
            <w:r>
              <w:rPr>
                <w:rStyle w:val="VerbatimChar"/>
              </w:rPr>
              <w:t xml:space="preserve">in</w:t>
            </w:r>
            <w:r>
              <w:t xml:space="preserve"> </w:t>
            </w:r>
            <w:r>
              <w:rPr>
                <w:rStyle w:val="VerbatimChar"/>
              </w:rPr>
              <w:t xml:space="preserve">not in</w:t>
            </w:r>
            <w:r>
              <w:t xml:space="preserve"> </w:t>
            </w:r>
            <w:r>
              <w:rPr>
                <w:rStyle w:val="VerbatimChar"/>
              </w:rPr>
              <w:t xml:space="preserve">like</w:t>
            </w:r>
            <w:r>
              <w:t xml:space="preserve"> </w:t>
            </w:r>
            <w:r>
              <w:rPr>
                <w:rStyle w:val="VerbatimChar"/>
              </w:rPr>
              <w:t xml:space="preserve">between</w:t>
            </w:r>
          </w:p>
        </w:tc>
        <w:tc>
          <w:tcPr/>
          <w:p>
            <w:pPr>
              <w:pStyle w:val="Compact"/>
              <w:jc w:val="left"/>
            </w:pPr>
            <w:r>
              <w:t xml:space="preserve">left</w:t>
            </w:r>
          </w:p>
        </w:tc>
      </w:tr>
      <w:tr>
        <w:tc>
          <w:tcPr/>
          <w:p>
            <w:pPr>
              <w:pStyle w:val="Compact"/>
              <w:jc w:val="left"/>
            </w:pPr>
            <w:r>
              <w:t xml:space="preserve">4</w:t>
            </w:r>
          </w:p>
        </w:tc>
        <w:tc>
          <w:tcPr/>
          <w:p>
            <w:pPr>
              <w:pStyle w:val="Compact"/>
              <w:jc w:val="left"/>
            </w:pPr>
            <w:r>
              <w:rPr>
                <w:rStyle w:val="VerbatimChar"/>
              </w:rPr>
              <w:t xml:space="preserve">\|</w:t>
            </w:r>
          </w:p>
        </w:tc>
        <w:tc>
          <w:tcPr/>
          <w:p>
            <w:pPr>
              <w:pStyle w:val="Compact"/>
              <w:jc w:val="left"/>
            </w:pPr>
            <w:r>
              <w:t xml:space="preserve">left</w:t>
            </w:r>
          </w:p>
        </w:tc>
      </w:tr>
      <w:tr>
        <w:tc>
          <w:tcPr/>
          <w:p>
            <w:pPr>
              <w:pStyle w:val="Compact"/>
              <w:jc w:val="left"/>
            </w:pPr>
            <w:r>
              <w:t xml:space="preserve">5</w:t>
            </w:r>
          </w:p>
        </w:tc>
        <w:tc>
          <w:tcPr/>
          <w:p>
            <w:pPr>
              <w:pStyle w:val="Compact"/>
              <w:jc w:val="left"/>
            </w:pPr>
            <w:r>
              <w:rPr>
                <w:rStyle w:val="VerbatimChar"/>
              </w:rPr>
              <w:t xml:space="preserve">^</w:t>
            </w:r>
          </w:p>
        </w:tc>
        <w:tc>
          <w:tcPr/>
          <w:p>
            <w:pPr>
              <w:pStyle w:val="Compact"/>
              <w:jc w:val="left"/>
            </w:pPr>
            <w:r>
              <w:t xml:space="preserve">left</w:t>
            </w:r>
          </w:p>
        </w:tc>
      </w:tr>
      <w:tr>
        <w:tc>
          <w:tcPr/>
          <w:p>
            <w:pPr>
              <w:pStyle w:val="Compact"/>
              <w:jc w:val="left"/>
            </w:pPr>
            <w:r>
              <w:t xml:space="preserve">6</w:t>
            </w:r>
          </w:p>
        </w:tc>
        <w:tc>
          <w:tcPr/>
          <w:p>
            <w:pPr>
              <w:pStyle w:val="Compact"/>
              <w:jc w:val="left"/>
            </w:pPr>
            <w:r>
              <w:rPr>
                <w:rStyle w:val="VerbatimChar"/>
              </w:rPr>
              <w:t xml:space="preserve">&amp;</w:t>
            </w:r>
          </w:p>
        </w:tc>
        <w:tc>
          <w:tcPr/>
          <w:p>
            <w:pPr>
              <w:pStyle w:val="Compact"/>
              <w:jc w:val="left"/>
            </w:pPr>
            <w:r>
              <w:t xml:space="preserve">left</w:t>
            </w:r>
          </w:p>
        </w:tc>
      </w:tr>
      <w:tr>
        <w:tc>
          <w:tcPr/>
          <w:p>
            <w:pPr>
              <w:pStyle w:val="Compact"/>
              <w:jc w:val="left"/>
            </w:pPr>
            <w:r>
              <w:t xml:space="preserve">7</w:t>
            </w:r>
          </w:p>
        </w:tc>
        <w:tc>
          <w:tcPr/>
          <w:p>
            <w:pPr>
              <w:pStyle w:val="Compact"/>
              <w:jc w:val="left"/>
            </w:pPr>
            <w:r>
              <w:rPr>
                <w:rStyle w:val="VerbatimChar"/>
              </w:rPr>
              <w:t xml:space="preserve">+</w:t>
            </w:r>
            <w:r>
              <w:t xml:space="preserve"> </w:t>
            </w:r>
            <w:r>
              <w:rPr>
                <w:rStyle w:val="VerbatimChar"/>
              </w:rPr>
              <w:t xml:space="preserve">-</w:t>
            </w:r>
          </w:p>
        </w:tc>
        <w:tc>
          <w:tcPr/>
          <w:p>
            <w:pPr>
              <w:pStyle w:val="Compact"/>
              <w:jc w:val="left"/>
            </w:pPr>
            <w:r>
              <w:t xml:space="preserve">left</w:t>
            </w:r>
          </w:p>
        </w:tc>
      </w:tr>
      <w:tr>
        <w:tc>
          <w:tcPr/>
          <w:p>
            <w:pPr>
              <w:pStyle w:val="Compact"/>
              <w:jc w:val="left"/>
            </w:pPr>
            <w:r>
              <w:t xml:space="preserve">8</w:t>
            </w:r>
          </w:p>
        </w:tc>
        <w:tc>
          <w:tcPr/>
          <w:p>
            <w:pPr>
              <w:pStyle w:val="Compact"/>
              <w:jc w:val="left"/>
            </w:pPr>
            <w:r>
              <w:rPr>
                <w:rStyle w:val="VerbatimChar"/>
              </w:rPr>
              <w:t xml:space="preserve">*</w:t>
            </w:r>
            <w:r>
              <w:t xml:space="preserve"> </w:t>
            </w:r>
            <w:r>
              <w:rPr>
                <w:rStyle w:val="VerbatimChar"/>
              </w:rPr>
              <w:t xml:space="preserve">/</w:t>
            </w:r>
            <w:r>
              <w:t xml:space="preserve"> </w:t>
            </w:r>
            <w:r>
              <w:rPr>
                <w:rStyle w:val="VerbatimChar"/>
              </w:rPr>
              <w:t xml:space="preserve">%</w:t>
            </w:r>
          </w:p>
        </w:tc>
        <w:tc>
          <w:tcPr/>
          <w:p>
            <w:pPr>
              <w:pStyle w:val="Compact"/>
              <w:jc w:val="left"/>
            </w:pPr>
            <w:r>
              <w:t xml:space="preserve">left</w:t>
            </w:r>
          </w:p>
        </w:tc>
      </w:tr>
      <w:tr>
        <w:tc>
          <w:tcPr/>
          <w:p>
            <w:pPr>
              <w:pStyle w:val="Compact"/>
              <w:jc w:val="left"/>
            </w:pPr>
            <w:r>
              <w:rPr>
                <w:iCs/>
                <w:i/>
              </w:rPr>
              <w:t xml:space="preserve">(tightest)</w:t>
            </w:r>
          </w:p>
        </w:tc>
        <w:tc>
          <w:tcPr/>
          <w:p>
            <w:pPr>
              <w:pStyle w:val="Compact"/>
              <w:jc w:val="left"/>
            </w:pPr>
            <w:r>
              <w:t xml:space="preserve">prefix</w:t>
            </w:r>
            <w:r>
              <w:t xml:space="preserve"> </w:t>
            </w:r>
            <w:r>
              <w:rPr>
                <w:rStyle w:val="VerbatimChar"/>
              </w:rPr>
              <w:t xml:space="preserve">-</w:t>
            </w:r>
            <w:r>
              <w:t xml:space="preserve"> </w:t>
            </w:r>
            <w:r>
              <w:rPr>
                <w:rStyle w:val="VerbatimChar"/>
              </w:rPr>
              <w:t xml:space="preserve">!</w:t>
            </w:r>
            <w:r>
              <w:t xml:space="preserve"> </w:t>
            </w:r>
            <w:r>
              <w:rPr>
                <w:rStyle w:val="VerbatimChar"/>
              </w:rPr>
              <w:t xml:space="preserve">not</w:t>
            </w:r>
            <w:r>
              <w:t xml:space="preserve"> </w:t>
            </w:r>
            <w:r>
              <w:rPr>
                <w:rStyle w:val="VerbatimChar"/>
              </w:rPr>
              <w:t xml:space="preserve">*</w:t>
            </w:r>
            <w:r>
              <w:t xml:space="preserve"> </w:t>
            </w:r>
            <w:r>
              <w:rPr>
                <w:rStyle w:val="VerbatimChar"/>
              </w:rPr>
              <w:t xml:space="preserve">&amp;</w:t>
            </w:r>
            <w:r>
              <w:t xml:space="preserve"> </w:t>
            </w:r>
            <w:r>
              <w:rPr>
                <w:rStyle w:val="VerbatimChar"/>
              </w:rPr>
              <w:t xml:space="preserve">&amp;mut</w:t>
            </w:r>
            <w:r>
              <w:t xml:space="preserve">; postfix</w:t>
            </w:r>
            <w:r>
              <w:t xml:space="preserve"> </w:t>
            </w:r>
            <w:r>
              <w:rPr>
                <w:rStyle w:val="VerbatimChar"/>
              </w:rPr>
              <w:t xml:space="preserve">.f</w:t>
            </w:r>
            <w:r>
              <w:t xml:space="preserve"> </w:t>
            </w:r>
            <w:r>
              <w:rPr>
                <w:rStyle w:val="VerbatimChar"/>
              </w:rPr>
              <w:t xml:space="preserve">.m(..)</w:t>
            </w:r>
            <w:r>
              <w:t xml:space="preserve"> </w:t>
            </w:r>
            <w:r>
              <w:rPr>
                <w:rStyle w:val="VerbatimChar"/>
              </w:rPr>
              <w:t xml:space="preserve">\|&gt; m(..)</w:t>
            </w:r>
            <w:r>
              <w:t xml:space="preserve"> </w:t>
            </w:r>
            <w:r>
              <w:rPr>
                <w:rStyle w:val="VerbatimChar"/>
              </w:rPr>
              <w:t xml:space="preserve">(..)</w:t>
            </w:r>
            <w:r>
              <w:t xml:space="preserve"> </w:t>
            </w:r>
            <w:r>
              <w:rPr>
                <w:rStyle w:val="VerbatimChar"/>
              </w:rPr>
              <w:t xml:space="preserve">[..]</w:t>
            </w:r>
            <w:r>
              <w:t xml:space="preserve"> </w:t>
            </w:r>
            <w:r>
              <w:rPr>
                <w:rStyle w:val="VerbatimChar"/>
              </w:rPr>
              <w:t xml:space="preserve">?</w:t>
            </w:r>
            <w:r>
              <w:t xml:space="preserve"> </w:t>
            </w:r>
            <w:r>
              <w:rPr>
                <w:rStyle w:val="VerbatimChar"/>
              </w:rPr>
              <w:t xml:space="preserve">as T</w:t>
            </w:r>
          </w:p>
        </w:tc>
        <w:tc>
          <w:tcPr/>
          <w:p>
            <w:pPr>
              <w:pStyle w:val="Compact"/>
              <w:jc w:val="left"/>
            </w:pPr>
            <w:r>
              <w:t xml:space="preserve">—</w:t>
            </w:r>
          </w:p>
        </w:tc>
      </w:tr>
    </w:tbl>
    <w:p>
      <w:pPr>
        <w:pStyle w:val="BodyText"/>
      </w:pPr>
      <w:r>
        <w:t xml:space="preserve">Two consequences are worth stating because they are where hand-written parsers go wrong, and where this table earned its place. First,</w:t>
      </w:r>
      <w:r>
        <w:t xml:space="preserve"> </w:t>
      </w:r>
      <w:r>
        <w:rPr>
          <w:rStyle w:val="VerbatimChar"/>
        </w:rPr>
        <w:t xml:space="preserve">a - b - c</w:t>
      </w:r>
      <w:r>
        <w:t xml:space="preserve"> </w:t>
      </w:r>
      <w:r>
        <w:t xml:space="preserve">is</w:t>
      </w:r>
      <w:r>
        <w:t xml:space="preserve"> </w:t>
      </w:r>
      <w:r>
        <w:rPr>
          <w:rStyle w:val="VerbatimChar"/>
        </w:rPr>
        <w:t xml:space="preserve">(a - b) - c</w:t>
      </w:r>
      <w:r>
        <w:t xml:space="preserve">; a Pratt loop that recurses on the right at the</w:t>
      </w:r>
      <w:r>
        <w:t xml:space="preserve"> </w:t>
      </w:r>
      <w:r>
        <w:rPr>
          <w:iCs/>
          <w:i/>
        </w:rPr>
        <w:t xml:space="preserve">same</w:t>
      </w:r>
      <w:r>
        <w:t xml:space="preserve"> </w:t>
      </w:r>
      <w:r>
        <w:t xml:space="preserve">power instead of one above it produces the other tree, and no test that inspects only the token stream can tell. Second,</w:t>
      </w:r>
      <w:r>
        <w:t xml:space="preserve"> </w:t>
      </w:r>
      <w:r>
        <w:rPr>
          <w:rStyle w:val="VerbatimChar"/>
        </w:rPr>
        <w:t xml:space="preserve">a = b = c</w:t>
      </w:r>
      <w:r>
        <w:t xml:space="preserve"> </w:t>
      </w:r>
      <w:r>
        <w:t xml:space="preserve">is</w:t>
      </w:r>
      <w:r>
        <w:t xml:space="preserve"> </w:t>
      </w:r>
      <w:r>
        <w:rPr>
          <w:rStyle w:val="VerbatimChar"/>
        </w:rPr>
        <w:t xml:space="preserve">a = (b = c)</w:t>
      </w:r>
      <w:r>
        <w:t xml:space="preserve">, following Rust: the reference parser recursed for the right-hand side at power 1 rather than 0, which put assignment outside its own guard and made it silently left-associative — a defect that survived until</w:t>
      </w:r>
      <w:r>
        <w:t xml:space="preserve"> </w:t>
      </w:r>
      <w:r>
        <w:rPr>
          <w:rStyle w:val="VerbatimChar"/>
        </w:rPr>
        <w:t xml:space="preserve">bootstrap/parser.niles</w:t>
      </w:r>
      <w:r>
        <w:t xml:space="preserve"> </w:t>
      </w:r>
      <w:r>
        <w:t xml:space="preserve">was written against this table and the two implementations disagreed. The table exists so that a disagreement of that kind has an arbiter, and Appendix E’s stage-1 equivalence gate is what forces the question to be asked.</w:t>
      </w:r>
    </w:p>
    <w:p>
      <w:pPr>
        <w:pStyle w:val="BodyText"/>
      </w:pPr>
      <w:r>
        <w:t xml:space="preserve">Bitwise operators sit</w:t>
      </w:r>
      <w:r>
        <w:t xml:space="preserve"> </w:t>
      </w:r>
      <w:r>
        <w:rPr>
          <w:iCs/>
          <w:i/>
        </w:rPr>
        <w:t xml:space="preserve">between</w:t>
      </w:r>
      <w:r>
        <w:t xml:space="preserve"> </w:t>
      </w:r>
      <w:r>
        <w:t xml:space="preserve">comparison and arithmetic, which is C’s ordering rather than Python’s, and is inherited from Rust along with the rest of the expression grammar.</w:t>
      </w:r>
      <w:r>
        <w:t xml:space="preserve"> </w:t>
      </w:r>
      <w:r>
        <w:rPr>
          <w:rStyle w:val="VerbatimChar"/>
        </w:rPr>
        <w:t xml:space="preserve">between</w:t>
      </w:r>
      <w:r>
        <w:t xml:space="preserve"> </w:t>
      </w:r>
      <w:r>
        <w:t xml:space="preserve">takes a tuple —</w:t>
      </w:r>
      <w:r>
        <w:t xml:space="preserve"> </w:t>
      </w:r>
      <w:r>
        <w:rPr>
          <w:rStyle w:val="VerbatimChar"/>
        </w:rPr>
        <w:t xml:space="preserve">x between (lo, hi)</w:t>
      </w:r>
      <w:r>
        <w:t xml:space="preserve"> </w:t>
      </w:r>
      <w:r>
        <w:t xml:space="preserve">— so that the parse is uniform and the operator needs no special case in the table above.</w:t>
      </w:r>
    </w:p>
    <w:bookmarkEnd w:id="256"/>
    <w:bookmarkEnd w:id="257"/>
    <w:bookmarkStart w:id="258" w:name="b.11-banking-domain-library"/>
    <w:p>
      <w:pPr>
        <w:pStyle w:val="Heading2"/>
      </w:pPr>
      <w:r>
        <w:t xml:space="preserve">B.11 Banking Domain Library</w:t>
      </w:r>
    </w:p>
    <w:p>
      <w:pPr>
        <w:pStyle w:val="FirstParagraph"/>
      </w:pPr>
      <w:r>
        <w:rPr>
          <w:rStyle w:val="VerbatimChar"/>
        </w:rPr>
        <w:t xml:space="preserve">std::bank</w:t>
      </w:r>
      <w:r>
        <w:t xml:space="preserve">: accounts, postings, holds,</w:t>
      </w:r>
      <w:r>
        <w:t xml:space="preserve"> </w:t>
      </w:r>
      <w:r>
        <w:rPr>
          <w:rStyle w:val="VerbatimChar"/>
        </w:rPr>
        <w:t xml:space="preserve">fx</w:t>
      </w:r>
      <w:r>
        <w:t xml:space="preserve">, statements, interest accrual, and the product modules of Section 6.21 (</w:t>
      </w:r>
      <w:r>
        <w:rPr>
          <w:rStyle w:val="VerbatimChar"/>
        </w:rPr>
        <w:t xml:space="preserve">::lending</w:t>
      </w:r>
      <w:r>
        <w:t xml:space="preserve">,</w:t>
      </w:r>
      <w:r>
        <w:t xml:space="preserve"> </w:t>
      </w:r>
      <w:r>
        <w:rPr>
          <w:rStyle w:val="VerbatimChar"/>
        </w:rPr>
        <w:t xml:space="preserve">::trade</w:t>
      </w:r>
      <w:r>
        <w:t xml:space="preserve">,</w:t>
      </w:r>
      <w:r>
        <w:t xml:space="preserve"> </w:t>
      </w:r>
      <w:r>
        <w:rPr>
          <w:rStyle w:val="VerbatimChar"/>
        </w:rPr>
        <w:t xml:space="preserve">::liquidity</w:t>
      </w:r>
      <w:r>
        <w:t xml:space="preserve">,</w:t>
      </w:r>
      <w:r>
        <w:t xml:space="preserve"> </w:t>
      </w:r>
      <w:r>
        <w:rPr>
          <w:rStyle w:val="VerbatimChar"/>
        </w:rPr>
        <w:t xml:space="preserve">::derivatives</w:t>
      </w:r>
      <w:r>
        <w:t xml:space="preserve">). All are library code over B.4’s features, with no compiler knowledge of money.</w:t>
      </w:r>
    </w:p>
    <w:bookmarkEnd w:id="258"/>
    <w:bookmarkStart w:id="259" w:name="b.12-udf-tier"/>
    <w:p>
      <w:pPr>
        <w:pStyle w:val="Heading2"/>
      </w:pPr>
      <w:r>
        <w:t xml:space="preserve">B.12 UDF Tier</w:t>
      </w:r>
    </w:p>
    <w:p>
      <w:pPr>
        <w:pStyle w:val="SourceCode"/>
      </w:pPr>
      <w:r>
        <w:rPr>
          <w:rStyle w:val="VerbatimChar"/>
        </w:rPr>
        <w:t xml:space="preserve">#[udf(fuel = 1_000_000, deterministic)]</w:t>
      </w:r>
      <w:r>
        <w:br/>
      </w:r>
      <w:r>
        <w:rPr>
          <w:rStyle w:val="VerbatimChar"/>
        </w:rPr>
        <w:t xml:space="preserve">fn risk_score(history: &amp;[Anchored&lt;Money&lt;usd&gt;&gt;]) -&gt; u32 { … }</w:t>
      </w:r>
    </w:p>
    <w:p>
      <w:pPr>
        <w:pStyle w:val="FirstParagraph"/>
      </w:pPr>
      <w:r>
        <w:t xml:space="preserve">No ambient I/O or clock; capabilities passed as parameters; compiled to wasm32 against the ABI of Appendix C.4. The</w:t>
      </w:r>
      <w:r>
        <w:t xml:space="preserve"> </w:t>
      </w:r>
      <w:r>
        <w:rPr>
          <w:rStyle w:val="VerbatimChar"/>
        </w:rPr>
        <w:t xml:space="preserve">deterministic</w:t>
      </w:r>
      <w:r>
        <w:t xml:space="preserve"> </w:t>
      </w:r>
      <w:r>
        <w:t xml:space="preserve">attribute is</w:t>
      </w:r>
      <w:r>
        <w:t xml:space="preserve"> </w:t>
      </w:r>
      <w:r>
        <w:rPr>
          <w:iCs/>
          <w:i/>
        </w:rPr>
        <w:t xml:space="preserve">checked</w:t>
      </w:r>
      <w:r>
        <w:t xml:space="preserve">, not trusted: NaN-producing float operations are rejected, fuel exhaustion is a deterministic abort, and no host imports outside the allowlist are permitted (Section 6.13).</w:t>
      </w:r>
    </w:p>
    <w:bookmarkEnd w:id="259"/>
    <w:bookmarkStart w:id="260" w:name="b.13-confidentiality-annotation"/>
    <w:p>
      <w:pPr>
        <w:pStyle w:val="Heading2"/>
      </w:pPr>
      <w:r>
        <w:t xml:space="preserve">B.13 Confidentiality Annotation</w:t>
      </w:r>
    </w:p>
    <w:p>
      <w:pPr>
        <w:pStyle w:val="FirstParagraph"/>
      </w:pPr>
      <w:r>
        <w:rPr>
          <w:rStyle w:val="VerbatimChar"/>
        </w:rPr>
        <w:t xml:space="preserve">@confidential(e2ee)</w:t>
      </w:r>
      <w:r>
        <w:t xml:space="preserve"> </w:t>
      </w:r>
      <w:r>
        <w:t xml:space="preserve">— server-blind; unusable in server-side predicates, joins or aggregates.</w:t>
      </w:r>
      <w:r>
        <w:t xml:space="preserve"> </w:t>
      </w:r>
      <w:r>
        <w:rPr>
          <w:rStyle w:val="VerbatimChar"/>
        </w:rPr>
        <w:t xml:space="preserve">@confidential(committed)</w:t>
      </w:r>
      <w:r>
        <w:t xml:space="preserve"> </w:t>
      </w:r>
      <w:r>
        <w:t xml:space="preserve">— additively homomorphic commitment; usable in sum-checks only.</w:t>
      </w:r>
      <w:r>
        <w:t xml:space="preserve"> </w:t>
      </w:r>
      <w:r>
        <w:rPr>
          <w:rStyle w:val="VerbatimChar"/>
        </w:rPr>
        <w:t xml:space="preserve">declassify(x, auth: Auth&lt;declassify&gt;)</w:t>
      </w:r>
      <w:r>
        <w:t xml:space="preserve"> </w:t>
      </w:r>
      <w:r>
        <w:t xml:space="preserve">— the only crossing, always audited. Labels are</w:t>
      </w:r>
      <w:r>
        <w:t xml:space="preserve"> </w:t>
      </w:r>
      <w:r>
        <w:rPr>
          <w:bCs/>
          <w:b/>
        </w:rPr>
        <w:t xml:space="preserve">static</w:t>
      </w:r>
      <w:r>
        <w:t xml:space="preserve">; dynamic labels are not offered (Section 4.5).</w:t>
      </w:r>
    </w:p>
    <w:bookmarkEnd w:id="260"/>
    <w:bookmarkStart w:id="261" w:name="b.14-lineage-and-audit-forms"/>
    <w:p>
      <w:pPr>
        <w:pStyle w:val="Heading2"/>
      </w:pPr>
      <w:r>
        <w:t xml:space="preserve">B.14 Lineage and Audit Forms</w:t>
      </w:r>
    </w:p>
    <w:p>
      <w:pPr>
        <w:pStyle w:val="SourceCode"/>
      </w:pPr>
      <w:r>
        <w:rPr>
          <w:rStyle w:val="VerbatimChar"/>
        </w:rPr>
        <w:t xml:space="preserve">explain available_balance.get((acct, usd))?;     // derivation of this answer</w:t>
      </w:r>
      <w:r>
        <w:br/>
      </w:r>
      <w:r>
        <w:rPr>
          <w:rStyle w:val="VerbatimChar"/>
        </w:rPr>
        <w:t xml:space="preserve">reproduce (answer, #41209);                      // recompute and compare</w:t>
      </w:r>
      <w:r>
        <w:br/>
      </w:r>
      <w:r>
        <w:rPr>
          <w:rStyle w:val="VerbatimChar"/>
        </w:rPr>
        <w:t xml:space="preserve">impact of postings.row(id);                      // derived entries affected</w:t>
      </w:r>
    </w:p>
    <w:bookmarkEnd w:id="261"/>
    <w:bookmarkStart w:id="262" w:name="b.15-consolidated-grammar-skeleton"/>
    <w:p>
      <w:pPr>
        <w:pStyle w:val="Heading2"/>
      </w:pPr>
      <w:r>
        <w:t xml:space="preserve">B.15 Consolidated Grammar (Skeleton)</w:t>
      </w:r>
    </w:p>
    <w:p>
      <w:pPr>
        <w:pStyle w:val="SourceCode"/>
      </w:pPr>
      <w:r>
        <w:rPr>
          <w:rStyle w:val="VerbatimChar"/>
        </w:rPr>
        <w:t xml:space="preserve">program     ::= item* ;</w:t>
      </w:r>
      <w:r>
        <w:br/>
      </w:r>
      <w:r>
        <w:rPr>
          <w:rStyle w:val="VerbatimChar"/>
        </w:rPr>
        <w:t xml:space="preserve">item        ::= schema | fn | struct | enum | trait | impl | mod | use | const | view | udf ;</w:t>
      </w:r>
      <w:r>
        <w:br/>
      </w:r>
      <w:r>
        <w:rPr>
          <w:rStyle w:val="VerbatimChar"/>
        </w:rPr>
        <w:t xml:space="preserve">schema      ::= "schema" ident "{" schema_item* "}" ;</w:t>
      </w:r>
      <w:r>
        <w:br/>
      </w:r>
      <w:r>
        <w:rPr>
          <w:rStyle w:val="VerbatimChar"/>
        </w:rPr>
        <w:t xml:space="preserve">schema_item ::= table | base | ledger | view | index | currency_decl ;</w:t>
      </w:r>
      <w:r>
        <w:br/>
      </w:r>
      <w:r>
        <w:rPr>
          <w:rStyle w:val="VerbatimChar"/>
        </w:rPr>
        <w:t xml:space="preserve">base        ::= ("base" | "ledger") ident "{" field+ rule_clause* "}" ;</w:t>
      </w:r>
      <w:r>
        <w:br/>
      </w:r>
      <w:r>
        <w:rPr>
          <w:rStyle w:val="VerbatimChar"/>
        </w:rPr>
        <w:t xml:space="preserve">rule_clause ::= conserve_clause | retain_clause | lineage_clause ;</w:t>
      </w:r>
      <w:r>
        <w:br/>
      </w:r>
      <w:r>
        <w:rPr>
          <w:rStyle w:val="VerbatimChar"/>
        </w:rPr>
        <w:t xml:space="preserve">conserve_clause ::= "conserve" "per" "(" ident ("," ident)* ")" ";" ;</w:t>
      </w:r>
      <w:r>
        <w:br/>
      </w:r>
      <w:r>
        <w:rPr>
          <w:rStyle w:val="VerbatimChar"/>
        </w:rPr>
        <w:t xml:space="preserve">view        ::= "view" ident "=" pipeline "serve" "{" contract "}" ";" ;</w:t>
      </w:r>
      <w:r>
        <w:br/>
      </w:r>
      <w:r>
        <w:rPr>
          <w:rStyle w:val="VerbatimChar"/>
        </w:rPr>
        <w:t xml:space="preserve">pipeline    ::= expr (("." stage_call) | ("|&gt;" stage_call))* ;</w:t>
      </w:r>
      <w:r>
        <w:br/>
      </w:r>
      <w:r>
        <w:rPr>
          <w:rStyle w:val="VerbatimChar"/>
        </w:rPr>
        <w:t xml:space="preserve">contract    ::= kv ("," kv)* ","? ;</w:t>
      </w:r>
      <w:r>
        <w:br/>
      </w:r>
      <w:r>
        <w:rPr>
          <w:rStyle w:val="VerbatimChar"/>
        </w:rPr>
        <w:t xml:space="preserve">txn_expr    ::= "txn" idem_lit? block ;</w:t>
      </w:r>
      <w:r>
        <w:br/>
      </w:r>
      <w:r>
        <w:rPr>
          <w:rStyle w:val="VerbatimChar"/>
        </w:rPr>
        <w:t xml:space="preserve">hold_expr   ::= "hold" "(" args ")" | "resolve" expr ("post" expr | "void" | "expire") ;</w:t>
      </w:r>
      <w:r>
        <w:br/>
      </w:r>
      <w:r>
        <w:rPr>
          <w:rStyle w:val="VerbatimChar"/>
        </w:rPr>
        <w:t xml:space="preserve">fixpoint    ::= ".fixpoint" "(" expr ")" "guard" "measure" "(" expr ")" ;</w:t>
      </w:r>
      <w:r>
        <w:br/>
      </w:r>
      <w:r>
        <w:rPr>
          <w:rStyle w:val="VerbatimChar"/>
        </w:rPr>
        <w:t xml:space="preserve">money_lit   ::= decimal currency_ident ;</w:t>
      </w:r>
      <w:r>
        <w:br/>
      </w:r>
      <w:r>
        <w:rPr>
          <w:rStyle w:val="VerbatimChar"/>
        </w:rPr>
        <w:t xml:space="preserve">temporal_lit::= "@" iso8601 | "v@" iso8601 | "#" integer | number "." time_unit ;</w:t>
      </w:r>
      <w:r>
        <w:br/>
      </w:r>
      <w:r>
        <w:rPr>
          <w:rStyle w:val="VerbatimChar"/>
        </w:rPr>
        <w:t xml:space="preserve">sql_block   ::= "sql" "{" (* the fragment of Appendix H *) "}" ;</w:t>
      </w:r>
    </w:p>
    <w:p>
      <w:pPr>
        <w:pStyle w:val="FirstParagraph"/>
      </w:pPr>
      <w:r>
        <w:t xml:space="preserve">The full grammar is maintained in the artifact at</w:t>
      </w:r>
      <w:r>
        <w:t xml:space="preserve"> </w:t>
      </w:r>
      <w:r>
        <w:rPr>
          <w:rStyle w:val="VerbatimChar"/>
        </w:rPr>
        <w:t xml:space="preserve">crates/niles-lang/grammar/niles.ebnf</w:t>
      </w:r>
      <w:r>
        <w:t xml:space="preserve"> </w:t>
      </w:r>
      <w:r>
        <w:t xml:space="preserve">as the normative machine-readable form; this skeleton is its table of contents. That file defines</w:t>
      </w:r>
      <w:r>
        <w:t xml:space="preserve"> </w:t>
      </w:r>
      <w:r>
        <w:rPr>
          <w:bCs/>
          <w:b/>
        </w:rPr>
        <w:t xml:space="preserve">205 named rules</w:t>
      </w:r>
      <w:r>
        <w:t xml:space="preserve">, which is</w:t>
      </w:r>
      <w:r>
        <w:t xml:space="preserve"> </w:t>
      </w:r>
      <w:r>
        <w:rPr>
          <w:bCs/>
          <w:b/>
        </w:rPr>
        <w:t xml:space="preserve">496 productions</w:t>
      </w:r>
      <w:r>
        <w:t xml:space="preserve"> </w:t>
      </w:r>
      <w:r>
        <w:t xml:space="preserve">when expanded to one production per alternative. Both figures are computed from the file by</w:t>
      </w:r>
      <w:r>
        <w:t xml:space="preserve"> </w:t>
      </w:r>
      <w:r>
        <w:rPr>
          <w:rStyle w:val="VerbatimChar"/>
        </w:rPr>
        <w:t xml:space="preserve">crates/niles-lang/tests/grammar_drift.rs</w:t>
      </w:r>
      <w:r>
        <w:t xml:space="preserve"> </w:t>
      </w:r>
      <w:r>
        <w:t xml:space="preserve">and asserted against the file’s own header, so neither can drift from what is written; and both are reported because</w:t>
      </w:r>
      <w:r>
        <w:t xml:space="preserve"> </w:t>
      </w:r>
      <w:r>
        <w:t xml:space="preserve">“</w:t>
      </w:r>
      <w:r>
        <w:t xml:space="preserve">how big is a grammar</w:t>
      </w:r>
      <w:r>
        <w:t xml:space="preserve">”</w:t>
      </w:r>
      <w:r>
        <w:t xml:space="preserve"> </w:t>
      </w:r>
      <w:r>
        <w:t xml:space="preserve">has no single answer, and an uncounted one is folklore. No comparable published figure for SQL is cited here: PostgreSQL’s</w:t>
      </w:r>
      <w:r>
        <w:t xml:space="preserve"> </w:t>
      </w:r>
      <w:r>
        <w:rPr>
          <w:rStyle w:val="VerbatimChar"/>
        </w:rPr>
        <w:t xml:space="preserve">gram.y</w:t>
      </w:r>
      <w:r>
        <w:t xml:space="preserve"> </w:t>
      </w:r>
      <w:r>
        <w:t xml:space="preserve">is 21,016 lines, but no authoritative production count for the SQL-92 or SQL:2016 BNF could be verified, and this thesis declines to quote a number it has not counted itself.</w:t>
      </w:r>
    </w:p>
    <w:p>
      <w:pPr>
        <w:pStyle w:val="BodyText"/>
      </w:pPr>
      <w:r>
        <w:t xml:space="preserve">The same test file enforces the grammar against the compiler in both directions. Every keyword in the registry must appear in some production, or it is dead vocabulary; every alphabetic terminal in the grammar must be a registry keyword or a known library name, or the production is unreachable; the pipeline-stage vocabulary of grammar section 12 must equal the compiler’s</w:t>
      </w:r>
      <w:r>
        <w:t xml:space="preserve"> </w:t>
      </w:r>
      <w:r>
        <w:rPr>
          <w:rStyle w:val="VerbatimChar"/>
        </w:rPr>
        <w:t xml:space="preserve">StageKind::all_names()</w:t>
      </w:r>
      <w:r>
        <w:t xml:space="preserve">, because that list is the set of operators the IR must implement; and the twenty well-formedness rules of section 15 must be contiguous. The grammar’s last section is the honest part of it: W1–W20 are the obligations deliberately</w:t>
      </w:r>
      <w:r>
        <w:t xml:space="preserve"> </w:t>
      </w:r>
      <w:r>
        <w:rPr>
          <w:iCs/>
          <w:i/>
        </w:rPr>
        <w:t xml:space="preserve">not</w:t>
      </w:r>
      <w:r>
        <w:t xml:space="preserve"> </w:t>
      </w:r>
      <w:r>
        <w:t xml:space="preserve">encoded as syntax, because a grammar that tried to say</w:t>
      </w:r>
      <w:r>
        <w:t xml:space="preserve"> </w:t>
      </w:r>
      <w:r>
        <w:t xml:space="preserve">“</w:t>
      </w:r>
      <w:r>
        <w:t xml:space="preserve">a hold is consumed exactly once</w:t>
      </w:r>
      <w:r>
        <w:t xml:space="preserve">”</w:t>
      </w:r>
      <w:r>
        <w:t xml:space="preserve"> </w:t>
      </w:r>
      <w:r>
        <w:t xml:space="preserve">would be neither readable nor decidable. Each is a claim that a later phase enforces it, and each has a test in the phase that does.</w:t>
      </w:r>
    </w:p>
    <w:bookmarkEnd w:id="262"/>
    <w:bookmarkStart w:id="263" w:name="b.16-reserved-keyword-list"/>
    <w:p>
      <w:pPr>
        <w:pStyle w:val="Heading2"/>
      </w:pPr>
      <w:r>
        <w:t xml:space="preserve">B.16 Reserved Keyword List</w:t>
      </w:r>
    </w:p>
    <w:p>
      <w:pPr>
        <w:pStyle w:val="FirstParagraph"/>
      </w:pPr>
      <w:r>
        <w:t xml:space="preserve">The union of B.3.1–B.3.3 plus reserved-for-future</w:t>
      </w:r>
      <w:r>
        <w:t xml:space="preserve"> </w:t>
      </w:r>
      <w:r>
        <w:rPr>
          <w:rStyle w:val="VerbatimChar"/>
        </w:rPr>
        <w:t xml:space="preserve">async await unsafe yield macro stream actor</w:t>
      </w:r>
      <w:r>
        <w:t xml:space="preserve">. All reserved words require</w:t>
      </w:r>
      <w:r>
        <w:t xml:space="preserve"> </w:t>
      </w:r>
      <w:r>
        <w:rPr>
          <w:rStyle w:val="VerbatimChar"/>
        </w:rPr>
        <w:t xml:space="preserve">r#</w:t>
      </w:r>
      <w:r>
        <w:t xml:space="preserve"> </w:t>
      </w:r>
      <w:r>
        <w:t xml:space="preserve">to be used as identifiers.</w:t>
      </w:r>
    </w:p>
    <w:bookmarkEnd w:id="263"/>
    <w:bookmarkStart w:id="264" w:name="b.17-sql-niles-mapping"/>
    <w:p>
      <w:pPr>
        <w:pStyle w:val="Heading2"/>
      </w:pPr>
      <w:r>
        <w:t xml:space="preserve">B.17 SQL ↔ Niles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SQL</w:t>
            </w:r>
          </w:p>
        </w:tc>
        <w:tc>
          <w:tcPr/>
          <w:p>
            <w:pPr>
              <w:pStyle w:val="Compact"/>
              <w:jc w:val="left"/>
            </w:pPr>
            <w:r>
              <w:t xml:space="preserve">Niles</w:t>
            </w:r>
          </w:p>
        </w:tc>
      </w:tr>
      <w:tr>
        <w:tc>
          <w:tcPr/>
          <w:p>
            <w:pPr>
              <w:pStyle w:val="Compact"/>
              <w:jc w:val="left"/>
            </w:pPr>
            <w:r>
              <w:rPr>
                <w:rStyle w:val="VerbatimChar"/>
              </w:rPr>
              <w:t xml:space="preserve">SELECT a,b FROM t WHERE p</w:t>
            </w:r>
          </w:p>
        </w:tc>
        <w:tc>
          <w:tcPr/>
          <w:p>
            <w:pPr>
              <w:pStyle w:val="Compact"/>
              <w:jc w:val="left"/>
            </w:pPr>
            <w:r>
              <w:rPr>
                <w:rStyle w:val="VerbatimChar"/>
              </w:rPr>
              <w:t xml:space="preserve">t.where(\|r\| p).map(\|r\| (r.a, r.b))</w:t>
            </w:r>
          </w:p>
        </w:tc>
      </w:tr>
      <w:tr>
        <w:tc>
          <w:tcPr/>
          <w:p>
            <w:pPr>
              <w:pStyle w:val="Compact"/>
              <w:jc w:val="left"/>
            </w:pPr>
            <w:r>
              <w:rPr>
                <w:rStyle w:val="VerbatimChar"/>
              </w:rPr>
              <w:t xml:space="preserve">GROUP BY k HAVING h</w:t>
            </w:r>
          </w:p>
        </w:tc>
        <w:tc>
          <w:tcPr/>
          <w:p>
            <w:pPr>
              <w:pStyle w:val="Compact"/>
              <w:jc w:val="left"/>
            </w:pPr>
            <w:r>
              <w:rPr>
                <w:rStyle w:val="VerbatimChar"/>
              </w:rPr>
              <w:t xml:space="preserve">.group_by(\|r\| k).having(\|g\| h)</w:t>
            </w:r>
          </w:p>
        </w:tc>
      </w:tr>
      <w:tr>
        <w:tc>
          <w:tcPr/>
          <w:p>
            <w:pPr>
              <w:pStyle w:val="Compact"/>
              <w:jc w:val="left"/>
            </w:pPr>
            <w:r>
              <w:rPr>
                <w:rStyle w:val="VerbatimChar"/>
              </w:rPr>
              <w:t xml:space="preserve">JOIN u ON c</w:t>
            </w:r>
          </w:p>
        </w:tc>
        <w:tc>
          <w:tcPr/>
          <w:p>
            <w:pPr>
              <w:pStyle w:val="Compact"/>
              <w:jc w:val="left"/>
            </w:pPr>
            <w:r>
              <w:rPr>
                <w:rStyle w:val="VerbatimChar"/>
              </w:rPr>
              <w:t xml:space="preserve">.join(u, \|t,u\| c)</w:t>
            </w:r>
          </w:p>
        </w:tc>
      </w:tr>
      <w:tr>
        <w:tc>
          <w:tcPr/>
          <w:p>
            <w:pPr>
              <w:pStyle w:val="Compact"/>
              <w:jc w:val="left"/>
            </w:pPr>
            <w:r>
              <w:rPr>
                <w:rStyle w:val="VerbatimChar"/>
              </w:rPr>
              <w:t xml:space="preserve">ORDER BY x DESC LIMIT n</w:t>
            </w:r>
          </w:p>
        </w:tc>
        <w:tc>
          <w:tcPr/>
          <w:p>
            <w:pPr>
              <w:pStyle w:val="Compact"/>
              <w:jc w:val="left"/>
            </w:pPr>
            <w:r>
              <w:rPr>
                <w:rStyle w:val="VerbatimChar"/>
              </w:rPr>
              <w:t xml:space="preserve">.order_by(\|r\| desc(r.x)).limit(n)</w:t>
            </w:r>
          </w:p>
        </w:tc>
      </w:tr>
      <w:tr>
        <w:tc>
          <w:tcPr/>
          <w:p>
            <w:pPr>
              <w:pStyle w:val="Compact"/>
              <w:jc w:val="left"/>
            </w:pPr>
            <w:r>
              <w:rPr>
                <w:rStyle w:val="VerbatimChar"/>
              </w:rPr>
              <w:t xml:space="preserve">WITH RECURSIVE</w:t>
            </w:r>
          </w:p>
        </w:tc>
        <w:tc>
          <w:tcPr/>
          <w:p>
            <w:pPr>
              <w:pStyle w:val="Compact"/>
              <w:jc w:val="left"/>
            </w:pPr>
            <w:r>
              <w:rPr>
                <w:rStyle w:val="VerbatimChar"/>
              </w:rPr>
              <w:t xml:space="preserve">.fixpoint(step) guard measure(m)</w:t>
            </w:r>
          </w:p>
        </w:tc>
      </w:tr>
      <w:tr>
        <w:tc>
          <w:tcPr/>
          <w:p>
            <w:pPr>
              <w:pStyle w:val="Compact"/>
              <w:jc w:val="left"/>
            </w:pPr>
            <w:r>
              <w:rPr>
                <w:rStyle w:val="VerbatimChar"/>
              </w:rPr>
              <w:t xml:space="preserve">CREATE MATERIALIZED VIEW</w:t>
            </w:r>
          </w:p>
        </w:tc>
        <w:tc>
          <w:tcPr/>
          <w:p>
            <w:pPr>
              <w:pStyle w:val="Compact"/>
              <w:jc w:val="left"/>
            </w:pPr>
            <w:r>
              <w:rPr>
                <w:rStyle w:val="VerbatimChar"/>
              </w:rPr>
              <w:t xml:space="preserve">view … serve { materialize: full }</w:t>
            </w:r>
          </w:p>
        </w:tc>
      </w:tr>
      <w:tr>
        <w:tc>
          <w:tcPr/>
          <w:p>
            <w:pPr>
              <w:pStyle w:val="Compact"/>
              <w:jc w:val="left"/>
            </w:pPr>
            <w:r>
              <w:rPr>
                <w:rStyle w:val="VerbatimChar"/>
              </w:rPr>
              <w:t xml:space="preserve">AS OF SYSTEM TIME</w:t>
            </w:r>
          </w:p>
        </w:tc>
        <w:tc>
          <w:tcPr/>
          <w:p>
            <w:pPr>
              <w:pStyle w:val="Compact"/>
              <w:jc w:val="left"/>
            </w:pPr>
            <w:r>
              <w:rPr>
                <w:rStyle w:val="VerbatimChar"/>
              </w:rPr>
              <w:t xml:space="preserve">.as_of(#e)</w:t>
            </w:r>
          </w:p>
        </w:tc>
      </w:tr>
      <w:tr>
        <w:tc>
          <w:tcPr/>
          <w:p>
            <w:pPr>
              <w:pStyle w:val="Compact"/>
              <w:jc w:val="left"/>
            </w:pPr>
            <w:r>
              <w:rPr>
                <w:rStyle w:val="VerbatimChar"/>
              </w:rPr>
              <w:t xml:space="preserve">FOR SYSTEM_TIME</w:t>
            </w:r>
            <w:r>
              <w:t xml:space="preserve"> </w:t>
            </w:r>
            <w:r>
              <w:t xml:space="preserve">/ period predicates</w:t>
            </w:r>
          </w:p>
        </w:tc>
        <w:tc>
          <w:tcPr/>
          <w:p>
            <w:pPr>
              <w:pStyle w:val="Compact"/>
              <w:jc w:val="left"/>
            </w:pPr>
            <w:r>
              <w:rPr>
                <w:rStyle w:val="VerbatimChar"/>
              </w:rPr>
              <w:t xml:space="preserve">.recorded_at</w:t>
            </w:r>
            <w:r>
              <w:t xml:space="preserve">,</w:t>
            </w:r>
            <w:r>
              <w:t xml:space="preserve"> </w:t>
            </w:r>
            <w:r>
              <w:rPr>
                <w:rStyle w:val="VerbatimChar"/>
              </w:rPr>
              <w:t xml:space="preserve">.valid_at</w:t>
            </w:r>
            <w:r>
              <w:t xml:space="preserve">,</w:t>
            </w:r>
            <w:r>
              <w:t xml:space="preserve"> </w:t>
            </w:r>
            <w:r>
              <w:rPr>
                <w:rStyle w:val="VerbatimChar"/>
              </w:rPr>
              <w:t xml:space="preserve">.bitemporal</w:t>
            </w:r>
          </w:p>
        </w:tc>
      </w:tr>
      <w:tr>
        <w:tc>
          <w:tcPr/>
          <w:p>
            <w:pPr>
              <w:pStyle w:val="Compact"/>
              <w:jc w:val="left"/>
            </w:pPr>
            <w:r>
              <w:rPr>
                <w:rStyle w:val="VerbatimChar"/>
              </w:rPr>
              <w:t xml:space="preserve">INSERT/UPDATE/DELETE</w:t>
            </w:r>
          </w:p>
        </w:tc>
        <w:tc>
          <w:tcPr/>
          <w:p>
            <w:pPr>
              <w:pStyle w:val="Compact"/>
              <w:jc w:val="left"/>
            </w:pPr>
            <w:r>
              <w:t xml:space="preserve">same, on</w:t>
            </w:r>
            <w:r>
              <w:t xml:space="preserve"> </w:t>
            </w:r>
            <w:r>
              <w:rPr>
                <w:rStyle w:val="VerbatimChar"/>
              </w:rPr>
              <w:t xml:space="preserve">table</w:t>
            </w:r>
            <w:r>
              <w:t xml:space="preserve"> </w:t>
            </w:r>
            <w:r>
              <w:t xml:space="preserve">only</w:t>
            </w:r>
          </w:p>
        </w:tc>
      </w:tr>
      <w:tr>
        <w:tc>
          <w:tcPr/>
          <w:p>
            <w:pPr>
              <w:pStyle w:val="Compact"/>
              <w:jc w:val="left"/>
            </w:pPr>
            <w:r>
              <w:rPr>
                <w:rStyle w:val="VerbatimChar"/>
              </w:rPr>
              <w:t xml:space="preserve">BEGIN/COMMIT</w:t>
            </w:r>
          </w:p>
        </w:tc>
        <w:tc>
          <w:tcPr/>
          <w:p>
            <w:pPr>
              <w:pStyle w:val="Compact"/>
              <w:jc w:val="left"/>
            </w:pPr>
            <w:r>
              <w:rPr>
                <w:rStyle w:val="VerbatimChar"/>
              </w:rPr>
              <w:t xml:space="preserve">txn { … }</w:t>
            </w:r>
            <w:r>
              <w:t xml:space="preserve"> </w:t>
            </w:r>
            <w:r>
              <w:t xml:space="preserve">(base) /</w:t>
            </w:r>
            <w:r>
              <w:t xml:space="preserve"> </w:t>
            </w:r>
            <w:r>
              <w:rPr>
                <w:rStyle w:val="VerbatimChar"/>
              </w:rPr>
              <w:t xml:space="preserve">begin…commit</w:t>
            </w:r>
            <w:r>
              <w:t xml:space="preserve"> </w:t>
            </w:r>
            <w:r>
              <w:t xml:space="preserve">(table)</w:t>
            </w:r>
          </w:p>
        </w:tc>
      </w:tr>
      <w:tr>
        <w:tc>
          <w:tcPr/>
          <w:p>
            <w:pPr>
              <w:pStyle w:val="Compact"/>
              <w:jc w:val="left"/>
            </w:pPr>
            <w:r>
              <w:rPr>
                <w:iCs/>
                <w:i/>
              </w:rPr>
              <w:t xml:space="preserve">(no equivalent)</w:t>
            </w:r>
          </w:p>
        </w:tc>
        <w:tc>
          <w:tcPr/>
          <w:p>
            <w:pPr>
              <w:pStyle w:val="Compact"/>
              <w:jc w:val="left"/>
            </w:pPr>
            <w:r>
              <w:rPr>
                <w:rStyle w:val="VerbatimChar"/>
              </w:rPr>
              <w:t xml:space="preserve">serve</w:t>
            </w:r>
            <w:r>
              <w:t xml:space="preserve"> </w:t>
            </w:r>
            <w:r>
              <w:t xml:space="preserve">contracts,</w:t>
            </w:r>
            <w:r>
              <w:t xml:space="preserve"> </w:t>
            </w:r>
            <w:r>
              <w:rPr>
                <w:rStyle w:val="VerbatimChar"/>
              </w:rPr>
              <w:t xml:space="preserve">Money&lt;CUR&gt;</w:t>
            </w:r>
            <w:r>
              <w:t xml:space="preserve">,</w:t>
            </w:r>
            <w:r>
              <w:t xml:space="preserve"> </w:t>
            </w:r>
            <w:r>
              <w:rPr>
                <w:rStyle w:val="VerbatimChar"/>
              </w:rPr>
              <w:t xml:space="preserve">conserve</w:t>
            </w:r>
            <w:r>
              <w:t xml:space="preserve">,</w:t>
            </w:r>
            <w:r>
              <w:t xml:space="preserve"> </w:t>
            </w:r>
            <w:r>
              <w:rPr>
                <w:rStyle w:val="VerbatimChar"/>
              </w:rPr>
              <w:t xml:space="preserve">hold</w:t>
            </w:r>
            <w:r>
              <w:t xml:space="preserve">/</w:t>
            </w:r>
            <w:r>
              <w:rPr>
                <w:rStyle w:val="VerbatimChar"/>
              </w:rPr>
              <w:t xml:space="preserve">resolve</w:t>
            </w:r>
            <w:r>
              <w:t xml:space="preserve">,</w:t>
            </w:r>
            <w:r>
              <w:t xml:space="preserve"> </w:t>
            </w:r>
            <w:r>
              <w:rPr>
                <w:rStyle w:val="VerbatimChar"/>
              </w:rPr>
              <w:t xml:space="preserve">Auth</w:t>
            </w:r>
            <w:r>
              <w:t xml:space="preserve">,</w:t>
            </w:r>
            <w:r>
              <w:t xml:space="preserve"> </w:t>
            </w:r>
            <w:r>
              <w:rPr>
                <w:rStyle w:val="VerbatimChar"/>
              </w:rPr>
              <w:t xml:space="preserve">@confidential</w:t>
            </w:r>
            <w:r>
              <w:t xml:space="preserve">,</w:t>
            </w:r>
            <w:r>
              <w:t xml:space="preserve"> </w:t>
            </w:r>
            <w:r>
              <w:rPr>
                <w:rStyle w:val="VerbatimChar"/>
              </w:rPr>
              <w:t xml:space="preserve">idem</w:t>
            </w:r>
            <w:r>
              <w:t xml:space="preserve">,</w:t>
            </w:r>
            <w:r>
              <w:t xml:space="preserve"> </w:t>
            </w:r>
            <w:r>
              <w:rPr>
                <w:rStyle w:val="VerbatimChar"/>
              </w:rPr>
              <w:t xml:space="preserve">materialize</w:t>
            </w:r>
            <w:r>
              <w:t xml:space="preserve">,</w:t>
            </w:r>
            <w:r>
              <w:t xml:space="preserve"> </w:t>
            </w:r>
            <w:r>
              <w:rPr>
                <w:rStyle w:val="VerbatimChar"/>
              </w:rPr>
              <w:t xml:space="preserve">lineage</w:t>
            </w:r>
          </w:p>
        </w:tc>
      </w:tr>
    </w:tbl>
    <w:bookmarkEnd w:id="264"/>
    <w:bookmarkStart w:id="265" w:name="b.18-niles-rust-mapping-and-novel-forms"/>
    <w:p>
      <w:pPr>
        <w:pStyle w:val="Heading2"/>
      </w:pPr>
      <w:r>
        <w:t xml:space="preserve">B.18 Niles ↔ Rust Mapping and Novel Forms</w:t>
      </w:r>
    </w:p>
    <w:p>
      <w:pPr>
        <w:pStyle w:val="FirstParagraph"/>
      </w:pPr>
      <w:r>
        <w:t xml:space="preserve">Identical to Rust: items, expressions, patterns, generics, traits, modules, closures,</w:t>
      </w:r>
      <w:r>
        <w:t xml:space="preserve"> </w:t>
      </w:r>
      <w:r>
        <w:rPr>
          <w:rStyle w:val="VerbatimChar"/>
        </w:rPr>
        <w:t xml:space="preserve">Result</w:t>
      </w:r>
      <w:r>
        <w:t xml:space="preserve">/</w:t>
      </w:r>
      <w:r>
        <w:rPr>
          <w:rStyle w:val="VerbatimChar"/>
        </w:rPr>
        <w:t xml:space="preserve">?</w:t>
      </w:r>
      <w:r>
        <w:t xml:space="preserve">. Restricted: no raw pointers, no</w:t>
      </w:r>
      <w:r>
        <w:t xml:space="preserve"> </w:t>
      </w:r>
      <w:r>
        <w:rPr>
          <w:rStyle w:val="VerbatimChar"/>
        </w:rPr>
        <w:t xml:space="preserve">unsafe</w:t>
      </w:r>
      <w:r>
        <w:t xml:space="preserve">, no ambient I/O or clock in query and transaction context, guarded recursion only. Novel beyond Rust:</w:t>
      </w:r>
      <w:r>
        <w:t xml:space="preserve"> </w:t>
      </w:r>
      <w:r>
        <w:rPr>
          <w:rStyle w:val="VerbatimChar"/>
        </w:rPr>
        <w:t xml:space="preserve">schema/table/base/ledger/view/serve</w:t>
      </w:r>
      <w:r>
        <w:t xml:space="preserve">, pipelines as queries, money/temporal/epoch/idempotency literals, effect rows, linear</w:t>
      </w:r>
      <w:r>
        <w:t xml:space="preserve"> </w:t>
      </w:r>
      <w:r>
        <w:rPr>
          <w:rStyle w:val="VerbatimChar"/>
        </w:rPr>
        <w:t xml:space="preserve">Debit</w:t>
      </w:r>
      <w:r>
        <w:t xml:space="preserve">/</w:t>
      </w:r>
      <w:r>
        <w:rPr>
          <w:rStyle w:val="VerbatimChar"/>
        </w:rPr>
        <w:t xml:space="preserve">Credit</w:t>
      </w:r>
      <w:r>
        <w:t xml:space="preserve">/</w:t>
      </w:r>
      <w:r>
        <w:rPr>
          <w:rStyle w:val="VerbatimChar"/>
        </w:rPr>
        <w:t xml:space="preserve">Hold</w:t>
      </w:r>
      <w:r>
        <w:t xml:space="preserve">,</w:t>
      </w:r>
      <w:r>
        <w:t xml:space="preserve"> </w:t>
      </w:r>
      <w:r>
        <w:rPr>
          <w:rStyle w:val="VerbatimChar"/>
        </w:rPr>
        <w:t xml:space="preserve">txn</w:t>
      </w:r>
      <w:r>
        <w:t xml:space="preserve">,</w:t>
      </w:r>
      <w:r>
        <w:t xml:space="preserve"> </w:t>
      </w:r>
      <w:r>
        <w:rPr>
          <w:rStyle w:val="VerbatimChar"/>
        </w:rPr>
        <w:t xml:space="preserve">fx</w:t>
      </w:r>
      <w:r>
        <w:t xml:space="preserve">, capabilities, confidentiality and lineage annotations.</w:t>
      </w:r>
    </w:p>
    <w:bookmarkEnd w:id="265"/>
    <w:bookmarkStart w:id="266" w:name="b.19-keyword-reference"/>
    <w:p>
      <w:pPr>
        <w:pStyle w:val="Heading2"/>
      </w:pPr>
      <w:r>
        <w:t xml:space="preserve">B.19 Keyword Reference</w:t>
      </w:r>
    </w:p>
    <w:p>
      <w:pPr>
        <w:pStyle w:val="FirstParagraph"/>
      </w:pPr>
      <w:r>
        <w:t xml:space="preserve">The normative per-keyword reference — one entry per keyword with a description and a minimal compiling sample, in three tables (SQL-derived, Rust-derived, novel) — is generated from the compiler’s keyword registry into</w:t>
      </w:r>
      <w:r>
        <w:t xml:space="preserve"> </w:t>
      </w:r>
      <w:r>
        <w:rPr>
          <w:rStyle w:val="VerbatimChar"/>
        </w:rPr>
        <w:t xml:space="preserve">docs/keywords.md</w:t>
      </w:r>
      <w:r>
        <w:t xml:space="preserve">, so it cannot drift from the implementation.</w:t>
      </w:r>
    </w:p>
    <w:p>
      <w:pPr>
        <w:pStyle w:val="BodyText"/>
      </w:pPr>
      <w:r>
        <w:t xml:space="preserve">The registry is</w:t>
      </w:r>
      <w:r>
        <w:t xml:space="preserve"> </w:t>
      </w:r>
      <w:r>
        <w:rPr>
          <w:rStyle w:val="VerbatimChar"/>
        </w:rPr>
        <w:t xml:space="preserve">crates/niles-lang/src/keywords.rs</w:t>
      </w:r>
      <w:r>
        <w:t xml:space="preserve">, and it is the direct analogue of PostgreSQL’s</w:t>
      </w:r>
      <w:r>
        <w:t xml:space="preserve"> </w:t>
      </w:r>
      <w:r>
        <w:rPr>
          <w:rStyle w:val="VerbatimChar"/>
        </w:rPr>
        <w:t xml:space="preserve">kwlist.h</w:t>
      </w:r>
      <w:r>
        <w:t xml:space="preserve">: one table, no logic, consumed by whoever needs it. PostgreSQL keeps its keyword lists</w:t>
      </w:r>
      <w:r>
        <w:t xml:space="preserve"> </w:t>
      </w:r>
      <w:r>
        <w:t xml:space="preserve">“</w:t>
      </w:r>
      <w:r>
        <w:t xml:space="preserve">in their own source files for use by automatic tools</w:t>
      </w:r>
      <w:r>
        <w:t xml:space="preserve">”</w:t>
      </w:r>
      <w:r>
        <w:t xml:space="preserve"> </w:t>
      </w:r>
      <w:r>
        <w:t xml:space="preserve">and generates from that one table the perfect-hash lookup, the parser’s token declarations</w:t>
      </w:r>
      <w:r>
        <w:t xml:space="preserve"> </w:t>
      </w:r>
      <w:r>
        <w:rPr>
          <w:iCs/>
          <w:i/>
        </w:rPr>
        <w:t xml:space="preserve">and</w:t>
      </w:r>
      <w:r>
        <w:t xml:space="preserve"> </w:t>
      </w:r>
      <w:r>
        <w:t xml:space="preserve">the documentation, so that none of the three can drift from the others. Niles copies the discipline and carries four axes rather than PostgreSQL’s two. The first two are PostgreSQL’s own and are orthogonal: a</w:t>
      </w:r>
      <w:r>
        <w:t xml:space="preserve"> </w:t>
      </w:r>
      <w:r>
        <w:rPr>
          <w:bCs/>
          <w:b/>
        </w:rPr>
        <w:t xml:space="preserve">category</w:t>
      </w:r>
      <w:r>
        <w:t xml:space="preserve"> </w:t>
      </w:r>
      <w:r>
        <w:t xml:space="preserve">(</w:t>
      </w:r>
      <w:r>
        <w:rPr>
          <w:rStyle w:val="VerbatimChar"/>
        </w:rPr>
        <w:t xml:space="preserve">unreserved</w:t>
      </w:r>
      <w:r>
        <w:t xml:space="preserve">,</w:t>
      </w:r>
      <w:r>
        <w:t xml:space="preserve"> </w:t>
      </w:r>
      <w:r>
        <w:rPr>
          <w:rStyle w:val="VerbatimChar"/>
        </w:rPr>
        <w:t xml:space="preserve">non-reserved-cannot-be-function-or-type-name</w:t>
      </w:r>
      <w:r>
        <w:t xml:space="preserve">,</w:t>
      </w:r>
      <w:r>
        <w:t xml:space="preserve"> </w:t>
      </w:r>
      <w:r>
        <w:rPr>
          <w:rStyle w:val="VerbatimChar"/>
        </w:rPr>
        <w:t xml:space="preserve">reserved-can-be-function-or-type-name</w:t>
      </w:r>
      <w:r>
        <w:t xml:space="preserve">,</w:t>
      </w:r>
      <w:r>
        <w:t xml:space="preserve"> </w:t>
      </w:r>
      <w:r>
        <w:rPr>
          <w:rStyle w:val="VerbatimChar"/>
        </w:rPr>
        <w:t xml:space="preserve">reserved</w:t>
      </w:r>
      <w:r>
        <w:t xml:space="preserve">, plus</w:t>
      </w:r>
      <w:r>
        <w:t xml:space="preserve"> </w:t>
      </w:r>
      <w:r>
        <w:rPr>
          <w:rStyle w:val="VerbatimChar"/>
        </w:rPr>
        <w:t xml:space="preserve">reserved-for-future</w:t>
      </w:r>
      <w:r>
        <w:t xml:space="preserve">) and a</w:t>
      </w:r>
      <w:r>
        <w:t xml:space="preserve"> </w:t>
      </w:r>
      <w:r>
        <w:rPr>
          <w:bCs/>
          <w:b/>
        </w:rPr>
        <w:t xml:space="preserve">label status</w:t>
      </w:r>
      <w:r>
        <w:t xml:space="preserve">, recording whether the word may be a bare output label without</w:t>
      </w:r>
      <w:r>
        <w:t xml:space="preserve"> </w:t>
      </w:r>
      <w:r>
        <w:rPr>
          <w:rStyle w:val="VerbatimChar"/>
        </w:rPr>
        <w:t xml:space="preserve">as</w:t>
      </w:r>
      <w:r>
        <w:t xml:space="preserve"> </w:t>
      </w:r>
      <w:r>
        <w:t xml:space="preserve">—</w:t>
      </w:r>
      <w:r>
        <w:t xml:space="preserve"> </w:t>
      </w:r>
      <w:r>
        <w:rPr>
          <w:rStyle w:val="VerbatimChar"/>
        </w:rPr>
        <w:t xml:space="preserve">select 55 check</w:t>
      </w:r>
      <w:r>
        <w:t xml:space="preserve"> </w:t>
      </w:r>
      <w:r>
        <w:t xml:space="preserve">is legal,</w:t>
      </w:r>
      <w:r>
        <w:t xml:space="preserve"> </w:t>
      </w:r>
      <w:r>
        <w:rPr>
          <w:rStyle w:val="VerbatimChar"/>
        </w:rPr>
        <w:t xml:space="preserve">select 55 as from</w:t>
      </w:r>
      <w:r>
        <w:t xml:space="preserve"> </w:t>
      </w:r>
      <w:r>
        <w:t xml:space="preserve">is required. The two Niles adds are what this thesis needs:</w:t>
      </w:r>
      <w:r>
        <w:t xml:space="preserve"> </w:t>
      </w:r>
      <w:r>
        <w:rPr>
          <w:bCs/>
          <w:b/>
        </w:rPr>
        <w:t xml:space="preserve">origin</w:t>
      </w:r>
      <w:r>
        <w:t xml:space="preserve"> </w:t>
      </w:r>
      <w:r>
        <w:t xml:space="preserve">(SQL-derived, Rust-derived, novel), which generates the three sub-tables of B.3 mechanically rather than by hand, and</w:t>
      </w:r>
      <w:r>
        <w:t xml:space="preserve"> </w:t>
      </w:r>
      <w:r>
        <w:rPr>
          <w:bCs/>
          <w:b/>
        </w:rPr>
        <w:t xml:space="preserve">edition</w:t>
      </w:r>
      <w:r>
        <w:t xml:space="preserve">, which makes the syntax-lineage rule of §6.25 enforceable instead of aspirational, since a word’s edition records when it entered the language and therefore which programs a later addition may break.</w:t>
      </w:r>
    </w:p>
    <w:p>
      <w:pPr>
        <w:pStyle w:val="BodyText"/>
      </w:pPr>
      <w:r>
        <w:t xml:space="preserve">The registry holds</w:t>
      </w:r>
      <w:r>
        <w:t xml:space="preserve"> </w:t>
      </w:r>
      <w:r>
        <w:rPr>
          <w:bCs/>
          <w:b/>
        </w:rPr>
        <w:t xml:space="preserve">174 keywords</w:t>
      </w:r>
      <w:r>
        <w:t xml:space="preserve">: 70 SQL-derived, 31 Rust-derived, 66 novel and 7 reserved for future use. Of these, 95 are unreserved and 66 are reserved. Those figures are asserted by</w:t>
      </w:r>
      <w:r>
        <w:t xml:space="preserve"> </w:t>
      </w:r>
      <w:r>
        <w:rPr>
          <w:rStyle w:val="VerbatimChar"/>
        </w:rPr>
        <w:t xml:space="preserve">tests/grammar_drift.rs</w:t>
      </w:r>
      <w:r>
        <w:t xml:space="preserve">, so a keyword added without updating this paragraph fails the build.</w:t>
      </w:r>
    </w:p>
    <w:p>
      <w:pPr>
        <w:pStyle w:val="BodyText"/>
      </w:pPr>
      <w:r>
        <w:rPr>
          <w:bCs/>
          <w:b/>
        </w:rPr>
        <w:t xml:space="preserve">The reservation policy, and why the numbers matter.</w:t>
      </w:r>
      <w:r>
        <w:t xml:space="preserve"> </w:t>
      </w:r>
      <w:r>
        <w:t xml:space="preserve">Reserved-word count is a function of parser technology, not of vocabulary size. SQL reserves heavily in part because an LALR(1) grammar cannot resolve context-dependent identifier/keyword ambiguity, so words are reserved to remove conflicts. Niles’s parser is hand-written recursive descent with unbounded lookahead, which buys the freedom to keep a word meaningful in its clause and ordinary everywhere else. The policy that follows is written into the registry:</w:t>
      </w:r>
      <w:r>
        <w:t xml:space="preserve"> </w:t>
      </w:r>
      <w:r>
        <w:rPr>
          <w:iCs/>
          <w:i/>
        </w:rPr>
        <w:t xml:space="preserve">a new keyword is unreserved unless a written justification records why the grammar cannot be written without reserving it</w:t>
      </w:r>
      <w:r>
        <w:t xml:space="preserve">, and a test fails if a novel keyword is reserved without one. The measured result is that</w:t>
      </w:r>
      <w:r>
        <w:t xml:space="preserve"> </w:t>
      </w:r>
      <w:r>
        <w:rPr>
          <w:bCs/>
          <w:b/>
        </w:rPr>
        <w:t xml:space="preserve">all 66 novel keywords are unreserved</w:t>
      </w:r>
      <w:r>
        <w:t xml:space="preserve">. This is not a stylistic preference. Niles is meant to be adopted against schemas that already exist, and a bank’s ledger table is very likely to have columns called</w:t>
      </w:r>
      <w:r>
        <w:t xml:space="preserve"> </w:t>
      </w:r>
      <w:r>
        <w:rPr>
          <w:rStyle w:val="VerbatimChar"/>
        </w:rPr>
        <w:t xml:space="preserve">epoch</w:t>
      </w:r>
      <w:r>
        <w:t xml:space="preserve">,</w:t>
      </w:r>
      <w:r>
        <w:t xml:space="preserve"> </w:t>
      </w:r>
      <w:r>
        <w:rPr>
          <w:rStyle w:val="VerbatimChar"/>
        </w:rPr>
        <w:t xml:space="preserve">ledger</w:t>
      </w:r>
      <w:r>
        <w:t xml:space="preserve">,</w:t>
      </w:r>
      <w:r>
        <w:t xml:space="preserve"> </w:t>
      </w:r>
      <w:r>
        <w:rPr>
          <w:rStyle w:val="VerbatimChar"/>
        </w:rPr>
        <w:t xml:space="preserve">posted</w:t>
      </w:r>
      <w:r>
        <w:t xml:space="preserve">,</w:t>
      </w:r>
      <w:r>
        <w:t xml:space="preserve"> </w:t>
      </w:r>
      <w:r>
        <w:rPr>
          <w:rStyle w:val="VerbatimChar"/>
        </w:rPr>
        <w:t xml:space="preserve">valid</w:t>
      </w:r>
      <w:r>
        <w:t xml:space="preserve">,</w:t>
      </w:r>
      <w:r>
        <w:t xml:space="preserve"> </w:t>
      </w:r>
      <w:r>
        <w:rPr>
          <w:rStyle w:val="VerbatimChar"/>
        </w:rPr>
        <w:t xml:space="preserve">serve</w:t>
      </w:r>
      <w:r>
        <w:t xml:space="preserve">,</w:t>
      </w:r>
      <w:r>
        <w:t xml:space="preserve"> </w:t>
      </w:r>
      <w:r>
        <w:rPr>
          <w:rStyle w:val="VerbatimChar"/>
        </w:rPr>
        <w:t xml:space="preserve">budget</w:t>
      </w:r>
      <w:r>
        <w:t xml:space="preserve"> </w:t>
      </w:r>
      <w:r>
        <w:t xml:space="preserve">or</w:t>
      </w:r>
      <w:r>
        <w:t xml:space="preserve"> </w:t>
      </w:r>
      <w:r>
        <w:rPr>
          <w:rStyle w:val="VerbatimChar"/>
        </w:rPr>
        <w:t xml:space="preserve">scale</w:t>
      </w:r>
      <w:r>
        <w:t xml:space="preserve">. Reserving those would mean a migration renames columns before it can begin, and the reserved set is the single most under-examined adoption cost a new query language imposes. Two further mechanisms soften what remains: any word at all is usable as an identifier under the raw escape</w:t>
      </w:r>
      <w:r>
        <w:t xml:space="preserve"> </w:t>
      </w:r>
      <w:r>
        <w:rPr>
          <w:rStyle w:val="VerbatimChar"/>
        </w:rPr>
        <w:t xml:space="preserve">r#word</w:t>
      </w:r>
      <w:r>
        <w:t xml:space="preserve">, and in</w:t>
      </w:r>
      <w:r>
        <w:t xml:space="preserve"> </w:t>
      </w:r>
      <w:r>
        <w:rPr>
          <w:iCs/>
          <w:i/>
        </w:rPr>
        <w:t xml:space="preserve">member position</w:t>
      </w:r>
      <w:r>
        <w:t xml:space="preserve"> </w:t>
      </w:r>
      <w:r>
        <w:t xml:space="preserve">— after</w:t>
      </w:r>
      <w:r>
        <w:t xml:space="preserve"> </w:t>
      </w:r>
      <w:r>
        <w:rPr>
          <w:rStyle w:val="VerbatimChar"/>
        </w:rPr>
        <w:t xml:space="preserve">.</w:t>
      </w:r>
      <w:r>
        <w:t xml:space="preserve"> </w:t>
      </w:r>
      <w:r>
        <w:t xml:space="preserve">or</w:t>
      </w:r>
      <w:r>
        <w:t xml:space="preserve"> </w:t>
      </w:r>
      <w:r>
        <w:rPr>
          <w:rStyle w:val="VerbatimChar"/>
        </w:rPr>
        <w:t xml:space="preserve">|&gt;</w:t>
      </w:r>
      <w:r>
        <w:t xml:space="preserve">, and as a struct-literal field — every keyword is legal without escape, because those positions have exactly one reading. That is why</w:t>
      </w:r>
      <w:r>
        <w:t xml:space="preserve"> </w:t>
      </w:r>
      <w:r>
        <w:rPr>
          <w:rStyle w:val="VerbatimChar"/>
        </w:rPr>
        <w:t xml:space="preserve">p.where(..)</w:t>
      </w:r>
      <w:r>
        <w:t xml:space="preserve">,</w:t>
      </w:r>
      <w:r>
        <w:t xml:space="preserve"> </w:t>
      </w:r>
      <w:r>
        <w:rPr>
          <w:rStyle w:val="VerbatimChar"/>
        </w:rPr>
        <w:t xml:space="preserve">p.order</w:t>
      </w:r>
      <w:r>
        <w:t xml:space="preserve">,</w:t>
      </w:r>
      <w:r>
        <w:t xml:space="preserve"> </w:t>
      </w:r>
      <w:r>
        <w:rPr>
          <w:rStyle w:val="VerbatimChar"/>
        </w:rPr>
        <w:t xml:space="preserve">p.select</w:t>
      </w:r>
      <w:r>
        <w:t xml:space="preserve"> </w:t>
      </w:r>
      <w:r>
        <w:t xml:space="preserve">and</w:t>
      </w:r>
      <w:r>
        <w:t xml:space="preserve"> </w:t>
      </w:r>
      <w:r>
        <w:rPr>
          <w:rStyle w:val="VerbatimChar"/>
        </w:rPr>
        <w:t xml:space="preserve">p.check</w:t>
      </w:r>
      <w:r>
        <w:t xml:space="preserve"> </w:t>
      </w:r>
      <w:r>
        <w:t xml:space="preserve">all parse.</w:t>
      </w:r>
    </w:p>
    <w:p>
      <w:pPr>
        <w:pStyle w:val="BodyText"/>
      </w:pPr>
      <w:r>
        <w:t xml:space="preserve">Representative entries:</w:t>
      </w:r>
    </w:p>
    <w:p>
      <w:pPr>
        <w:numPr>
          <w:ilvl w:val="0"/>
          <w:numId w:val="1026"/>
        </w:numPr>
        <w:pStyle w:val="Compact"/>
      </w:pPr>
      <w:r>
        <w:rPr>
          <w:rStyle w:val="VerbatimChar"/>
        </w:rPr>
        <w:t xml:space="preserve">ledger</w:t>
      </w:r>
      <w:r>
        <w:t xml:space="preserve"> </w:t>
      </w:r>
      <w:r>
        <w:t xml:space="preserve">— append-only conserved base.</w:t>
      </w:r>
      <w:r>
        <w:t xml:space="preserve"> </w:t>
      </w:r>
      <w:r>
        <w:rPr>
          <w:rStyle w:val="VerbatimChar"/>
        </w:rPr>
        <w:t xml:space="preserve">ledger p { txn: TxnId, acct: Id&lt;A&gt;, cur: Currency, amt: Money, conserve per (txn,cur); retain forever; }</w:t>
      </w:r>
    </w:p>
    <w:p>
      <w:pPr>
        <w:numPr>
          <w:ilvl w:val="0"/>
          <w:numId w:val="1026"/>
        </w:numPr>
        <w:pStyle w:val="Compact"/>
      </w:pPr>
      <w:r>
        <w:rPr>
          <w:rStyle w:val="VerbatimChar"/>
        </w:rPr>
        <w:t xml:space="preserve">serve</w:t>
      </w:r>
      <w:r>
        <w:t xml:space="preserve"> </w:t>
      </w:r>
      <w:r>
        <w:t xml:space="preserve">— attach a contract.</w:t>
      </w:r>
      <w:r>
        <w:t xml:space="preserve"> </w:t>
      </w:r>
      <w:r>
        <w:rPr>
          <w:rStyle w:val="VerbatimChar"/>
        </w:rPr>
        <w:t xml:space="preserve">view v = q serve { consistency: snapshot, materialize: auto, retain: evictable };</w:t>
      </w:r>
    </w:p>
    <w:p>
      <w:pPr>
        <w:numPr>
          <w:ilvl w:val="0"/>
          <w:numId w:val="1026"/>
        </w:numPr>
        <w:pStyle w:val="Compact"/>
      </w:pPr>
      <w:r>
        <w:rPr>
          <w:rStyle w:val="VerbatimChar"/>
        </w:rPr>
        <w:t xml:space="preserve">materialize</w:t>
      </w:r>
      <w:r>
        <w:t xml:space="preserve"> </w:t>
      </w:r>
      <w:r>
        <w:t xml:space="preserve">— mode hint or delegation.</w:t>
      </w:r>
      <w:r>
        <w:t xml:space="preserve"> </w:t>
      </w:r>
      <w:r>
        <w:rPr>
          <w:rStyle w:val="VerbatimChar"/>
        </w:rPr>
        <w:t xml:space="preserve">serve { materialize: tiered }</w:t>
      </w:r>
    </w:p>
    <w:p>
      <w:pPr>
        <w:numPr>
          <w:ilvl w:val="0"/>
          <w:numId w:val="1026"/>
        </w:numPr>
        <w:pStyle w:val="Compact"/>
      </w:pPr>
      <w:r>
        <w:rPr>
          <w:rStyle w:val="VerbatimChar"/>
        </w:rPr>
        <w:t xml:space="preserve">hold</w:t>
      </w:r>
      <w:r>
        <w:t xml:space="preserve"> </w:t>
      </w:r>
      <w:r>
        <w:t xml:space="preserve">/</w:t>
      </w:r>
      <w:r>
        <w:t xml:space="preserve"> </w:t>
      </w:r>
      <w:r>
        <w:rPr>
          <w:rStyle w:val="VerbatimChar"/>
        </w:rPr>
        <w:t xml:space="preserve">resolve</w:t>
      </w:r>
      <w:r>
        <w:t xml:space="preserve"> </w:t>
      </w:r>
      <w:r>
        <w:t xml:space="preserve">— reservations as ledger facts.</w:t>
      </w:r>
      <w:r>
        <w:t xml:space="preserve"> </w:t>
      </w:r>
      <w:r>
        <w:rPr>
          <w:rStyle w:val="VerbatimChar"/>
        </w:rPr>
        <w:t xml:space="preserve">let h = hold(acct, 20.00 usd, expires: 7.days, None)?; resolve h post 18.50 usd</w:t>
      </w:r>
    </w:p>
    <w:p>
      <w:pPr>
        <w:numPr>
          <w:ilvl w:val="0"/>
          <w:numId w:val="1026"/>
        </w:numPr>
        <w:pStyle w:val="Compact"/>
      </w:pPr>
      <w:r>
        <w:rPr>
          <w:rStyle w:val="VerbatimChar"/>
        </w:rPr>
        <w:t xml:space="preserve">anchor</w:t>
      </w:r>
      <w:r>
        <w:t xml:space="preserve"> </w:t>
      </w:r>
      <w:r>
        <w:t xml:space="preserve">— the stamp.</w:t>
      </w:r>
      <w:r>
        <w:t xml:space="preserve"> </w:t>
      </w:r>
      <w:r>
        <w:rPr>
          <w:rStyle w:val="VerbatimChar"/>
        </w:rPr>
        <w:t xml:space="preserve">let e = balances.get(k)?.anchor;</w:t>
      </w:r>
    </w:p>
    <w:p>
      <w:pPr>
        <w:numPr>
          <w:ilvl w:val="0"/>
          <w:numId w:val="1026"/>
        </w:numPr>
        <w:pStyle w:val="Compact"/>
      </w:pPr>
      <w:r>
        <w:rPr>
          <w:rStyle w:val="VerbatimChar"/>
        </w:rPr>
        <w:t xml:space="preserve">fx</w:t>
      </w:r>
      <w:r>
        <w:t xml:space="preserve"> </w:t>
      </w:r>
      <w:r>
        <w:t xml:space="preserve">— atomic two-currency form.</w:t>
      </w:r>
      <w:r>
        <w:t xml:space="preserve"> </w:t>
      </w:r>
      <w:r>
        <w:rPr>
          <w:rStyle w:val="VerbatimChar"/>
        </w:rPr>
        <w:t xml:space="preserve">fx { leg a: post(d_usd, c_usd), leg b: post(d_mxn, c_mxn), rate: r }</w:t>
      </w:r>
    </w:p>
    <w:p>
      <w:pPr>
        <w:numPr>
          <w:ilvl w:val="0"/>
          <w:numId w:val="1026"/>
        </w:numPr>
        <w:pStyle w:val="Compact"/>
      </w:pPr>
      <w:r>
        <w:rPr>
          <w:rStyle w:val="VerbatimChar"/>
        </w:rPr>
        <w:t xml:space="preserve">guard</w:t>
      </w:r>
      <w:r>
        <w:t xml:space="preserve"> </w:t>
      </w:r>
      <w:r>
        <w:t xml:space="preserve">— well-founded recursion.</w:t>
      </w:r>
      <w:r>
        <w:t xml:space="preserve"> </w:t>
      </w:r>
      <w:r>
        <w:rPr>
          <w:rStyle w:val="VerbatimChar"/>
        </w:rPr>
        <w:t xml:space="preserve">view reach = edges.fixpoint(step) guard measure(depth);</w:t>
      </w:r>
    </w:p>
    <w:p>
      <w:pPr>
        <w:numPr>
          <w:ilvl w:val="0"/>
          <w:numId w:val="1026"/>
        </w:numPr>
        <w:pStyle w:val="Compact"/>
      </w:pPr>
      <w:r>
        <w:rPr>
          <w:rStyle w:val="VerbatimChar"/>
        </w:rPr>
        <w:t xml:space="preserve">lineage</w:t>
      </w:r>
      <w:r>
        <w:t xml:space="preserve"> </w:t>
      </w:r>
      <w:r>
        <w:t xml:space="preserve">— provenance mode.</w:t>
      </w:r>
      <w:r>
        <w:t xml:space="preserve"> </w:t>
      </w:r>
      <w:r>
        <w:rPr>
          <w:rStyle w:val="VerbatimChar"/>
        </w:rPr>
        <w:t xml:space="preserve">serve { lineage: full }</w:t>
      </w:r>
    </w:p>
    <w:p>
      <w:pPr>
        <w:numPr>
          <w:ilvl w:val="0"/>
          <w:numId w:val="1026"/>
        </w:numPr>
        <w:pStyle w:val="Compact"/>
      </w:pPr>
      <w:r>
        <w:rPr>
          <w:rStyle w:val="VerbatimChar"/>
        </w:rPr>
        <w:t xml:space="preserve">explain</w:t>
      </w:r>
      <w:r>
        <w:t xml:space="preserve"> </w:t>
      </w:r>
      <w:r>
        <w:t xml:space="preserve">— derivation of an answer.</w:t>
      </w:r>
      <w:r>
        <w:t xml:space="preserve"> </w:t>
      </w:r>
      <w:r>
        <w:rPr>
          <w:rStyle w:val="VerbatimChar"/>
        </w:rPr>
        <w:t xml:space="preserve">explain balances.get(k)?;</w:t>
      </w:r>
    </w:p>
    <w:bookmarkEnd w:id="266"/>
    <w:bookmarkStart w:id="267" w:name="b.20-a-complete-worked-program"/>
    <w:p>
      <w:pPr>
        <w:pStyle w:val="Heading2"/>
      </w:pPr>
      <w:r>
        <w:t xml:space="preserve">B.20 A Complete Worked Program</w:t>
      </w:r>
    </w:p>
    <w:p>
      <w:pPr>
        <w:pStyle w:val="SourceCode"/>
      </w:pPr>
      <w:r>
        <w:rPr>
          <w:rStyle w:val="VerbatimChar"/>
        </w:rPr>
        <w:t xml:space="preserve">schema demo_bank {</w:t>
      </w:r>
      <w:r>
        <w:br/>
      </w:r>
      <w:r>
        <w:rPr>
          <w:rStyle w:val="VerbatimChar"/>
        </w:rPr>
        <w:t xml:space="preserve">    currency usd { scale: 2 }</w:t>
      </w:r>
      <w:r>
        <w:br/>
      </w:r>
      <w:r>
        <w:br/>
      </w:r>
      <w:r>
        <w:rPr>
          <w:rStyle w:val="VerbatimChar"/>
        </w:rPr>
        <w:t xml:space="preserve">    table accounts { id: Id&lt;Account&gt; primary key, owner: Text @confidential(e2ee) }</w:t>
      </w:r>
      <w:r>
        <w:br/>
      </w:r>
      <w:r>
        <w:br/>
      </w:r>
      <w:r>
        <w:rPr>
          <w:rStyle w:val="VerbatimChar"/>
        </w:rPr>
        <w:t xml:space="preserve">    ledger postings {</w:t>
      </w:r>
      <w:r>
        <w:br/>
      </w:r>
      <w:r>
        <w:rPr>
          <w:rStyle w:val="VerbatimChar"/>
        </w:rPr>
        <w:t xml:space="preserve">        txn: TxnId, acct: Id&lt;Account&gt;, cur: Currency, amt: Money,</w:t>
      </w:r>
      <w:r>
        <w:br/>
      </w:r>
      <w:r>
        <w:rPr>
          <w:rStyle w:val="VerbatimChar"/>
        </w:rPr>
        <w:t xml:space="preserve">        value_date: Date, idem: IdemKey window 30.days,</w:t>
      </w:r>
      <w:r>
        <w:br/>
      </w:r>
      <w:r>
        <w:rPr>
          <w:rStyle w:val="VerbatimChar"/>
        </w:rPr>
        <w:t xml:space="preserve">        conserve per (txn, cur);</w:t>
      </w:r>
      <w:r>
        <w:br/>
      </w:r>
      <w:r>
        <w:rPr>
          <w:rStyle w:val="VerbatimChar"/>
        </w:rPr>
        <w:t xml:space="preserve">        retain forever;</w:t>
      </w:r>
      <w:r>
        <w:br/>
      </w:r>
      <w:r>
        <w:rPr>
          <w:rStyle w:val="VerbatimChar"/>
        </w:rPr>
        <w:t xml:space="preserve">    }</w:t>
      </w:r>
      <w:r>
        <w:br/>
      </w:r>
      <w:r>
        <w:br/>
      </w:r>
      <w:r>
        <w:rPr>
          <w:rStyle w:val="VerbatimChar"/>
        </w:rPr>
        <w:t xml:space="preserve">    ledger holds {</w:t>
      </w:r>
      <w:r>
        <w:br/>
      </w:r>
      <w:r>
        <w:rPr>
          <w:rStyle w:val="VerbatimChar"/>
        </w:rPr>
        <w:t xml:space="preserve">        id: HoldId, acct: Id&lt;Account&gt;, cur: Currency, amount: Money,</w:t>
      </w:r>
      <w:r>
        <w:br/>
      </w:r>
      <w:r>
        <w:rPr>
          <w:rStyle w:val="VerbatimChar"/>
        </w:rPr>
        <w:t xml:space="preserve">        expires: Instant, idem: IdemKey window 7.days,</w:t>
      </w:r>
      <w:r>
        <w:br/>
      </w:r>
      <w:r>
        <w:rPr>
          <w:rStyle w:val="VerbatimChar"/>
        </w:rPr>
        <w:t xml:space="preserve">        retain forever;</w:t>
      </w:r>
      <w:r>
        <w:br/>
      </w:r>
      <w:r>
        <w:rPr>
          <w:rStyle w:val="VerbatimChar"/>
        </w:rPr>
        <w:t xml:space="preserve">    }</w:t>
      </w:r>
      <w:r>
        <w:br/>
      </w:r>
      <w:r>
        <w:br/>
      </w:r>
      <w:r>
        <w:rPr>
          <w:rStyle w:val="VerbatimChar"/>
        </w:rPr>
        <w:t xml:space="preserve">    view ledger_balance = postings</w:t>
      </w:r>
      <w:r>
        <w:br/>
      </w:r>
      <w:r>
        <w:rPr>
          <w:rStyle w:val="VerbatimChar"/>
        </w:rPr>
        <w:t xml:space="preserve">        .group_by(|p| (p.acct, p.cur)).sum(|p| p.amt)</w:t>
      </w:r>
      <w:r>
        <w:br/>
      </w:r>
      <w:r>
        <w:rPr>
          <w:rStyle w:val="VerbatimChar"/>
        </w:rPr>
        <w:t xml:space="preserve">        serve { consistency: read_your_writes, materialize: auto, retain: evictable };</w:t>
      </w:r>
      <w:r>
        <w:br/>
      </w:r>
      <w:r>
        <w:br/>
      </w:r>
      <w:r>
        <w:rPr>
          <w:rStyle w:val="VerbatimChar"/>
        </w:rPr>
        <w:t xml:space="preserve">    view available_balance = ledger_balance</w:t>
      </w:r>
      <w:r>
        <w:br/>
      </w:r>
      <w:r>
        <w:rPr>
          <w:rStyle w:val="VerbatimChar"/>
        </w:rPr>
        <w:t xml:space="preserve">        .minus(holds.unresolved().group_by(|h| (h.acct, h.cur)).sum(|h| h.amount))</w:t>
      </w:r>
      <w:r>
        <w:br/>
      </w:r>
      <w:r>
        <w:rPr>
          <w:rStyle w:val="VerbatimChar"/>
        </w:rPr>
        <w:t xml:space="preserve">        serve { consistency: ledger_consistent, materialize: demand, lineage: key };</w:t>
      </w:r>
      <w:r>
        <w:br/>
      </w:r>
      <w:r>
        <w:br/>
      </w:r>
      <w:r>
        <w:rPr>
          <w:rStyle w:val="VerbatimChar"/>
        </w:rPr>
        <w:t xml:space="preserve">    view statement_mtd = postings</w:t>
      </w:r>
      <w:r>
        <w:br/>
      </w:r>
      <w:r>
        <w:rPr>
          <w:rStyle w:val="VerbatimChar"/>
        </w:rPr>
        <w:t xml:space="preserve">        .value_date_between(month_start(), today())</w:t>
      </w:r>
      <w:r>
        <w:br/>
      </w:r>
      <w:r>
        <w:rPr>
          <w:rStyle w:val="VerbatimChar"/>
        </w:rPr>
        <w:t xml:space="preserve">        .group_by(|p| p.acct)</w:t>
      </w:r>
      <w:r>
        <w:br/>
      </w:r>
      <w:r>
        <w:rPr>
          <w:rStyle w:val="VerbatimChar"/>
        </w:rPr>
        <w:t xml:space="preserve">        serve { consistency: bounded(10.epochs, 30.s), materialize: demand, retain: evictable };</w:t>
      </w:r>
      <w:r>
        <w:br/>
      </w:r>
      <w:r>
        <w:rPr>
          <w:rStyle w:val="VerbatimChar"/>
        </w:rPr>
        <w:t xml:space="preserve">}</w:t>
      </w:r>
      <w:r>
        <w:br/>
      </w:r>
      <w:r>
        <w:br/>
      </w:r>
      <w:r>
        <w:rPr>
          <w:rStyle w:val="VerbatimChar"/>
        </w:rPr>
        <w:t xml:space="preserve">fn pay_rent(tenant: Id&lt;Account&gt;, landlord: Id&lt;Account&gt;) -&gt; Result&lt;TxnId, TxnError&gt; {</w:t>
      </w:r>
      <w:r>
        <w:br/>
      </w:r>
      <w:r>
        <w:rPr>
          <w:rStyle w:val="VerbatimChar"/>
        </w:rPr>
        <w:t xml:space="preserve">    let rent = 850.00 usd;</w:t>
      </w:r>
      <w:r>
        <w:br/>
      </w:r>
      <w:r>
        <w:rPr>
          <w:rStyle w:val="VerbatimChar"/>
        </w:rPr>
        <w:t xml:space="preserve">    txn idem"rent-2026-08-{tenant}" {</w:t>
      </w:r>
      <w:r>
        <w:br/>
      </w:r>
      <w:r>
        <w:rPr>
          <w:rStyle w:val="VerbatimChar"/>
        </w:rPr>
        <w:t xml:space="preserve">        let d = debit(tenant, rent, None)?;     // fails if overdraft and no Auth</w:t>
      </w:r>
      <w:r>
        <w:br/>
      </w:r>
      <w:r>
        <w:rPr>
          <w:rStyle w:val="VerbatimChar"/>
        </w:rPr>
        <w:t xml:space="preserve">        let c = credit(landlord, rent);</w:t>
      </w:r>
      <w:r>
        <w:br/>
      </w:r>
      <w:r>
        <w:rPr>
          <w:rStyle w:val="VerbatimChar"/>
        </w:rPr>
        <w:t xml:space="preserve">        post(d, c)</w:t>
      </w:r>
      <w:r>
        <w:br/>
      </w:r>
      <w:r>
        <w:rPr>
          <w:rStyle w:val="VerbatimChar"/>
        </w:rPr>
        <w:t xml:space="preserve">    }</w:t>
      </w:r>
      <w:r>
        <w:br/>
      </w:r>
      <w:r>
        <w:rPr>
          <w:rStyle w:val="VerbatimChar"/>
        </w:rPr>
        <w:t xml:space="preserve">}</w:t>
      </w:r>
      <w:r>
        <w:br/>
      </w:r>
      <w:r>
        <w:br/>
      </w:r>
      <w:r>
        <w:rPr>
          <w:rStyle w:val="VerbatimChar"/>
        </w:rPr>
        <w:t xml:space="preserve">fn main() -&gt; Result&lt;(), TxnError&gt; {</w:t>
      </w:r>
      <w:r>
        <w:br/>
      </w:r>
      <w:r>
        <w:rPr>
          <w:rStyle w:val="VerbatimChar"/>
        </w:rPr>
        <w:t xml:space="preserve">    let _t = pay_rent(acct!(1001), acct!(2002))?;</w:t>
      </w:r>
      <w:r>
        <w:br/>
      </w:r>
      <w:r>
        <w:rPr>
          <w:rStyle w:val="VerbatimChar"/>
        </w:rPr>
        <w:t xml:space="preserve">    let b = available_balance.get((acct!(1001), usd))?;</w:t>
      </w:r>
      <w:r>
        <w:br/>
      </w:r>
      <w:r>
        <w:rPr>
          <w:rStyle w:val="VerbatimChar"/>
        </w:rPr>
        <w:t xml:space="preserve">    println!("available {} as of epoch {}", b.value, b.anchor);</w:t>
      </w:r>
      <w:r>
        <w:br/>
      </w:r>
      <w:r>
        <w:rPr>
          <w:rStyle w:val="VerbatimChar"/>
        </w:rPr>
        <w:t xml:space="preserve">    Ok(())</w:t>
      </w:r>
      <w:r>
        <w:br/>
      </w:r>
      <w:r>
        <w:rPr>
          <w:rStyle w:val="VerbatimChar"/>
        </w:rPr>
        <w:t xml:space="preserve">}</w:t>
      </w:r>
    </w:p>
    <w:bookmarkEnd w:id="267"/>
    <w:bookmarkStart w:id="268" w:name="b.21-standard-library-catalogue"/>
    <w:p>
      <w:pPr>
        <w:pStyle w:val="Heading2"/>
      </w:pPr>
      <w:r>
        <w:t xml:space="preserve">B.21 Standard-Library Catalogue</w:t>
      </w:r>
    </w:p>
    <w:p>
      <w:pPr>
        <w:pStyle w:val="FirstParagraph"/>
      </w:pPr>
      <w:r>
        <w:rPr>
          <w:bCs/>
          <w:b/>
        </w:rPr>
        <w:t xml:space="preserve">Aggregates (incrementally maintained).</w:t>
      </w:r>
      <w:r>
        <w:t xml:space="preserve"> </w:t>
      </w:r>
      <w:r>
        <w:rPr>
          <w:rStyle w:val="VerbatimChar"/>
        </w:rPr>
        <w:t xml:space="preserve">sum count count_distinct avg min max top_k arg_min arg_max stddev var percentile_sketch</w:t>
      </w:r>
      <w:r>
        <w:t xml:space="preserve"> </w:t>
      </w:r>
      <w:r>
        <w:t xml:space="preserve">— each documenting its delta form, and</w:t>
      </w:r>
      <w:r>
        <w:t xml:space="preserve"> </w:t>
      </w:r>
      <w:r>
        <w:rPr>
          <w:rStyle w:val="VerbatimChar"/>
        </w:rPr>
        <w:t xml:space="preserve">min</w:t>
      </w:r>
      <w:r>
        <w:t xml:space="preserve">/</w:t>
      </w:r>
      <w:r>
        <w:rPr>
          <w:rStyle w:val="VerbatimChar"/>
        </w:rPr>
        <w:t xml:space="preserve">max</w:t>
      </w:r>
      <w:r>
        <w:t xml:space="preserve">/percentiles documenting their behaviour under retraction, which is where naive incremental aggregates are wrong.</w:t>
      </w:r>
    </w:p>
    <w:p>
      <w:pPr>
        <w:pStyle w:val="BodyText"/>
      </w:pPr>
      <w:r>
        <w:rPr>
          <w:bCs/>
          <w:b/>
        </w:rPr>
        <w:t xml:space="preserve">Money and FX.</w:t>
      </w:r>
      <w:r>
        <w:t xml:space="preserve"> </w:t>
      </w:r>
      <w:r>
        <w:rPr>
          <w:rStyle w:val="VerbatimChar"/>
        </w:rPr>
        <w:t xml:space="preserve">Money::zero(cur) abs allocate(parts) split_pro_rata(weights) round_to(scale, mode) fx_convert(m, rate) -&gt; FxLegs</w:t>
      </w:r>
      <w:r>
        <w:t xml:space="preserve">.</w:t>
      </w:r>
      <w:r>
        <w:t xml:space="preserve"> </w:t>
      </w:r>
      <w:r>
        <w:rPr>
          <w:rStyle w:val="VerbatimChar"/>
        </w:rPr>
        <w:t xml:space="preserve">allocate</w:t>
      </w:r>
      <w:r>
        <w:t xml:space="preserve"> </w:t>
      </w:r>
      <w:r>
        <w:t xml:space="preserve">exists because dividing an amount into parts is the canonical place where naive arithmetic</w:t>
      </w:r>
      <w:r>
        <w:t xml:space="preserve"> </w:t>
      </w:r>
      <w:r>
        <w:rPr>
          <w:iCs/>
          <w:i/>
        </w:rPr>
        <w:t xml:space="preserve">destroys money</w:t>
      </w:r>
      <w:r>
        <w:t xml:space="preserve"> </w:t>
      </w:r>
      <w:r>
        <w:t xml:space="preserve">through rounding; it distributes remainders deterministically so the parts sum exactly to the whole, and returns a value whose type obliges the caller to use all parts.</w:t>
      </w:r>
    </w:p>
    <w:p>
      <w:pPr>
        <w:pStyle w:val="BodyText"/>
      </w:pPr>
      <w:r>
        <w:rPr>
          <w:bCs/>
          <w:b/>
        </w:rPr>
        <w:t xml:space="preserve">Temporal and identity (epoch-deterministic).</w:t>
      </w:r>
      <w:r>
        <w:t xml:space="preserve"> </w:t>
      </w:r>
      <w:r>
        <w:rPr>
          <w:rStyle w:val="VerbatimChar"/>
        </w:rPr>
        <w:t xml:space="preserve">now_anchor() epoch_of(instant) value_date_of(row) valid_window(from,to) accrue(signal, rate, daycount) window(tumbling|sliding|session) seq_id() id_at(anchor)</w:t>
      </w:r>
      <w:r>
        <w:t xml:space="preserve"> </w:t>
      </w:r>
      <w:r>
        <w:t xml:space="preserve">— all deterministic given the anchor; no wall-clock reads.</w:t>
      </w:r>
    </w:p>
    <w:p>
      <w:pPr>
        <w:pStyle w:val="BodyText"/>
      </w:pPr>
      <w:r>
        <w:rPr>
          <w:bCs/>
          <w:b/>
        </w:rPr>
        <w:t xml:space="preserve">Scalar, string, hashing.</w:t>
      </w:r>
      <w:r>
        <w:t xml:space="preserve"> </w:t>
      </w:r>
      <w:r>
        <w:rPr>
          <w:rStyle w:val="VerbatimChar"/>
        </w:rPr>
        <w:t xml:space="preserve">len concat split trim lower upper regex_match parse_int format hash digest hex</w:t>
      </w:r>
      <w:r>
        <w:t xml:space="preserve">.</w:t>
      </w:r>
    </w:p>
    <w:p>
      <w:pPr>
        <w:pStyle w:val="BodyText"/>
      </w:pPr>
      <w:r>
        <w:rPr>
          <w:bCs/>
          <w:b/>
        </w:rPr>
        <w:t xml:space="preserve">Collections (Rust-sourced).</w:t>
      </w:r>
      <w:r>
        <w:t xml:space="preserve"> </w:t>
      </w:r>
      <w:r>
        <w:rPr>
          <w:rStyle w:val="VerbatimChar"/>
        </w:rPr>
        <w:t xml:space="preserve">map filter fold zip enumerate chunk sort_by dedup first last get windows</w:t>
      </w:r>
      <w:r>
        <w:t xml:space="preserve"> </w:t>
      </w:r>
      <w:r>
        <w:t xml:space="preserve">— restricted to pure closures in query context.</w:t>
      </w:r>
    </w:p>
    <w:p>
      <w:pPr>
        <w:pStyle w:val="BodyText"/>
      </w:pPr>
      <w:r>
        <w:rPr>
          <w:bCs/>
          <w:b/>
        </w:rPr>
        <w:t xml:space="preserve">Semi-structured, graph, search.</w:t>
      </w:r>
      <w:r>
        <w:t xml:space="preserve"> </w:t>
      </w:r>
      <w:r>
        <w:rPr>
          <w:rStyle w:val="VerbatimChar"/>
        </w:rPr>
        <w:t xml:space="preserve">json_get json_path json_exists</w:t>
      </w:r>
      <w:r>
        <w:t xml:space="preserve"> </w:t>
      </w:r>
      <w:r>
        <w:t xml:space="preserve">for document access;</w:t>
      </w:r>
      <w:r>
        <w:t xml:space="preserve"> </w:t>
      </w:r>
      <w:r>
        <w:rPr>
          <w:rStyle w:val="VerbatimChar"/>
        </w:rPr>
        <w:t xml:space="preserve">neighbors reachable shortest_path</w:t>
      </w:r>
      <w:r>
        <w:t xml:space="preserve"> </w:t>
      </w:r>
      <w:r>
        <w:t xml:space="preserve">over edge bases via guarded fixpoint;</w:t>
      </w:r>
      <w:r>
        <w:t xml:space="preserve"> </w:t>
      </w:r>
      <w:r>
        <w:rPr>
          <w:rStyle w:val="VerbatimChar"/>
        </w:rPr>
        <w:t xml:space="preserve">tokenize match_terms rank_bm25</w:t>
      </w:r>
      <w:r>
        <w:t xml:space="preserve"> </w:t>
      </w:r>
      <w:r>
        <w:t xml:space="preserve">for inverted-index views.</w:t>
      </w:r>
    </w:p>
    <w:bookmarkEnd w:id="268"/>
    <w:bookmarkEnd w:id="269"/>
    <w:bookmarkStart w:id="276" w:name="Xcf43f3957719199f5902e6c518f24f1350fc8a7"/>
    <w:p>
      <w:pPr>
        <w:pStyle w:val="Heading1"/>
      </w:pPr>
      <w:r>
        <w:t xml:space="preserve">Appendix C. Compilation Model and Target Binaries</w:t>
      </w:r>
    </w:p>
    <w:bookmarkStart w:id="270" w:name="c.1-compilation-pipeline"/>
    <w:p>
      <w:pPr>
        <w:pStyle w:val="Heading2"/>
      </w:pPr>
      <w:r>
        <w:t xml:space="preserve">C.1 Compilation Pipeline</w:t>
      </w:r>
    </w:p>
    <w:p>
      <w:pPr>
        <w:pStyle w:val="FirstParagraph"/>
      </w:pPr>
      <w:r>
        <w:t xml:space="preserve">Source (Niles native, SQL surface, or embedded API) → lex/parse → AST → name resolution → type-and-effect checking (currency rows, linearity, consistency effects, confidentiality flows, idempotency windows) → IR lowering →</w:t>
      </w:r>
      <w:r>
        <w:t xml:space="preserve"> </w:t>
      </w:r>
      <w:r>
        <w:rPr>
          <w:bCs/>
          <w:b/>
        </w:rPr>
        <w:t xml:space="preserve">IR verification</w:t>
      </w:r>
      <w:r>
        <w:t xml:space="preserve"> </w:t>
      </w:r>
      <w:r>
        <w:t xml:space="preserve">→ optimization → back-end (native code generation or wasm32) → link.</w:t>
      </w:r>
    </w:p>
    <w:p>
      <w:pPr>
        <w:pStyle w:val="BodyText"/>
      </w:pPr>
      <w:r>
        <w:t xml:space="preserve">Declarative-tier items pass additionally through the planner — circuit construction, join ordering, delta-form selection, provenance-derived upquery-path derivation, and initial materialization-mode defaults — before code generation. Transaction-tier and UDF code follow the classical path.</w:t>
      </w:r>
    </w:p>
    <w:p>
      <w:pPr>
        <w:pStyle w:val="BodyText"/>
      </w:pPr>
      <w:r>
        <w:t xml:space="preserve">Every stage emits a content-addressed artifact, so a build is a Merkle tree of stage outputs. That is what the determinism gate (C.5) compares, and it is also what makes a compiler bug bisectable: a divergence identifies the stage that introduced it.</w:t>
      </w:r>
    </w:p>
    <w:p>
      <w:pPr>
        <w:pStyle w:val="BodyText"/>
      </w:pPr>
      <w:r>
        <w:rPr>
          <w:bCs/>
          <w:b/>
        </w:rPr>
        <w:t xml:space="preserve">The verification step is not an optimization.</w:t>
      </w:r>
      <w:r>
        <w:t xml:space="preserve"> </w:t>
      </w:r>
      <w:r>
        <w:t xml:space="preserve">The IR verifier is an independent checker that re-validates all compiler output, and it exists so the kernel trusts the verifier rather than the compiler (Section 6.14). It deliberately shares no code with the lowerer; otherwise it would confirm the lowerer’s assumptions instead of the IR’s rules.</w:t>
      </w:r>
    </w:p>
    <w:bookmarkEnd w:id="270"/>
    <w:bookmarkStart w:id="271" w:name="Xf80f2fae1584837c587b552826d9893bec864d4"/>
    <w:p>
      <w:pPr>
        <w:pStyle w:val="Heading2"/>
      </w:pPr>
      <w:r>
        <w:t xml:space="preserve">C.2 Target Triples and the Target Model as Data</w:t>
      </w:r>
    </w:p>
    <w:p>
      <w:pPr>
        <w:pStyle w:val="FirstParagraph"/>
      </w:pPr>
      <w:r>
        <w:t xml:space="preserve">Supported v1 targets:</w:t>
      </w:r>
      <w:r>
        <w:t xml:space="preserve"> </w:t>
      </w:r>
      <w:r>
        <w:rPr>
          <w:rStyle w:val="VerbatimChar"/>
        </w:rPr>
        <w:t xml:space="preserve">aarch64-unknown-linux-gnu</w:t>
      </w:r>
      <w:r>
        <w:t xml:space="preserve">,</w:t>
      </w:r>
      <w:r>
        <w:t xml:space="preserve"> </w:t>
      </w:r>
      <w:r>
        <w:rPr>
          <w:rStyle w:val="VerbatimChar"/>
        </w:rPr>
        <w:t xml:space="preserve">x86_64-unknown-linux-gnu</w:t>
      </w:r>
      <w:r>
        <w:t xml:space="preserve">,</w:t>
      </w:r>
      <w:r>
        <w:t xml:space="preserve"> </w:t>
      </w:r>
      <w:r>
        <w:rPr>
          <w:rStyle w:val="VerbatimChar"/>
        </w:rPr>
        <w:t xml:space="preserve">aarch64-apple-darwin</w:t>
      </w:r>
      <w:r>
        <w:t xml:space="preserve">,</w:t>
      </w:r>
      <w:r>
        <w:t xml:space="preserve"> </w:t>
      </w:r>
      <w:r>
        <w:rPr>
          <w:rStyle w:val="VerbatimChar"/>
        </w:rPr>
        <w:t xml:space="preserve">x86_64-pc-windows-msvc</w:t>
      </w:r>
      <w:r>
        <w:t xml:space="preserve">, a WSL profile (Linux with the static-linking profile of Appendix E.16), and</w:t>
      </w:r>
      <w:r>
        <w:t xml:space="preserve"> </w:t>
      </w:r>
      <w:r>
        <w:rPr>
          <w:rStyle w:val="VerbatimChar"/>
        </w:rPr>
        <w:t xml:space="preserve">wasm32-wasip1</w:t>
      </w:r>
      <w:r>
        <w:t xml:space="preserve"> </w:t>
      </w:r>
      <w:r>
        <w:t xml:space="preserve">for UDFs and the self-hosted optimizer.</w:t>
      </w:r>
    </w:p>
    <w:p>
      <w:pPr>
        <w:pStyle w:val="BodyText"/>
      </w:pPr>
      <w:r>
        <w:t xml:space="preserve">Each target is a</w:t>
      </w:r>
      <w:r>
        <w:t xml:space="preserve"> </w:t>
      </w:r>
      <w:r>
        <w:rPr>
          <w:bCs/>
          <w:b/>
        </w:rPr>
        <w:t xml:space="preserve">declarative record</w:t>
      </w:r>
      <w:r>
        <w:t xml:space="preserve"> </w:t>
      </w:r>
      <w:r>
        <w:t xml:space="preserve">(Appendix E.2): word size, endianness, alignment, calling convention (parameter and return registers, caller/callee-saved sets, stack alignment), relocation kinds, and object-format parameters. All back-ends are generic over the record and encoder tables are generated from it, so adding a target is a data change plus tables rather than a compiler rewrite. The WSL profile is the existence proof: a target record plus linker flags, with no compiler-code change.</w:t>
      </w:r>
    </w:p>
    <w:bookmarkEnd w:id="271"/>
    <w:bookmarkStart w:id="272" w:name="c.3-back-ends"/>
    <w:p>
      <w:pPr>
        <w:pStyle w:val="Heading2"/>
      </w:pPr>
      <w:r>
        <w:t xml:space="preserve">C.3 Back-Ends</w:t>
      </w:r>
    </w:p>
    <w:p>
      <w:pPr>
        <w:pStyle w:val="FirstParagraph"/>
      </w:pPr>
      <w:r>
        <w:t xml:space="preserve">Two. The</w:t>
      </w:r>
      <w:r>
        <w:t xml:space="preserve"> </w:t>
      </w:r>
      <w:r>
        <w:rPr>
          <w:bCs/>
          <w:b/>
        </w:rPr>
        <w:t xml:space="preserve">self-hosted back-end</w:t>
      </w:r>
      <w:r>
        <w:t xml:space="preserve"> </w:t>
      </w:r>
      <w:r>
        <w:t xml:space="preserve">(Appendix E.14–E.16) is the default and the scientific artifact. An</w:t>
      </w:r>
      <w:r>
        <w:t xml:space="preserve"> </w:t>
      </w:r>
      <w:r>
        <w:rPr>
          <w:bCs/>
          <w:b/>
        </w:rPr>
        <w:t xml:space="preserve">optional established back-end</w:t>
      </w:r>
      <w:r>
        <w:t xml:space="preserve"> </w:t>
      </w:r>
      <w:r>
        <w:t xml:space="preserve">provides release-grade optimization for users who want it and, more importantly, provides the measuring stick for the self-hosted one.</w:t>
      </w:r>
    </w:p>
    <w:p>
      <w:pPr>
        <w:pStyle w:val="BodyText"/>
      </w:pPr>
      <w:r>
        <w:t xml:space="preserve">Policy: correctness claims and all evaluation numbers come from the self-hosted back-end unless a figure explicitly says otherwise. The optional back-end exists to</w:t>
      </w:r>
      <w:r>
        <w:t xml:space="preserve"> </w:t>
      </w:r>
      <w:r>
        <w:rPr>
          <w:iCs/>
          <w:i/>
        </w:rPr>
        <w:t xml:space="preserve">measure</w:t>
      </w:r>
      <w:r>
        <w:t xml:space="preserve"> </w:t>
      </w:r>
      <w:r>
        <w:t xml:space="preserve">the remaining optimization gap, which is published per release rather than hidden (E.13).</w:t>
      </w:r>
    </w:p>
    <w:bookmarkEnd w:id="272"/>
    <w:bookmarkStart w:id="273" w:name="c.4-the-udf-webassembly-abi"/>
    <w:p>
      <w:pPr>
        <w:pStyle w:val="Heading2"/>
      </w:pPr>
      <w:r>
        <w:t xml:space="preserve">C.4 The UDF WebAssembly ABI</w:t>
      </w:r>
    </w:p>
    <w:p>
      <w:pPr>
        <w:pStyle w:val="FirstParagraph"/>
      </w:pPr>
      <w:r>
        <w:t xml:space="preserve">UDFs compile to wasm32 against a frozen ABI. Imports: none beyond a capability table passed at instantiation — the capability-based model in which a module</w:t>
      </w:r>
      <w:r>
        <w:t xml:space="preserve"> </w:t>
      </w:r>
      <w:r>
        <w:t xml:space="preserve">“</w:t>
      </w:r>
      <w:r>
        <w:t xml:space="preserve">starts with no ambient authority and can only do what the host explicitly grants</w:t>
      </w:r>
      <w:r>
        <w:t xml:space="preserve">”</w:t>
      </w:r>
      <w:r>
        <w:t xml:space="preserve"> </w:t>
      </w:r>
      <w:r>
        <w:t xml:space="preserve">is exactly the property the kernel boundary needs. Exports: a single call entry over a canonical, versioned serialization of</w:t>
      </w:r>
      <w:r>
        <w:t xml:space="preserve"> </w:t>
      </w:r>
      <w:r>
        <w:rPr>
          <w:rStyle w:val="VerbatimChar"/>
        </w:rPr>
        <w:t xml:space="preserve">Anchored</w:t>
      </w:r>
      <w:r>
        <w:t xml:space="preserve"> </w:t>
      </w:r>
      <w:r>
        <w:t xml:space="preserve">values and domain types. Memory: one guest-owned linear memory with host copy-in/copy-out and no sharing. Metering: fuel injected at load. ABI version negotiation is recorded per view, so a UDF upgrade is an epoch-visible event rather than a silent behaviour change.</w:t>
      </w:r>
    </w:p>
    <w:bookmarkEnd w:id="273"/>
    <w:bookmarkStart w:id="274" w:name="X948f3456c7a3e89dcf7bec12b1af49df73785c3"/>
    <w:p>
      <w:pPr>
        <w:pStyle w:val="Heading2"/>
      </w:pPr>
      <w:r>
        <w:t xml:space="preserve">C.5 The Cross-Target Determinism Obligation — and Why Wasm Alone Does Not Provide It</w:t>
      </w:r>
    </w:p>
    <w:p>
      <w:pPr>
        <w:pStyle w:val="FirstParagraph"/>
      </w:pPr>
      <w:r>
        <w:rPr>
          <w:bCs/>
          <w:b/>
        </w:rPr>
        <w:t xml:space="preserve">Obligation.</w:t>
      </w:r>
      <w:r>
        <w:t xml:space="preserve"> </w:t>
      </w:r>
      <w:r>
        <w:t xml:space="preserve">For every (IR circuit, base prefix, anchor), the emitted answer bytes are identical on every supported target and back-end. Theorem 4.1’s exactness, hash-chain reproducibility, and the audit</w:t>
      </w:r>
      <w:r>
        <w:t xml:space="preserve"> </w:t>
      </w:r>
      <w:r>
        <w:rPr>
          <w:rStyle w:val="VerbatimChar"/>
        </w:rPr>
        <w:t xml:space="preserve">reproduce</w:t>
      </w:r>
      <w:r>
        <w:t xml:space="preserve"> </w:t>
      </w:r>
      <w:r>
        <w:t xml:space="preserve">operation all depend on this.</w:t>
      </w:r>
    </w:p>
    <w:p>
      <w:pPr>
        <w:pStyle w:val="BodyText"/>
      </w:pPr>
      <w:r>
        <w:rPr>
          <w:bCs/>
          <w:b/>
        </w:rPr>
        <w:t xml:space="preserve">The correction.</w:t>
      </w:r>
      <w:r>
        <w:t xml:space="preserve"> </w:t>
      </w:r>
      <w:r>
        <w:t xml:space="preserve">It would be convenient to assume the Wasm sandbox delivers determinism. It does not. The specification names three sources of implementation-dependent behaviour:</w:t>
      </w:r>
      <w:r>
        <w:t xml:space="preserve"> </w:t>
      </w:r>
      <w:r>
        <w:rPr>
          <w:bCs/>
          <w:b/>
        </w:rPr>
        <w:t xml:space="preserve">NaN payloads</w:t>
      </w:r>
      <w:r>
        <w:t xml:space="preserve"> </w:t>
      </w:r>
      <w:r>
        <w:t xml:space="preserve">(canonical NaNs carry a non-deterministic sign bit, and non-canonical inputs produce non-deterministic outputs),</w:t>
      </w:r>
      <w:r>
        <w:t xml:space="preserve"> </w:t>
      </w:r>
      <w:r>
        <w:rPr>
          <w:bCs/>
          <w:b/>
        </w:rPr>
        <w:t xml:space="preserve">resource exhaustion</w:t>
      </w:r>
      <w:r>
        <w:t xml:space="preserve"> </w:t>
      </w:r>
      <w:r>
        <w:t xml:space="preserve">(an engine may fail to grow linear memory, and available resources differ across devices), and</w:t>
      </w:r>
      <w:r>
        <w:t xml:space="preserve"> </w:t>
      </w:r>
      <w:r>
        <w:rPr>
          <w:bCs/>
          <w:b/>
        </w:rPr>
        <w:t xml:space="preserve">host functions</w:t>
      </w:r>
      <w:r>
        <w:t xml:space="preserve"> </w:t>
      </w:r>
      <w:r>
        <w:t xml:space="preserve">[Haas et al., PLDI ’17]. A UDF that produces a NaN, or that exhausts memory at a device-dependent point, would break reconstruction-equivalence over a hash-chained base. Stated as</w:t>
      </w:r>
      <w:r>
        <w:t xml:space="preserve"> </w:t>
      </w:r>
      <w:r>
        <w:t xml:space="preserve">“</w:t>
      </w:r>
      <w:r>
        <w:t xml:space="preserve">Wasm is deterministic,</w:t>
      </w:r>
      <w:r>
        <w:t xml:space="preserve">”</w:t>
      </w:r>
      <w:r>
        <w:t xml:space="preserve"> </w:t>
      </w:r>
      <w:r>
        <w:t xml:space="preserve">the obligation would be false.</w:t>
      </w:r>
    </w:p>
    <w:p>
      <w:pPr>
        <w:pStyle w:val="BodyText"/>
      </w:pPr>
      <w:r>
        <w:rPr>
          <w:bCs/>
          <w:b/>
        </w:rPr>
        <w:t xml:space="preserve">The obligation, stated correctly, is therefore three mitigations plus three engine rules.</w:t>
      </w:r>
    </w:p>
    <w:p>
      <w:pPr>
        <w:pStyle w:val="BodyText"/>
      </w:pPr>
      <w:r>
        <w:rPr>
          <w:iCs/>
          <w:i/>
        </w:rPr>
        <w:t xml:space="preserve">UDF tier:</w:t>
      </w:r>
      <w:r>
        <w:t xml:space="preserve"> </w:t>
      </w:r>
      <w:r>
        <w:t xml:space="preserve">(1) reject NaN-producing floating-point operations in UDF signatures reachable from view computation, or canonicalize NaN at the kernel boundary before any value crosses into a circuit; (2) make resource exhaustion a</w:t>
      </w:r>
      <w:r>
        <w:t xml:space="preserve"> </w:t>
      </w:r>
      <w:r>
        <w:rPr>
          <w:bCs/>
          <w:b/>
        </w:rPr>
        <w:t xml:space="preserve">deterministic</w:t>
      </w:r>
      <w:r>
        <w:t xml:space="preserve"> </w:t>
      </w:r>
      <w:r>
        <w:t xml:space="preserve">abort at a fixed fuel bound rather than a device-dependent failure, so the same input aborts at the same point everywhere; (3) permit no host imports outside a deterministic allowlist.</w:t>
      </w:r>
    </w:p>
    <w:p>
      <w:pPr>
        <w:pStyle w:val="BodyText"/>
      </w:pPr>
      <w:r>
        <w:rPr>
          <w:iCs/>
          <w:i/>
        </w:rPr>
        <w:t xml:space="preserve">Engine:</w:t>
      </w:r>
      <w:r>
        <w:t xml:space="preserve"> </w:t>
      </w:r>
      <w:r>
        <w:t xml:space="preserve">(4) canonical ordering before every emission — no hash-order iteration ever escapes into output; (5) money as exact integers at the currency’s scale, never binary floating point; (6) no ambient wall-clock reads in query context, so</w:t>
      </w:r>
      <w:r>
        <w:t xml:space="preserve"> </w:t>
      </w:r>
      <w:r>
        <w:t xml:space="preserve">“</w:t>
      </w:r>
      <w:r>
        <w:t xml:space="preserve">now</w:t>
      </w:r>
      <w:r>
        <w:t xml:space="preserve">”</w:t>
      </w:r>
      <w:r>
        <w:t xml:space="preserve"> </w:t>
      </w:r>
      <w:r>
        <w:t xml:space="preserve">enters only as a contract-chosen anchor.</w:t>
      </w:r>
    </w:p>
    <w:p>
      <w:pPr>
        <w:pStyle w:val="BodyText"/>
      </w:pPr>
      <w:r>
        <w:rPr>
          <w:bCs/>
          <w:b/>
        </w:rPr>
        <w:t xml:space="preserve">The gate.</w:t>
      </w:r>
      <w:r>
        <w:t xml:space="preserve"> </w:t>
      </w:r>
      <w:r>
        <w:t xml:space="preserve">Continuous integration executes the conservation suite and a query corpus on every supported target and back-end, at every optimization level, hashing every output stream; any divergence fails the build. The same gate covers the compiler itself (E.18). A test suite deliberately attempts each of the three Wasm non-determinism sources and must observe the mitigation firing.</w:t>
      </w:r>
    </w:p>
    <w:p>
      <w:pPr>
        <w:pStyle w:val="BodyText"/>
      </w:pPr>
      <w:r>
        <w:rPr>
          <w:bCs/>
          <w:b/>
        </w:rPr>
        <w:t xml:space="preserve">Status, stated rather than implied.</w:t>
      </w:r>
      <w:r>
        <w:t xml:space="preserve"> </w:t>
      </w:r>
      <w:r>
        <w:t xml:space="preserve">What runs today is the</w:t>
      </w:r>
      <w:r>
        <w:t xml:space="preserve"> </w:t>
      </w:r>
      <w:r>
        <w:rPr>
          <w:iCs/>
          <w:i/>
        </w:rPr>
        <w:t xml:space="preserve">run-to-run</w:t>
      </w:r>
      <w:r>
        <w:t xml:space="preserve"> </w:t>
      </w:r>
      <w:r>
        <w:t xml:space="preserve">half of that gate, on one target:</w:t>
      </w:r>
      <w:r>
        <w:t xml:space="preserve"> </w:t>
      </w:r>
      <w:r>
        <w:rPr>
          <w:rStyle w:val="VerbatimChar"/>
        </w:rPr>
        <w:t xml:space="preserve">niles_interp::determinism_gate</w:t>
      </w:r>
      <w:r>
        <w:t xml:space="preserve"> </w:t>
      </w:r>
      <w:r>
        <w:t xml:space="preserve">executes a Niles program five times over freshly loaded copies and requires byte-identical output, and the bootstrap gates of E.19 apply it to the Niles-written lexer and parser, including to each parsing its own source. That establishes freedom from the accidental non-determinism this obligation is most often violated by — hash-map iteration order, address-dependent behaviour, a seeded structure escaping into output — and it establishes nothing about a</w:t>
      </w:r>
      <w:r>
        <w:t xml:space="preserve"> </w:t>
      </w:r>
      <w:r>
        <w:rPr>
          <w:iCs/>
          <w:i/>
        </w:rPr>
        <w:t xml:space="preserve">second</w:t>
      </w:r>
      <w:r>
        <w:t xml:space="preserve"> </w:t>
      </w:r>
      <w:r>
        <w:t xml:space="preserve">target, because it runs in one process on one machine.</w:t>
      </w:r>
    </w:p>
    <w:p>
      <w:pPr>
        <w:pStyle w:val="BodyText"/>
      </w:pPr>
      <w:r>
        <w:rPr>
          <w:bCs/>
          <w:b/>
        </w:rPr>
        <w:t xml:space="preserve">Cross-target verification is pending, and pending on two artefacts that do not exist</w:t>
      </w:r>
      <w:r>
        <w:t xml:space="preserve">: a WASM build and an ARM64 build to compare against x86-64. Until both run and their output streams hash equal, the obligation of this section is unmet. The return type of the gate says so — it reports the number of runs and whether they agreed, and has no field in which to record a target — so the code cannot be read as claiming more than it checks.</w:t>
      </w:r>
    </w:p>
    <w:bookmarkEnd w:id="274"/>
    <w:bookmarkStart w:id="275" w:name="c.6-build-and-deployment-model"/>
    <w:p>
      <w:pPr>
        <w:pStyle w:val="Heading2"/>
      </w:pPr>
      <w:r>
        <w:t xml:space="preserve">C.6 Build and Deployment Model</w:t>
      </w:r>
    </w:p>
    <w:p>
      <w:pPr>
        <w:pStyle w:val="FirstParagraph"/>
      </w:pPr>
      <w:r>
        <w:rPr>
          <w:bCs/>
          <w:b/>
        </w:rPr>
        <w:t xml:space="preserve">Build.</w:t>
      </w:r>
      <w:r>
        <w:t xml:space="preserve"> </w:t>
      </w:r>
      <w:r>
        <w:t xml:space="preserve">One workspace for the engine and stage-0 compiler, plus the self-hosting stages driven by a bootstrap target; hermetic builds with pinned toolchains (Appendix G.1). Outputs: the server daemon, the CLI (compile, check, REPL), the bare compiler, and the wasm optimizer module.</w:t>
      </w:r>
    </w:p>
    <w:p>
      <w:pPr>
        <w:pStyle w:val="BodyText"/>
      </w:pPr>
      <w:r>
        <w:rPr>
          <w:bCs/>
          <w:b/>
        </w:rPr>
        <w:t xml:space="preserve">Deployment.</w:t>
      </w:r>
      <w:r>
        <w:t xml:space="preserve"> </w:t>
      </w:r>
      <w:r>
        <w:t xml:space="preserve">A single static binary per target. Configuration is declarative (contract defaults, storage tiers, τ, memory budgets — Appendix D.7). State directories separate by durability class: the base segments (the only truth), derived view state (disposable), and keys (deployment-profile).</w:t>
      </w:r>
    </w:p>
    <w:p>
      <w:pPr>
        <w:pStyle w:val="BodyText"/>
      </w:pPr>
      <w:r>
        <w:rPr>
          <w:bCs/>
          <w:b/>
        </w:rPr>
        <w:t xml:space="preserve">Upgrades.</w:t>
      </w:r>
      <w:r>
        <w:t xml:space="preserve"> </w:t>
      </w:r>
      <w:r>
        <w:t xml:space="preserve">Drain-and-seal, swap binary, recover. Recovery correctness</w:t>
      </w:r>
      <w:r>
        <w:t xml:space="preserve"> </w:t>
      </w:r>
      <w:r>
        <w:rPr>
          <w:iCs/>
          <w:i/>
        </w:rPr>
        <w:t xml:space="preserve">is</w:t>
      </w:r>
      <w:r>
        <w:t xml:space="preserve"> </w:t>
      </w:r>
      <w:r>
        <w:t xml:space="preserve">the upgrade correctness argument, since recovery is a large eviction (Theorem 4.1). Downgrade is supported to any binary whose IR version can verify the stored circuits, which is why the IR carries an explicit version and the verifier rejects rather than guesses.</w:t>
      </w:r>
    </w:p>
    <w:bookmarkEnd w:id="275"/>
    <w:bookmarkEnd w:id="276"/>
    <w:bookmarkStart w:id="286" w:name="X2a350506c3a9798a26d9eddd3c7ce625ce91c2d"/>
    <w:p>
      <w:pPr>
        <w:pStyle w:val="Heading1"/>
      </w:pPr>
      <w:r>
        <w:t xml:space="preserve">Appendix D. Nilestream Engine and Intermediate Representation Reference</w:t>
      </w:r>
    </w:p>
    <w:bookmarkStart w:id="277" w:name="d.1-component-map"/>
    <w:p>
      <w:pPr>
        <w:pStyle w:val="Heading2"/>
      </w:pPr>
      <w:r>
        <w:t xml:space="preserve">D.1 Component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Crate</w:t>
            </w:r>
          </w:p>
        </w:tc>
        <w:tc>
          <w:tcPr/>
          <w:p>
            <w:pPr>
              <w:pStyle w:val="Compact"/>
              <w:jc w:val="left"/>
            </w:pPr>
            <w:r>
              <w:t xml:space="preserve">Role</w:t>
            </w:r>
          </w:p>
        </w:tc>
      </w:tr>
      <w:tr>
        <w:tc>
          <w:tcPr/>
          <w:p>
            <w:pPr>
              <w:pStyle w:val="Compact"/>
              <w:jc w:val="left"/>
            </w:pPr>
            <w:r>
              <w:rPr>
                <w:rStyle w:val="VerbatimChar"/>
              </w:rPr>
              <w:t xml:space="preserve">nilestream-ledger</w:t>
            </w:r>
          </w:p>
        </w:tc>
        <w:tc>
          <w:tcPr/>
          <w:p>
            <w:pPr>
              <w:pStyle w:val="Compact"/>
              <w:jc w:val="left"/>
            </w:pPr>
            <w:r>
              <w:t xml:space="preserve">Epoch segments, sequencer, hash chain, durability, admission and commit rules</w:t>
            </w:r>
          </w:p>
        </w:tc>
      </w:tr>
      <w:tr>
        <w:tc>
          <w:tcPr/>
          <w:p>
            <w:pPr>
              <w:pStyle w:val="Compact"/>
              <w:jc w:val="left"/>
            </w:pPr>
            <w:r>
              <w:rPr>
                <w:rStyle w:val="VerbatimChar"/>
              </w:rPr>
              <w:t xml:space="preserve">nilestream-core</w:t>
            </w:r>
          </w:p>
        </w:tc>
        <w:tc>
          <w:tcPr/>
          <w:p>
            <w:pPr>
              <w:pStyle w:val="Compact"/>
              <w:jc w:val="left"/>
            </w:pPr>
            <w:r>
              <w:t xml:space="preserve">REV runtime: resident maps, anchor indices, apply loop, upqueries, contracts</w:t>
            </w:r>
          </w:p>
        </w:tc>
      </w:tr>
      <w:tr>
        <w:tc>
          <w:tcPr/>
          <w:p>
            <w:pPr>
              <w:pStyle w:val="Compact"/>
              <w:jc w:val="left"/>
            </w:pPr>
            <w:r>
              <w:rPr>
                <w:rStyle w:val="VerbatimChar"/>
              </w:rPr>
              <w:t xml:space="preserve">nilestream-optimizer</w:t>
            </w:r>
          </w:p>
        </w:tc>
        <w:tc>
          <w:tcPr/>
          <w:p>
            <w:pPr>
              <w:pStyle w:val="Compact"/>
              <w:jc w:val="left"/>
            </w:pPr>
            <w:r>
              <w:t xml:space="preserve">Adaptive materialization: estimators, mode selection, eviction, hysteresis</w:t>
            </w:r>
          </w:p>
        </w:tc>
      </w:tr>
      <w:tr>
        <w:tc>
          <w:tcPr/>
          <w:p>
            <w:pPr>
              <w:pStyle w:val="Compact"/>
              <w:jc w:val="left"/>
            </w:pPr>
            <w:r>
              <w:rPr>
                <w:rStyle w:val="VerbatimChar"/>
              </w:rPr>
              <w:t xml:space="preserve">nilestream-lineage</w:t>
            </w:r>
          </w:p>
        </w:tc>
        <w:tc>
          <w:tcPr/>
          <w:p>
            <w:pPr>
              <w:pStyle w:val="Compact"/>
              <w:jc w:val="left"/>
            </w:pPr>
            <w:r>
              <w:t xml:space="preserve">Provenance annotation, explain, reproduce, impact</w:t>
            </w:r>
          </w:p>
        </w:tc>
      </w:tr>
      <w:tr>
        <w:tc>
          <w:tcPr/>
          <w:p>
            <w:pPr>
              <w:pStyle w:val="Compact"/>
              <w:jc w:val="left"/>
            </w:pPr>
            <w:r>
              <w:rPr>
                <w:rStyle w:val="VerbatimChar"/>
              </w:rPr>
              <w:t xml:space="preserve">niles-ir</w:t>
            </w:r>
          </w:p>
        </w:tc>
        <w:tc>
          <w:tcPr/>
          <w:p>
            <w:pPr>
              <w:pStyle w:val="Compact"/>
              <w:jc w:val="left"/>
            </w:pPr>
            <w:r>
              <w:t xml:space="preserve">Typed IR: circuit types, verifier, interpreter, upquery paths</w:t>
            </w:r>
          </w:p>
        </w:tc>
      </w:tr>
      <w:tr>
        <w:tc>
          <w:tcPr/>
          <w:p>
            <w:pPr>
              <w:pStyle w:val="Compact"/>
              <w:jc w:val="left"/>
            </w:pPr>
            <w:r>
              <w:rPr>
                <w:rStyle w:val="VerbatimChar"/>
              </w:rPr>
              <w:t xml:space="preserve">niles-lang</w:t>
            </w:r>
          </w:p>
        </w:tc>
        <w:tc>
          <w:tcPr/>
          <w:p>
            <w:pPr>
              <w:pStyle w:val="Compact"/>
              <w:jc w:val="left"/>
            </w:pPr>
            <w:r>
              <w:t xml:space="preserve">Stage-0 compiler: lexer, parser, type/effect checker, lowering; SQL surface</w:t>
            </w:r>
          </w:p>
        </w:tc>
      </w:tr>
      <w:tr>
        <w:tc>
          <w:tcPr/>
          <w:p>
            <w:pPr>
              <w:pStyle w:val="Compact"/>
              <w:jc w:val="left"/>
            </w:pPr>
            <w:r>
              <w:rPr>
                <w:rStyle w:val="VerbatimChar"/>
              </w:rPr>
              <w:t xml:space="preserve">niles-stdlib</w:t>
            </w:r>
          </w:p>
        </w:tc>
        <w:tc>
          <w:tcPr/>
          <w:p>
            <w:pPr>
              <w:pStyle w:val="Compact"/>
              <w:jc w:val="left"/>
            </w:pPr>
            <w:r>
              <w:rPr>
                <w:rStyle w:val="VerbatimChar"/>
              </w:rPr>
              <w:t xml:space="preserve">std::bank</w:t>
            </w:r>
            <w:r>
              <w:t xml:space="preserve">,</w:t>
            </w:r>
            <w:r>
              <w:t xml:space="preserve"> </w:t>
            </w:r>
            <w:r>
              <w:rPr>
                <w:rStyle w:val="VerbatimChar"/>
              </w:rPr>
              <w:t xml:space="preserve">std::temporal</w:t>
            </w:r>
            <w:r>
              <w:t xml:space="preserve">, money, builtins</w:t>
            </w:r>
          </w:p>
        </w:tc>
      </w:tr>
      <w:tr>
        <w:tc>
          <w:tcPr/>
          <w:p>
            <w:pPr>
              <w:pStyle w:val="Compact"/>
              <w:jc w:val="left"/>
            </w:pPr>
            <w:r>
              <w:rPr>
                <w:rStyle w:val="VerbatimChar"/>
              </w:rPr>
              <w:t xml:space="preserve">nilestream-storage</w:t>
            </w:r>
          </w:p>
        </w:tc>
        <w:tc>
          <w:tcPr/>
          <w:p>
            <w:pPr>
              <w:pStyle w:val="Compact"/>
              <w:jc w:val="left"/>
            </w:pPr>
            <w:r>
              <w:t xml:space="preserve">Tiering, migration, checkpoints, cold backend</w:t>
            </w:r>
          </w:p>
        </w:tc>
      </w:tr>
      <w:tr>
        <w:tc>
          <w:tcPr/>
          <w:p>
            <w:pPr>
              <w:pStyle w:val="Compact"/>
              <w:jc w:val="left"/>
            </w:pPr>
            <w:r>
              <w:rPr>
                <w:rStyle w:val="VerbatimChar"/>
              </w:rPr>
              <w:t xml:space="preserve">nilestream-server</w:t>
            </w:r>
          </w:p>
        </w:tc>
        <w:tc>
          <w:tcPr/>
          <w:p>
            <w:pPr>
              <w:pStyle w:val="Compact"/>
              <w:jc w:val="left"/>
            </w:pPr>
            <w:r>
              <w:t xml:space="preserve">Daemon: sessions, native protocol, MySQL/PostgreSQL wire, observability, audit</w:t>
            </w:r>
          </w:p>
        </w:tc>
      </w:tr>
      <w:tr>
        <w:tc>
          <w:tcPr/>
          <w:p>
            <w:pPr>
              <w:pStyle w:val="Compact"/>
              <w:jc w:val="left"/>
            </w:pPr>
            <w:r>
              <w:rPr>
                <w:rStyle w:val="VerbatimChar"/>
              </w:rPr>
              <w:t xml:space="preserve">conservation-suite</w:t>
            </w:r>
          </w:p>
        </w:tc>
        <w:tc>
          <w:tcPr/>
          <w:p>
            <w:pPr>
              <w:pStyle w:val="Compact"/>
              <w:jc w:val="left"/>
            </w:pPr>
            <w:r>
              <w:t xml:space="preserve">Reference oracle, property tests, fault campaigns</w:t>
            </w:r>
          </w:p>
        </w:tc>
      </w:tr>
      <w:tr>
        <w:tc>
          <w:tcPr/>
          <w:p>
            <w:pPr>
              <w:pStyle w:val="Compact"/>
              <w:jc w:val="left"/>
            </w:pPr>
            <w:r>
              <w:rPr>
                <w:rStyle w:val="VerbatimChar"/>
              </w:rPr>
              <w:t xml:space="preserve">bank-bench</w:t>
            </w:r>
          </w:p>
        </w:tc>
        <w:tc>
          <w:tcPr/>
          <w:p>
            <w:pPr>
              <w:pStyle w:val="Compact"/>
              <w:jc w:val="left"/>
            </w:pPr>
            <w:r>
              <w:t xml:space="preserve">NilesBank generator, harness, analysis</w:t>
            </w:r>
          </w:p>
        </w:tc>
      </w:tr>
    </w:tbl>
    <w:bookmarkEnd w:id="277"/>
    <w:bookmarkStart w:id="278" w:name="d.2-ledger-write-path-api"/>
    <w:p>
      <w:pPr>
        <w:pStyle w:val="Heading2"/>
      </w:pPr>
      <w:r>
        <w:t xml:space="preserve">D.2 Ledger Write-Path API</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Ledger </w:t>
      </w:r>
      <w:r>
        <w:rPr>
          <w:rStyle w:val="OperatorTok"/>
        </w:rPr>
        <w:t xml:space="preserve">{</w:t>
      </w:r>
      <w:r>
        <w:rPr>
          <w:rStyle w:val="NormalTok"/>
        </w:rPr>
        <w:t xml:space="preserve"> </w:t>
      </w:r>
      <w:r>
        <w:rPr>
          <w:rStyle w:val="CommentTok"/>
        </w:rPr>
        <w:t xml:space="preserve">/* segments, chain head, open epoch, idempotency window */</w:t>
      </w:r>
      <w:r>
        <w:rPr>
          <w:rStyle w:val="NormalTok"/>
        </w:rPr>
        <w:t xml:space="preserve"> </w:t>
      </w:r>
      <w:r>
        <w:rPr>
          <w:rStyle w:val="OperatorTok"/>
        </w:rPr>
        <w:t xml:space="preserve">}</w:t>
      </w:r>
      <w:r>
        <w:br/>
      </w:r>
      <w:r>
        <w:br/>
      </w:r>
      <w:r>
        <w:rPr>
          <w:rStyle w:val="KeywordTok"/>
        </w:rPr>
        <w:t xml:space="preserve">impl</w:t>
      </w:r>
      <w:r>
        <w:rPr>
          <w:rStyle w:val="NormalTok"/>
        </w:rPr>
        <w:t xml:space="preserve"> Ledger </w:t>
      </w:r>
      <w:r>
        <w:rPr>
          <w:rStyle w:val="OperatorTok"/>
        </w:rPr>
        <w:t xml:space="preserve">{</w:t>
      </w:r>
      <w:r>
        <w:br/>
      </w:r>
      <w:r>
        <w:rPr>
          <w:rStyle w:val="NormalTok"/>
        </w:rPr>
        <w:t xml:space="preserve">    </w:t>
      </w:r>
      <w:r>
        <w:rPr>
          <w:rStyle w:val="CommentTok"/>
        </w:rPr>
        <w:t xml:space="preserve">/// Admission: idempotency check, commit rule, authorization. Idempotent by key</w:t>
      </w:r>
      <w:r>
        <w:br/>
      </w:r>
      <w:r>
        <w:rPr>
          <w:rStyle w:val="NormalTok"/>
        </w:rPr>
        <w:t xml:space="preserve">    </w:t>
      </w:r>
      <w:r>
        <w:rPr>
          <w:rStyle w:val="CommentTok"/>
        </w:rPr>
        <w:t xml:space="preserve">/// within the declared window; a fingerprint mismatch is a conflict, not a replay.</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submit(</w:t>
      </w:r>
      <w:r>
        <w:rPr>
          <w:rStyle w:val="OperatorTok"/>
        </w:rPr>
        <w:t xml:space="preserve">&amp;</w:t>
      </w:r>
      <w:r>
        <w:rPr>
          <w:rStyle w:val="KeywordTok"/>
        </w:rPr>
        <w:t xml:space="preserve">self</w:t>
      </w:r>
      <w:r>
        <w:rPr>
          <w:rStyle w:val="OperatorTok"/>
        </w:rPr>
        <w:t xml:space="preserve">,</w:t>
      </w:r>
      <w:r>
        <w:rPr>
          <w:rStyle w:val="NormalTok"/>
        </w:rPr>
        <w:t xml:space="preserve"> txn</w:t>
      </w:r>
      <w:r>
        <w:rPr>
          <w:rStyle w:val="OperatorTok"/>
        </w:rPr>
        <w:t xml:space="preserve">:</w:t>
      </w:r>
      <w:r>
        <w:rPr>
          <w:rStyle w:val="NormalTok"/>
        </w:rPr>
        <w:t xml:space="preserve"> ValidatedTxn)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Pending</w:t>
      </w:r>
      <w:r>
        <w:rPr>
          <w:rStyle w:val="OperatorTok"/>
        </w:rPr>
        <w:t xml:space="preserve">,</w:t>
      </w:r>
      <w:r>
        <w:rPr>
          <w:rStyle w:val="NormalTok"/>
        </w:rPr>
        <w:t xml:space="preserve"> AdmitError</w:t>
      </w:r>
      <w:r>
        <w:rPr>
          <w:rStyle w:val="OperatorTok"/>
        </w:rPr>
        <w:t xml:space="preserve">&gt;;</w:t>
      </w:r>
      <w:r>
        <w:br/>
      </w:r>
      <w:r>
        <w:br/>
      </w:r>
      <w:r>
        <w:rPr>
          <w:rStyle w:val="NormalTok"/>
        </w:rPr>
        <w:t xml:space="preserve">    </w:t>
      </w:r>
      <w:r>
        <w:rPr>
          <w:rStyle w:val="CommentTok"/>
        </w:rPr>
        <w:t xml:space="preserve">/// Seals on the tau boundary or size bound: hash, fsync (and quorum), publish vis.</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seal_boundary(</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SealedEpoch</w:t>
      </w:r>
      <w:r>
        <w:rPr>
          <w:rStyle w:val="OperatorTok"/>
        </w:rPr>
        <w:t xml:space="preserve">;</w:t>
      </w:r>
      <w:r>
        <w:br/>
      </w:r>
      <w:r>
        <w:br/>
      </w:r>
      <w:r>
        <w:rPr>
          <w:rStyle w:val="NormalTok"/>
        </w:rPr>
        <w:t xml:space="preserve">    </w:t>
      </w:r>
      <w:r>
        <w:rPr>
          <w:rStyle w:val="CommentTok"/>
        </w:rPr>
        <w:t xml:space="preserve">/// An immutable, verify-on-read reader over the prefix at `upto`.</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prefix(</w:t>
      </w:r>
      <w:r>
        <w:rPr>
          <w:rStyle w:val="OperatorTok"/>
        </w:rPr>
        <w:t xml:space="preserve">&amp;</w:t>
      </w:r>
      <w:r>
        <w:rPr>
          <w:rStyle w:val="KeywordTok"/>
        </w:rPr>
        <w:t xml:space="preserve">self</w:t>
      </w:r>
      <w:r>
        <w:rPr>
          <w:rStyle w:val="OperatorTok"/>
        </w:rPr>
        <w:t xml:space="preserve">,</w:t>
      </w:r>
      <w:r>
        <w:rPr>
          <w:rStyle w:val="NormalTok"/>
        </w:rPr>
        <w:t xml:space="preserve"> upto</w:t>
      </w:r>
      <w:r>
        <w:rPr>
          <w:rStyle w:val="OperatorTok"/>
        </w:rPr>
        <w:t xml:space="preserve">:</w:t>
      </w:r>
      <w:r>
        <w:rPr>
          <w:rStyle w:val="NormalTok"/>
        </w:rPr>
        <w:t xml:space="preserve"> Epoch) </w:t>
      </w:r>
      <w:r>
        <w:rPr>
          <w:rStyle w:val="OperatorTok"/>
        </w:rPr>
        <w:t xml:space="preserve">-&gt;</w:t>
      </w:r>
      <w:r>
        <w:rPr>
          <w:rStyle w:val="NormalTok"/>
        </w:rPr>
        <w:t xml:space="preserve"> PrefixReader</w:t>
      </w:r>
      <w:r>
        <w:rPr>
          <w:rStyle w:val="OperatorTok"/>
        </w:rPr>
        <w:t xml:space="preserve">;</w:t>
      </w:r>
      <w:r>
        <w:br/>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frontiers(</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Frontiers</w:t>
      </w:r>
      <w:r>
        <w:rPr>
          <w:rStyle w:val="OperatorTok"/>
        </w:rPr>
        <w:t xml:space="preserve">;</w:t>
      </w:r>
      <w:r>
        <w:rPr>
          <w:rStyle w:val="NormalTok"/>
        </w:rPr>
        <w:t xml:space="preserve">                  </w:t>
      </w:r>
      <w:r>
        <w:rPr>
          <w:rStyle w:val="CommentTok"/>
        </w:rPr>
        <w:t xml:space="preserve">// seal / dur / vis</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verify_chain(</w:t>
      </w:r>
      <w:r>
        <w:rPr>
          <w:rStyle w:val="OperatorTok"/>
        </w:rPr>
        <w:t xml:space="preserve">&amp;</w:t>
      </w:r>
      <w:r>
        <w:rPr>
          <w:rStyle w:val="KeywordTok"/>
        </w:rPr>
        <w:t xml:space="preserve">self</w:t>
      </w:r>
      <w:r>
        <w:rPr>
          <w:rStyle w:val="OperatorTok"/>
        </w:rPr>
        <w:t xml:space="preserve">,</w:t>
      </w:r>
      <w:r>
        <w:rPr>
          <w:rStyle w:val="NormalTok"/>
        </w:rPr>
        <w:t xml:space="preserve"> from</w:t>
      </w:r>
      <w:r>
        <w:rPr>
          <w:rStyle w:val="OperatorTok"/>
        </w:rPr>
        <w:t xml:space="preserve">:</w:t>
      </w:r>
      <w:r>
        <w:rPr>
          <w:rStyle w:val="NormalTok"/>
        </w:rPr>
        <w:t xml:space="preserve"> Epoch</w:t>
      </w:r>
      <w:r>
        <w:rPr>
          <w:rStyle w:val="OperatorTok"/>
        </w:rPr>
        <w:t xml:space="preserve">,</w:t>
      </w:r>
      <w:r>
        <w:rPr>
          <w:rStyle w:val="NormalTok"/>
        </w:rPr>
        <w:t xml:space="preserve"> to</w:t>
      </w:r>
      <w:r>
        <w:rPr>
          <w:rStyle w:val="OperatorTok"/>
        </w:rPr>
        <w:t xml:space="preserve">:</w:t>
      </w:r>
      <w:r>
        <w:rPr>
          <w:rStyle w:val="NormalTok"/>
        </w:rPr>
        <w:t xml:space="preserve"> Epoch)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w:t>
      </w:r>
      <w:r>
        <w:rPr>
          <w:rStyle w:val="OperatorTok"/>
        </w:rPr>
        <w:t xml:space="preserve">,</w:t>
      </w:r>
      <w:r>
        <w:rPr>
          <w:rStyle w:val="NormalTok"/>
        </w:rPr>
        <w:t xml:space="preserve"> ChainBreak</w:t>
      </w:r>
      <w:r>
        <w:rPr>
          <w:rStyle w:val="OperatorTok"/>
        </w:rPr>
        <w:t xml:space="preserve">&gt;;</w:t>
      </w:r>
      <w:r>
        <w:br/>
      </w:r>
      <w:r>
        <w:rPr>
          <w:rStyle w:val="OperatorTok"/>
        </w:rPr>
        <w:t xml:space="preserve">}</w:t>
      </w:r>
    </w:p>
    <w:p>
      <w:pPr>
        <w:pStyle w:val="FirstParagraph"/>
      </w:pPr>
      <w:r>
        <w:t xml:space="preserve">Validation stages, in order: schema typing; the commit rule (for ledgers, per-currency zero-sum in exact integer minor units); authorization capabilities for flagged effects; idempotency-window check.</w:t>
      </w:r>
      <w:r>
        <w:t xml:space="preserve"> </w:t>
      </w:r>
      <w:r>
        <w:rPr>
          <w:rStyle w:val="VerbatimChar"/>
        </w:rPr>
        <w:t xml:space="preserve">SealedEpoch</w:t>
      </w:r>
      <w:r>
        <w:t xml:space="preserve"> </w:t>
      </w:r>
      <w:r>
        <w:t xml:space="preserve">carries</w:t>
      </w:r>
      <w:r>
        <w:t xml:space="preserve"> </w:t>
      </w:r>
      <w:r>
        <w:rPr>
          <w:rStyle w:val="VerbatimChar"/>
        </w:rPr>
        <w:t xml:space="preserve">(id, parent_hash, hash, count, bytes)</w:t>
      </w:r>
      <w:r>
        <w:t xml:space="preserve">, and publication order is fsync → chain append → visibility advance, never reordered.</w:t>
      </w:r>
      <w:r>
        <w:t xml:space="preserve"> </w:t>
      </w:r>
      <w:r>
        <w:rPr>
          <w:bCs/>
          <w:b/>
        </w:rPr>
        <w:t xml:space="preserve">There is no update or delete API</w:t>
      </w:r>
      <w:r>
        <w:t xml:space="preserve">, by design: corrections are appends and hold resolutions are appends.</w:t>
      </w:r>
    </w:p>
    <w:bookmarkEnd w:id="278"/>
    <w:bookmarkStart w:id="279" w:name="d.3-read-model-runtime-api"/>
    <w:p>
      <w:pPr>
        <w:pStyle w:val="Heading2"/>
      </w:pPr>
      <w:r>
        <w:t xml:space="preserve">D.3 Read-Model Runtime API</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Slot</w:t>
      </w:r>
      <w:r>
        <w:rPr>
          <w:rStyle w:val="OperatorTok"/>
        </w:rPr>
        <w:t xml:space="preserve">&lt;</w:t>
      </w:r>
      <w:r>
        <w:rPr>
          <w:rStyle w:val="NormalTok"/>
        </w:rPr>
        <w:t xml:space="preserve">V</w:t>
      </w:r>
      <w:r>
        <w:rPr>
          <w:rStyle w:val="OperatorTok"/>
        </w:rPr>
        <w:t xml:space="preserve">&gt;</w:t>
      </w:r>
      <w:r>
        <w:rPr>
          <w:rStyle w:val="NormalTok"/>
        </w:rPr>
        <w:t xml:space="preserve"> </w:t>
      </w:r>
      <w:r>
        <w:rPr>
          <w:rStyle w:val="OperatorTok"/>
        </w:rPr>
        <w:t xml:space="preserve">{</w:t>
      </w:r>
      <w:r>
        <w:rPr>
          <w:rStyle w:val="NormalTok"/>
        </w:rPr>
        <w:t xml:space="preserve"> Bottom</w:t>
      </w:r>
      <w:r>
        <w:rPr>
          <w:rStyle w:val="OperatorTok"/>
        </w:rPr>
        <w:t xml:space="preserve">,</w:t>
      </w:r>
      <w:r>
        <w:rPr>
          <w:rStyle w:val="NormalTok"/>
        </w:rPr>
        <w:t xml:space="preserve"> Hole(Epoch)</w:t>
      </w:r>
      <w:r>
        <w:rPr>
          <w:rStyle w:val="OperatorTok"/>
        </w:rPr>
        <w:t xml:space="preserve">,</w:t>
      </w:r>
      <w:r>
        <w:rPr>
          <w:rStyle w:val="NormalTok"/>
        </w:rPr>
        <w:t xml:space="preserve"> Pending(Epoch</w:t>
      </w:r>
      <w:r>
        <w:rPr>
          <w:rStyle w:val="OperatorTok"/>
        </w:rPr>
        <w:t xml:space="preserve">,</w:t>
      </w:r>
      <w:r>
        <w:rPr>
          <w:rStyle w:val="NormalTok"/>
        </w:rPr>
        <w:t xml:space="preserve"> Waiters)</w:t>
      </w:r>
      <w:r>
        <w:rPr>
          <w:rStyle w:val="OperatorTok"/>
        </w:rPr>
        <w:t xml:space="preserve">,</w:t>
      </w:r>
      <w:r>
        <w:rPr>
          <w:rStyle w:val="NormalTok"/>
        </w:rPr>
        <w:t xml:space="preserve"> Present(V</w:t>
      </w:r>
      <w:r>
        <w:rPr>
          <w:rStyle w:val="OperatorTok"/>
        </w:rPr>
        <w:t xml:space="preserve">,</w:t>
      </w:r>
      <w:r>
        <w:rPr>
          <w:rStyle w:val="NormalTok"/>
        </w:rPr>
        <w:t xml:space="preserve"> Epoch) </w:t>
      </w:r>
      <w:r>
        <w:rPr>
          <w:rStyle w:val="OperatorTok"/>
        </w:rPr>
        <w:t xml:space="preserve">}</w:t>
      </w:r>
      <w:r>
        <w:br/>
      </w:r>
      <w:r>
        <w:br/>
      </w:r>
      <w:r>
        <w:rPr>
          <w:rStyle w:val="KeywordTok"/>
        </w:rPr>
        <w:t xml:space="preserve">pub</w:t>
      </w:r>
      <w:r>
        <w:rPr>
          <w:rStyle w:val="NormalTok"/>
        </w:rPr>
        <w:t xml:space="preserve"> </w:t>
      </w:r>
      <w:r>
        <w:rPr>
          <w:rStyle w:val="KeywordTok"/>
        </w:rPr>
        <w:t xml:space="preserve">struct</w:t>
      </w:r>
      <w:r>
        <w:rPr>
          <w:rStyle w:val="NormalTok"/>
        </w:rPr>
        <w:t xml:space="preserve"> Rev </w:t>
      </w:r>
      <w:r>
        <w:rPr>
          <w:rStyle w:val="OperatorTok"/>
        </w:rPr>
        <w:t xml:space="preserve">{</w:t>
      </w:r>
      <w:r>
        <w:rPr>
          <w:rStyle w:val="NormalTok"/>
        </w:rPr>
        <w:t xml:space="preserve"> </w:t>
      </w:r>
      <w:r>
        <w:rPr>
          <w:rStyle w:val="CommentTok"/>
        </w:rPr>
        <w:t xml:space="preserve">/* circuit, resident map, anchor index, contract, mode */</w:t>
      </w:r>
      <w:r>
        <w:rPr>
          <w:rStyle w:val="NormalTok"/>
        </w:rPr>
        <w:t xml:space="preserve"> </w:t>
      </w:r>
      <w:r>
        <w:rPr>
          <w:rStyle w:val="OperatorTok"/>
        </w:rPr>
        <w:t xml:space="preserve">}</w:t>
      </w:r>
      <w:r>
        <w:br/>
      </w:r>
      <w:r>
        <w:br/>
      </w:r>
      <w:r>
        <w:rPr>
          <w:rStyle w:val="KeywordTok"/>
        </w:rPr>
        <w:t xml:space="preserve">impl</w:t>
      </w:r>
      <w:r>
        <w:rPr>
          <w:rStyle w:val="NormalTok"/>
        </w:rPr>
        <w:t xml:space="preserve"> Rev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read(</w:t>
      </w:r>
      <w:r>
        <w:rPr>
          <w:rStyle w:val="OperatorTok"/>
        </w:rPr>
        <w:t xml:space="preserve">&amp;</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sess</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Session) </w:t>
      </w:r>
      <w:r>
        <w:rPr>
          <w:rStyle w:val="OperatorTok"/>
        </w:rPr>
        <w:t xml:space="preserve">-&gt;</w:t>
      </w:r>
      <w:r>
        <w:rPr>
          <w:rStyle w:val="NormalTok"/>
        </w:rPr>
        <w:t xml:space="preserve"> ReadOutcome</w:t>
      </w:r>
      <w:r>
        <w:rPr>
          <w:rStyle w:val="OperatorTok"/>
        </w:rPr>
        <w:t xml:space="preserve">;</w:t>
      </w:r>
      <w:r>
        <w:rPr>
          <w:rStyle w:val="NormalTok"/>
        </w:rPr>
        <w:t xml:space="preserve"> </w:t>
      </w:r>
      <w:r>
        <w:rPr>
          <w:rStyle w:val="CommentTok"/>
        </w:rPr>
        <w:t xml:space="preserve">// Hit | Wait | Upquery</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apply(</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epoch</w:t>
      </w:r>
      <w:r>
        <w:rPr>
          <w:rStyle w:val="OperatorTok"/>
        </w:rPr>
        <w:t xml:space="preserve">:</w:t>
      </w:r>
      <w:r>
        <w:rPr>
          <w:rStyle w:val="NormalTok"/>
        </w:rPr>
        <w:t xml:space="preserve"> </w:t>
      </w:r>
      <w:r>
        <w:rPr>
          <w:rStyle w:val="OperatorTok"/>
        </w:rPr>
        <w:t xml:space="preserve">&amp;</w:t>
      </w:r>
      <w:r>
        <w:rPr>
          <w:rStyle w:val="NormalTok"/>
        </w:rPr>
        <w:t xml:space="preserve">SealedEpoch)</w:t>
      </w:r>
      <w:r>
        <w:rPr>
          <w:rStyle w:val="OperatorTok"/>
        </w:rPr>
        <w:t xml:space="preserve">;</w:t>
      </w:r>
      <w:r>
        <w:rPr>
          <w:rStyle w:val="NormalTok"/>
        </w:rPr>
        <w:t xml:space="preserve">          </w:t>
      </w:r>
      <w:r>
        <w:rPr>
          <w:rStyle w:val="CommentTok"/>
        </w:rPr>
        <w:t xml:space="preserve">// advance anchors monotonically</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evict(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Present -&gt; Hole(anchor)</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upquery(</w:t>
      </w:r>
      <w:r>
        <w:rPr>
          <w:rStyle w:val="OperatorTok"/>
        </w:rPr>
        <w:t xml:space="preserve">&amp;</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Key</w:t>
      </w:r>
      <w:r>
        <w:rPr>
          <w:rStyle w:val="OperatorTok"/>
        </w:rPr>
        <w:t xml:space="preserve">,</w:t>
      </w:r>
      <w:r>
        <w:rPr>
          <w:rStyle w:val="NormalTok"/>
        </w:rPr>
        <w:t xml:space="preserve"> at</w:t>
      </w:r>
      <w:r>
        <w:rPr>
          <w:rStyle w:val="OperatorTok"/>
        </w:rPr>
        <w:t xml:space="preserve">:</w:t>
      </w:r>
      <w:r>
        <w:rPr>
          <w:rStyle w:val="NormalTok"/>
        </w:rPr>
        <w:t xml:space="preserve"> Epoch) </w:t>
      </w:r>
      <w:r>
        <w:rPr>
          <w:rStyle w:val="OperatorTok"/>
        </w:rPr>
        <w:t xml:space="preserve">-&gt;</w:t>
      </w:r>
      <w:r>
        <w:rPr>
          <w:rStyle w:val="NormalTok"/>
        </w:rPr>
        <w:t xml:space="preserve"> Anchored</w:t>
      </w:r>
      <w:r>
        <w:rPr>
          <w:rStyle w:val="OperatorTok"/>
        </w:rPr>
        <w:t xml:space="preserve">&lt;</w:t>
      </w:r>
      <w:r>
        <w:rPr>
          <w:rStyle w:val="NormalTok"/>
        </w:rPr>
        <w:t xml:space="preserve">Val</w:t>
      </w:r>
      <w:r>
        <w:rPr>
          <w:rStyle w:val="OperatorTok"/>
        </w:rPr>
        <w:t xml:space="preserve">&gt;;</w:t>
      </w:r>
      <w:r>
        <w:rPr>
          <w:rStyle w:val="NormalTok"/>
        </w:rPr>
        <w:t xml:space="preserve">   </w:t>
      </w:r>
      <w:r>
        <w:rPr>
          <w:rStyle w:val="CommentTok"/>
        </w:rPr>
        <w:t xml:space="preserve">// pull over frozen prefix</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frontier(</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Epoch</w:t>
      </w:r>
      <w:r>
        <w:rPr>
          <w:rStyle w:val="OperatorTok"/>
        </w:rPr>
        <w:t xml:space="preserve">;</w:t>
      </w:r>
      <w:r>
        <w:rPr>
          <w:rStyle w:val="NormalTok"/>
        </w:rPr>
        <w:t xml:space="preserve">                       </w:t>
      </w:r>
      <w:r>
        <w:rPr>
          <w:rStyle w:val="CommentTok"/>
        </w:rPr>
        <w:t xml:space="preserve">// applied_V</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explain(</w:t>
      </w:r>
      <w:r>
        <w:rPr>
          <w:rStyle w:val="OperatorTok"/>
        </w:rPr>
        <w:t xml:space="preserve">&amp;</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Key) </w:t>
      </w:r>
      <w:r>
        <w:rPr>
          <w:rStyle w:val="OperatorTok"/>
        </w:rPr>
        <w:t xml:space="preserve">-&gt;</w:t>
      </w:r>
      <w:r>
        <w:rPr>
          <w:rStyle w:val="NormalTok"/>
        </w:rPr>
        <w:t xml:space="preserve"> Lineage</w:t>
      </w:r>
      <w:r>
        <w:rPr>
          <w:rStyle w:val="OperatorTok"/>
        </w:rPr>
        <w:t xml:space="preserve">;</w:t>
      </w:r>
      <w:r>
        <w:rPr>
          <w:rStyle w:val="NormalTok"/>
        </w:rPr>
        <w:t xml:space="preserve">            </w:t>
      </w:r>
      <w:r>
        <w:rPr>
          <w:rStyle w:val="CommentTok"/>
        </w:rPr>
        <w:t xml:space="preserve">// at the view's lineage mode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set_mode(</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range</w:t>
      </w:r>
      <w:r>
        <w:rPr>
          <w:rStyle w:val="OperatorTok"/>
        </w:rPr>
        <w:t xml:space="preserve">:</w:t>
      </w:r>
      <w:r>
        <w:rPr>
          <w:rStyle w:val="NormalTok"/>
        </w:rPr>
        <w:t xml:space="preserve"> KeyRange</w:t>
      </w:r>
      <w:r>
        <w:rPr>
          <w:rStyle w:val="OperatorTok"/>
        </w:rPr>
        <w:t xml:space="preserve">,</w:t>
      </w:r>
      <w:r>
        <w:rPr>
          <w:rStyle w:val="NormalTok"/>
        </w:rPr>
        <w:t xml:space="preserve"> mode</w:t>
      </w:r>
      <w:r>
        <w:rPr>
          <w:rStyle w:val="OperatorTok"/>
        </w:rPr>
        <w:t xml:space="preserve">:</w:t>
      </w:r>
      <w:r>
        <w:rPr>
          <w:rStyle w:val="NormalTok"/>
        </w:rPr>
        <w:t xml:space="preserve"> Mode)</w:t>
      </w:r>
      <w:r>
        <w:rPr>
          <w:rStyle w:val="OperatorTok"/>
        </w:rPr>
        <w:t xml:space="preserve">;</w:t>
      </w:r>
      <w:r>
        <w:rPr>
          <w:rStyle w:val="NormalTok"/>
        </w:rPr>
        <w:t xml:space="preserve"> </w:t>
      </w:r>
      <w:r>
        <w:rPr>
          <w:rStyle w:val="CommentTok"/>
        </w:rPr>
        <w:t xml:space="preserve">// optimizer-driven; see Thm 4.5(a)</w:t>
      </w:r>
      <w:r>
        <w:br/>
      </w:r>
      <w:r>
        <w:rPr>
          <w:rStyle w:val="OperatorTok"/>
        </w:rPr>
        <w:t xml:space="preserve">}</w:t>
      </w:r>
    </w:p>
    <w:p>
      <w:pPr>
        <w:pStyle w:val="FirstParagraph"/>
      </w:pPr>
      <w:r>
        <w:rPr>
          <w:rStyle w:val="VerbatimChar"/>
        </w:rPr>
        <w:t xml:space="preserve">Slot</w:t>
      </w:r>
      <w:r>
        <w:t xml:space="preserve"> </w:t>
      </w:r>
      <w:r>
        <w:t xml:space="preserve">is the absence lattice of Section 3.4 verbatim — the type mirrors the lattice deliberately, so that a state the theory does not contemplate cannot be represented.</w:t>
      </w:r>
    </w:p>
    <w:p>
      <w:pPr>
        <w:pStyle w:val="BodyText"/>
      </w:pPr>
      <w:r>
        <w:rPr>
          <w:bCs/>
          <w:b/>
        </w:rPr>
        <w:t xml:space="preserve">Anchor indices.</w:t>
      </w:r>
      <w:r>
        <w:t xml:space="preserve"> </w:t>
      </w:r>
      <w:r>
        <w:t xml:space="preserve">Per key, an epoch-skip structure over that key’s delta positions in the segment stream, giving amortized O(1) location of the deltas in an interval. This is the structure that discharges Theorem 4.3′’s access assumption in practice; without it, locating a key’s history would scan and would reintroduce a dependence on base length.</w:t>
      </w:r>
    </w:p>
    <w:bookmarkEnd w:id="279"/>
    <w:bookmarkStart w:id="280" w:name="Xff43e09c06c511c448fa1367241e77f9e8fa42b"/>
    <w:p>
      <w:pPr>
        <w:pStyle w:val="Heading2"/>
      </w:pPr>
      <w:r>
        <w:t xml:space="preserve">D.4 The Typed Intermediate Representation</w:t>
      </w:r>
    </w:p>
    <w:p>
      <w:pPr>
        <w:pStyle w:val="FirstParagraph"/>
      </w:pPr>
      <w:r>
        <w:t xml:space="preserve">The IR is a circuit language: nodes are operators, edges carry</w:t>
      </w:r>
      <w:r>
        <w:t xml:space="preserve"> </w:t>
      </w:r>
      <w:r>
        <w:rPr>
          <w:rStyle w:val="VerbatimChar"/>
        </w:rPr>
        <w:t xml:space="preserve">Stream&lt;Z&lt;Row&gt;&gt;</w:t>
      </w:r>
      <w:r>
        <w:t xml:space="preserve"> </w:t>
      </w:r>
      <w:r>
        <w:t xml:space="preserve">types annotated with anchors, effects, contracts and provenance.</w:t>
      </w:r>
    </w:p>
    <w:p>
      <w:pPr>
        <w:pStyle w:val="BodyText"/>
      </w:pPr>
      <w:r>
        <w:rPr>
          <w:bCs/>
          <w:b/>
        </w:rPr>
        <w:t xml:space="preserve">Operator set.</w:t>
      </w:r>
      <w:r>
        <w:t xml:space="preserve"> </w:t>
      </w:r>
      <w:r>
        <w:rPr>
          <w:rStyle w:val="VerbatimChar"/>
        </w:rPr>
        <w:t xml:space="preserve">source(table|base|ledger) map filter project join(inner|left|semi|anti) group aggregate(Δ-form) distinct union negate integrate differentiate delay window fixpoint(guarded) json_path graph_step index_terms sink(view{contract})</w:t>
      </w:r>
      <w:r>
        <w:t xml:space="preserve">.</w:t>
      </w:r>
    </w:p>
    <w:p>
      <w:pPr>
        <w:pStyle w:val="BodyText"/>
      </w:pPr>
      <w:r>
        <w:rPr>
          <w:bCs/>
          <w:b/>
        </w:rPr>
        <w:t xml:space="preserve">Per-node metadata.</w:t>
      </w:r>
      <w:r>
        <w:t xml:space="preserve"> </w:t>
      </w:r>
      <w:r>
        <w:t xml:space="preserve">Row type; key type; delta form;</w:t>
      </w:r>
      <w:r>
        <w:t xml:space="preserve"> </w:t>
      </w:r>
      <w:r>
        <w:rPr>
          <w:bCs/>
          <w:b/>
        </w:rPr>
        <w:t xml:space="preserve">upquery path</w:t>
      </w:r>
      <w:r>
        <w:t xml:space="preserve"> </w:t>
      </w:r>
      <w:r>
        <w:t xml:space="preserve">(the reverse-mode slice specification — which input keys suffice to recompute one output key, derived at plan time as the support of the provenance polynomial); effect row; and lineage mode.</w:t>
      </w:r>
    </w:p>
    <w:p>
      <w:pPr>
        <w:pStyle w:val="BodyText"/>
      </w:pPr>
      <w:r>
        <w:rPr>
          <w:bCs/>
          <w:b/>
        </w:rPr>
        <w:t xml:space="preserve">The verifier checks:</w:t>
      </w:r>
      <w:r>
        <w:t xml:space="preserve"> </w:t>
      </w:r>
      <w:r>
        <w:t xml:space="preserve">type and effect coherence; contract compatibility at sinks (a sink may not demand a rung its sources cannot supply); guardedness of every fixpoint; absence of nondeterministic operators; well-formedness of upquery paths (every output key must have a finite recomputation witness — a circuit without one cannot be partially materialized and is rejected for</w:t>
      </w:r>
      <w:r>
        <w:t xml:space="preserve"> </w:t>
      </w:r>
      <w:r>
        <w:rPr>
          <w:rStyle w:val="VerbatimChar"/>
        </w:rPr>
        <w:t xml:space="preserve">demand</w:t>
      </w:r>
      <w:r>
        <w:t xml:space="preserve"> </w:t>
      </w:r>
      <w:r>
        <w:t xml:space="preserve">mode at compile time rather than failing at runtime); and confidentiality flow.</w:t>
      </w:r>
    </w:p>
    <w:p>
      <w:pPr>
        <w:pStyle w:val="BodyText"/>
      </w:pPr>
      <w:r>
        <w:rPr>
          <w:bCs/>
          <w:b/>
        </w:rPr>
        <w:t xml:space="preserve">Identity.</w:t>
      </w:r>
      <w:r>
        <w:t xml:space="preserve"> </w:t>
      </w:r>
      <w:r>
        <w:t xml:space="preserve">IR is serialized content-addressed, so</w:t>
      </w:r>
      <w:r>
        <w:t xml:space="preserve"> </w:t>
      </w:r>
      <w:r>
        <w:rPr>
          <w:bCs/>
          <w:b/>
        </w:rPr>
        <w:t xml:space="preserve">view identity is the IR hash</w:t>
      </w:r>
      <w:r>
        <w:t xml:space="preserve">. This is what makes</w:t>
      </w:r>
      <w:r>
        <w:t xml:space="preserve"> </w:t>
      </w:r>
      <w:r>
        <w:t xml:space="preserve">“</w:t>
      </w:r>
      <w:r>
        <w:t xml:space="preserve">the same view</w:t>
      </w:r>
      <w:r>
        <w:t xml:space="preserve">”</w:t>
      </w:r>
      <w:r>
        <w:t xml:space="preserve"> </w:t>
      </w:r>
      <w:r>
        <w:t xml:space="preserve">well-defined across upgrades, what lets the optimizer’s statistics survive a redeploy that did not change semantics, and what makes a semantic change to a view a visible, auditable event.</w:t>
      </w:r>
    </w:p>
    <w:bookmarkEnd w:id="280"/>
    <w:bookmarkStart w:id="281" w:name="d.5-wire-protocols"/>
    <w:p>
      <w:pPr>
        <w:pStyle w:val="Heading2"/>
      </w:pPr>
      <w:r>
        <w:t xml:space="preserve">D.5 Wire Protocols</w:t>
      </w:r>
    </w:p>
    <w:p>
      <w:pPr>
        <w:pStyle w:val="FirstParagraph"/>
      </w:pPr>
      <w:r>
        <w:rPr>
          <w:bCs/>
          <w:b/>
        </w:rPr>
        <w:t xml:space="preserve">Native.</w:t>
      </w:r>
      <w:r>
        <w:t xml:space="preserve"> </w:t>
      </w:r>
      <w:r>
        <w:t xml:space="preserve">Length-prefixed versioned frames carrying typed results</w:t>
      </w:r>
      <w:r>
        <w:t xml:space="preserve"> </w:t>
      </w:r>
      <w:r>
        <w:rPr>
          <w:iCs/>
          <w:i/>
        </w:rPr>
        <w:t xml:space="preserve">with anchors</w:t>
      </w:r>
      <w:r>
        <w:t xml:space="preserve">; sessions hold the ladder watermarks implementing ℓ₁ and ℓ₂.</w:t>
      </w:r>
    </w:p>
    <w:p>
      <w:pPr>
        <w:pStyle w:val="BodyText"/>
      </w:pPr>
      <w:r>
        <w:rPr>
          <w:bCs/>
          <w:b/>
        </w:rPr>
        <w:t xml:space="preserve">MySQL adapter.</w:t>
      </w:r>
      <w:r>
        <w:t xml:space="preserve"> </w:t>
      </w:r>
      <w:r>
        <w:t xml:space="preserve">Handshake, standard authentication plugins, query and prepared-statement lifecycles, text and binary result sets; the supported statement subset is documented and corresponds to the fragment of Appendix H. The anchor is exposed through a session variable and an optional result attribute.</w:t>
      </w:r>
    </w:p>
    <w:p>
      <w:pPr>
        <w:pStyle w:val="BodyText"/>
      </w:pPr>
      <w:r>
        <w:rPr>
          <w:bCs/>
          <w:b/>
        </w:rPr>
        <w:t xml:space="preserve">PostgreSQL adapter.</w:t>
      </w:r>
      <w:r>
        <w:t xml:space="preserve"> </w:t>
      </w:r>
      <w:r>
        <w:t xml:space="preserve">Startup and authentication, simple and extended query protocols, text and binary formats, cursors; the anchor is exposed through a notice field and a settable/gettable parameter.</w:t>
      </w:r>
    </w:p>
    <w:p>
      <w:pPr>
        <w:pStyle w:val="BodyText"/>
      </w:pPr>
      <w:r>
        <w:rPr>
          <w:bCs/>
          <w:b/>
        </w:rPr>
        <w:t xml:space="preserve">Policy.</w:t>
      </w:r>
      <w:r>
        <w:t xml:space="preserve"> </w:t>
      </w:r>
      <w:r>
        <w:t xml:space="preserve">Anything outside the documented subset returns a named unsupported-feature error. Silent divergence is a correctness bug, not a compatibility gap — the operational counterpart of Theorem 4.6(c)’s fragment honesty.</w:t>
      </w:r>
    </w:p>
    <w:bookmarkEnd w:id="281"/>
    <w:bookmarkStart w:id="282" w:name="d.6-storage-durability-and-memory"/>
    <w:p>
      <w:pPr>
        <w:pStyle w:val="Heading2"/>
      </w:pPr>
      <w:r>
        <w:t xml:space="preserve">D.6 Storage, Durability, and Memory</w:t>
      </w:r>
    </w:p>
    <w:p>
      <w:pPr>
        <w:pStyle w:val="FirstParagraph"/>
      </w:pPr>
      <w:r>
        <w:rPr>
          <w:bCs/>
          <w:b/>
        </w:rPr>
        <w:t xml:space="preserve">Segment format.</w:t>
      </w:r>
      <w:r>
        <w:t xml:space="preserve"> </w:t>
      </w:r>
      <w:r>
        <w:t xml:space="preserve">Header (magic, version, algorithm identifiers, epoch id, parent hash), body (canonically serialized rows, compressed), footer (hash, checksum). Algorithm identifiers in the header are what make cryptographic agility possible without breaking historical verification.</w:t>
      </w:r>
    </w:p>
    <w:p>
      <w:pPr>
        <w:pStyle w:val="BodyText"/>
      </w:pPr>
      <w:r>
        <w:rPr>
          <w:bCs/>
          <w:b/>
        </w:rPr>
        <w:t xml:space="preserve">Durability.</w:t>
      </w:r>
      <w:r>
        <w:t xml:space="preserve"> </w:t>
      </w:r>
      <w:r>
        <w:t xml:space="preserve">Group commit within τ; fsync then chain-append then publish; quorum acknowledgement in replicated profiles.</w:t>
      </w:r>
    </w:p>
    <w:p>
      <w:pPr>
        <w:pStyle w:val="BodyText"/>
      </w:pPr>
      <w:r>
        <w:rPr>
          <w:bCs/>
          <w:b/>
        </w:rPr>
        <w:t xml:space="preserve">Tiering.</w:t>
      </w:r>
      <w:r>
        <w:t xml:space="preserve"> </w:t>
      </w:r>
      <w:r>
        <w:t xml:space="preserve">Hot segments on fast local media; cold segments in object storage with verify-on-read. Checkpoints of resident maps are pure caches — never trusted, always re-derivable.</w:t>
      </w:r>
    </w:p>
    <w:p>
      <w:pPr>
        <w:pStyle w:val="BodyText"/>
      </w:pPr>
      <w:r>
        <w:rPr>
          <w:bCs/>
          <w:b/>
        </w:rPr>
        <w:t xml:space="preserve">No base compaction.</w:t>
      </w:r>
      <w:r>
        <w:t xml:space="preserve"> </w:t>
      </w:r>
      <w:r>
        <w:t xml:space="preserve">Proposition 3.4 makes full retention necessary for reconstructibility, so segments may be migrated and re-encoded but never merged away. This is the one place where a conventional storage engine’s most useful feature is deliberately forbidden.</w:t>
      </w:r>
    </w:p>
    <w:p>
      <w:pPr>
        <w:pStyle w:val="BodyText"/>
      </w:pPr>
      <w:r>
        <w:rPr>
          <w:bCs/>
          <w:b/>
        </w:rPr>
        <w:t xml:space="preserve">Memory.</w:t>
      </w:r>
      <w:r>
        <w:t xml:space="preserve"> </w:t>
      </w:r>
      <w:r>
        <w:t xml:space="preserve">Arena-per-open-epoch on the write path; slab allocation for resident maps under the optimizer’s budget. The global memory budget is the</w:t>
      </w:r>
      <w:r>
        <w:t xml:space="preserve"> </w:t>
      </w:r>
      <w:r>
        <w:rPr>
          <w:rStyle w:val="VerbatimChar"/>
        </w:rPr>
        <w:t xml:space="preserve">m</w:t>
      </w:r>
      <w:r>
        <w:t xml:space="preserve"> </w:t>
      </w:r>
      <w:r>
        <w:t xml:space="preserve">of every theorem in Chapter 4.</w:t>
      </w:r>
    </w:p>
    <w:bookmarkEnd w:id="282"/>
    <w:bookmarkStart w:id="283" w:name="d.7-configuration-reference"/>
    <w:p>
      <w:pPr>
        <w:pStyle w:val="Heading2"/>
      </w:pPr>
      <w:r>
        <w:t xml:space="preserve">D.7 Configuration Reference</w:t>
      </w:r>
    </w:p>
    <w:p>
      <w:pPr>
        <w:pStyle w:val="FirstParagraph"/>
      </w:pPr>
      <w:r>
        <w:rPr>
          <w:bCs/>
          <w:b/>
        </w:rPr>
        <w:t xml:space="preserve">Per view:</w:t>
      </w:r>
      <w:r>
        <w:t xml:space="preserve"> </w:t>
      </w:r>
      <w:r>
        <w:rPr>
          <w:rStyle w:val="VerbatimChar"/>
        </w:rPr>
        <w:t xml:space="preserve">consistency</w:t>
      </w:r>
      <w:r>
        <w:t xml:space="preserve"> </w:t>
      </w:r>
      <w:r>
        <w:t xml:space="preserve">(six rungs),</w:t>
      </w:r>
      <w:r>
        <w:t xml:space="preserve"> </w:t>
      </w:r>
      <w:r>
        <w:rPr>
          <w:rStyle w:val="VerbatimChar"/>
        </w:rPr>
        <w:t xml:space="preserve">freshness</w:t>
      </w:r>
      <w:r>
        <w:t xml:space="preserve"> </w:t>
      </w:r>
      <w:r>
        <w:t xml:space="preserve">(K, T),</w:t>
      </w:r>
      <w:r>
        <w:t xml:space="preserve"> </w:t>
      </w:r>
      <w:r>
        <w:rPr>
          <w:rStyle w:val="VerbatimChar"/>
        </w:rPr>
        <w:t xml:space="preserve">checkpoint</w:t>
      </w:r>
      <w:r>
        <w:t xml:space="preserve"> </w:t>
      </w:r>
      <w:r>
        <w:t xml:space="preserve">(per-key interval C; Theorem 3.7),</w:t>
      </w:r>
      <w:r>
        <w:t xml:space="preserve"> </w:t>
      </w:r>
      <w:r>
        <w:rPr>
          <w:rStyle w:val="VerbatimChar"/>
        </w:rPr>
        <w:t xml:space="preserve">materialize</w:t>
      </w:r>
      <w:r>
        <w:t xml:space="preserve"> </w:t>
      </w:r>
      <w:r>
        <w:t xml:space="preserve">(</w:t>
      </w:r>
      <w:r>
        <w:rPr>
          <w:rStyle w:val="VerbatimChar"/>
        </w:rPr>
        <w:t xml:space="preserve">absent | demand | full | spilled | tiered | auto</w:t>
      </w:r>
      <w:r>
        <w:t xml:space="preserve">),</w:t>
      </w:r>
      <w:r>
        <w:t xml:space="preserve"> </w:t>
      </w:r>
      <w:r>
        <w:rPr>
          <w:rStyle w:val="VerbatimChar"/>
        </w:rPr>
        <w:t xml:space="preserve">budget_share</w:t>
      </w:r>
      <w:r>
        <w:t xml:space="preserve">,</w:t>
      </w:r>
      <w:r>
        <w:t xml:space="preserve"> </w:t>
      </w:r>
      <w:r>
        <w:rPr>
          <w:rStyle w:val="VerbatimChar"/>
        </w:rPr>
        <w:t xml:space="preserve">retain</w:t>
      </w:r>
      <w:r>
        <w:t xml:space="preserve"> </w:t>
      </w:r>
      <w:r>
        <w:t xml:space="preserve">(</w:t>
      </w:r>
      <w:r>
        <w:rPr>
          <w:rStyle w:val="VerbatimChar"/>
        </w:rPr>
        <w:t xml:space="preserve">evictable | pinned | forever</w:t>
      </w:r>
      <w:r>
        <w:t xml:space="preserve">),</w:t>
      </w:r>
      <w:r>
        <w:t xml:space="preserve"> </w:t>
      </w:r>
      <w:r>
        <w:rPr>
          <w:rStyle w:val="VerbatimChar"/>
        </w:rPr>
        <w:t xml:space="preserve">lineage</w:t>
      </w:r>
      <w:r>
        <w:t xml:space="preserve"> </w:t>
      </w:r>
      <w:r>
        <w:t xml:space="preserve">(</w:t>
      </w:r>
      <w:r>
        <w:rPr>
          <w:rStyle w:val="VerbatimChar"/>
        </w:rPr>
        <w:t xml:space="preserve">off | key | full</w:t>
      </w:r>
      <w:r>
        <w:t xml:space="preserve">),</w:t>
      </w:r>
      <w:r>
        <w:t xml:space="preserve"> </w:t>
      </w:r>
      <w:r>
        <w:rPr>
          <w:rStyle w:val="VerbatimChar"/>
        </w:rPr>
        <w:t xml:space="preserve">backfill</w:t>
      </w:r>
      <w:r>
        <w:t xml:space="preserve">,</w:t>
      </w:r>
      <w:r>
        <w:t xml:space="preserve"> </w:t>
      </w:r>
      <w:r>
        <w:rPr>
          <w:rStyle w:val="VerbatimChar"/>
        </w:rPr>
        <w:t xml:space="preserve">upquery_parallelism</w:t>
      </w:r>
      <w:r>
        <w:t xml:space="preserve">,</w:t>
      </w:r>
      <w:r>
        <w:t xml:space="preserve"> </w:t>
      </w:r>
      <w:r>
        <w:rPr>
          <w:rStyle w:val="VerbatimChar"/>
        </w:rPr>
        <w:t xml:space="preserve">checkpoint</w:t>
      </w:r>
      <w:r>
        <w:t xml:space="preserve">.</w:t>
      </w:r>
    </w:p>
    <w:p>
      <w:pPr>
        <w:pStyle w:val="BodyText"/>
      </w:pPr>
      <w:r>
        <w:rPr>
          <w:bCs/>
          <w:b/>
        </w:rPr>
        <w:t xml:space="preserve">Global:</w:t>
      </w:r>
      <w:r>
        <w:t xml:space="preserve"> </w:t>
      </w:r>
      <w:r>
        <w:t xml:space="preserve">epoch period τ, durability mode, memory budget, tiering thresholds, optimizer aggressiveness and hysteresis, wire-protocol toggles, audit endpoints, UDF fuel limits.</w:t>
      </w:r>
    </w:p>
    <w:p>
      <w:pPr>
        <w:pStyle w:val="BodyText"/>
      </w:pPr>
      <w:r>
        <w:t xml:space="preserve">Every knob is pinned and recorded in benchmark configurations (Section 9.2), because an unrecorded knob is an unreproducible result.</w:t>
      </w:r>
    </w:p>
    <w:bookmarkEnd w:id="283"/>
    <w:bookmarkStart w:id="284" w:name="d.8-observability-audit-and-operations"/>
    <w:p>
      <w:pPr>
        <w:pStyle w:val="Heading2"/>
      </w:pPr>
      <w:r>
        <w:t xml:space="preserve">D.8 Observability, Audit, and Operations</w:t>
      </w:r>
    </w:p>
    <w:p>
      <w:pPr>
        <w:pStyle w:val="FirstParagraph"/>
      </w:pPr>
      <w:r>
        <w:rPr>
          <w:bCs/>
          <w:b/>
        </w:rPr>
        <w:t xml:space="preserve">Metrics.</w:t>
      </w:r>
      <w:r>
        <w:t xml:space="preserve"> </w:t>
      </w:r>
      <w:r>
        <w:t xml:space="preserve">Frontier gauges (seal, dur, vis, applied per view); hit, miss and upquery counters;</w:t>
      </w:r>
      <w:r>
        <w:t xml:space="preserve"> </w:t>
      </w:r>
      <w:r>
        <w:rPr>
          <w:bCs/>
          <w:b/>
        </w:rPr>
        <w:t xml:space="preserve">reconstruction-latency distributions and the derived Z per key range</w:t>
      </w:r>
      <w:r>
        <w:t xml:space="preserve"> </w:t>
      </w:r>
      <w:r>
        <w:t xml:space="preserve">(required by Section 5.5, since a phase-diagram point without Z is uninterpretable); eviction pressure; mode transitions</w:t>
      </w:r>
      <w:r>
        <w:t xml:space="preserve"> </w:t>
      </w:r>
      <w:r>
        <w:rPr>
          <w:iCs/>
          <w:i/>
        </w:rPr>
        <w:t xml:space="preserve">with the estimator values that caused them</w:t>
      </w:r>
      <w:r>
        <w:t xml:space="preserve">; admission rejections by cause; chain-verification status.</w:t>
      </w:r>
    </w:p>
    <w:p>
      <w:pPr>
        <w:pStyle w:val="BodyText"/>
      </w:pPr>
      <w:r>
        <w:rPr>
          <w:bCs/>
          <w:b/>
        </w:rPr>
        <w:t xml:space="preserve">Audit endpoints.</w:t>
      </w:r>
      <w:r>
        <w:t xml:space="preserve"> </w:t>
      </w:r>
      <w:r>
        <w:t xml:space="preserve">Chain verification over a range; reproduction of a published</w:t>
      </w:r>
      <w:r>
        <w:t xml:space="preserve"> </w:t>
      </w:r>
      <w:r>
        <w:rPr>
          <w:rStyle w:val="VerbatimChar"/>
        </w:rPr>
        <w:t xml:space="preserve">(answer, epoch)</w:t>
      </w:r>
      <w:r>
        <w:t xml:space="preserve"> </w:t>
      </w:r>
      <w:r>
        <w:t xml:space="preserve">by recomputation and byte comparison; bitemporal query by (system epoch, valid time); and impact analysis from a base row to affected derived entries.</w:t>
      </w:r>
    </w:p>
    <w:p>
      <w:pPr>
        <w:pStyle w:val="BodyText"/>
      </w:pPr>
      <w:r>
        <w:rPr>
          <w:bCs/>
          <w:b/>
        </w:rPr>
        <w:t xml:space="preserve">Operations.</w:t>
      </w:r>
      <w:r>
        <w:t xml:space="preserve"> </w:t>
      </w:r>
      <w:r>
        <w:t xml:space="preserve">Drain-and-seal; checkpoint; migrate; rotate keys (recorded as a ledger event); deploy and retire views by IR hash. Logs are structured and epoch-stamped.</w:t>
      </w:r>
    </w:p>
    <w:bookmarkEnd w:id="284"/>
    <w:bookmarkStart w:id="285" w:name="d.9-deployment-topology"/>
    <w:p>
      <w:pPr>
        <w:pStyle w:val="Heading2"/>
      </w:pPr>
      <w:r>
        <w:t xml:space="preserve">D.9 Deployment Topology</w:t>
      </w:r>
    </w:p>
    <w:p>
      <w:pPr>
        <w:pStyle w:val="FirstParagraph"/>
      </w:pPr>
      <w:r>
        <w:rPr>
          <w:bCs/>
          <w:b/>
        </w:rPr>
        <w:t xml:space="preserve">Single node.</w:t>
      </w:r>
      <w:r>
        <w:t xml:space="preserve"> </w:t>
      </w:r>
      <w:r>
        <w:t xml:space="preserve">One process, all crates in-process.</w:t>
      </w:r>
    </w:p>
    <w:p>
      <w:pPr>
        <w:pStyle w:val="BodyText"/>
      </w:pPr>
      <w:r>
        <w:rPr>
          <w:bCs/>
          <w:b/>
        </w:rPr>
        <w:t xml:space="preserve">Replicated.</w:t>
      </w:r>
      <w:r>
        <w:t xml:space="preserve"> </w:t>
      </w:r>
      <w:r>
        <w:t xml:space="preserve">A ledger group under established consensus, with sequencing following leadership; read models on followers or dedicated read nodes subscribing to sealed epochs.</w:t>
      </w:r>
    </w:p>
    <w:p>
      <w:pPr>
        <w:pStyle w:val="BodyText"/>
      </w:pPr>
      <w:r>
        <w:rPr>
          <w:bCs/>
          <w:b/>
        </w:rPr>
        <w:t xml:space="preserve">Sharded.</w:t>
      </w:r>
      <w:r>
        <w:t xml:space="preserve"> </w:t>
      </w:r>
      <w:r>
        <w:t xml:space="preserve">Multiple ledger groups partitioned by account space (or, for currency-partitioned deployments, by ledger), with cross-shard transactions via the epoch-aligned protocol of Section 8.6 and read models joining per-group frontiers into vector anchors. At this tier ℓ₃ requires a consistent cut across groups rather than a scalar epoch — the one place the formal machinery changes shape.</w:t>
      </w:r>
    </w:p>
    <w:p>
      <w:pPr>
        <w:pStyle w:val="BodyText"/>
      </w:pPr>
      <w:r>
        <w:rPr>
          <w:bCs/>
          <w:b/>
        </w:rPr>
        <w:t xml:space="preserve">Edge.</w:t>
      </w:r>
      <w:r>
        <w:t xml:space="preserve"> </w:t>
      </w:r>
      <w:r>
        <w:t xml:space="preserve">Read-only replicas serving ℓ₀–ℓ₃ from shipped segments; strict rungs always route to the group, because ℓ₅ is provably unavailable at the edge.</w:t>
      </w:r>
    </w:p>
    <w:bookmarkEnd w:id="285"/>
    <w:bookmarkEnd w:id="286"/>
    <w:bookmarkStart w:id="310" w:name="Xddf79ded5a8420ae5320d05282c0a3e55bff85c"/>
    <w:p>
      <w:pPr>
        <w:pStyle w:val="Heading1"/>
      </w:pPr>
      <w:r>
        <w:t xml:space="preserve">Appendix E. The Niles Self-Hosting Compiler</w:t>
      </w:r>
    </w:p>
    <w:bookmarkStart w:id="287" w:name="Xbbf772ddbb3634947ce66014966feed8035cbe7"/>
    <w:p>
      <w:pPr>
        <w:pStyle w:val="Heading2"/>
      </w:pPr>
      <w:r>
        <w:t xml:space="preserve">E.0 Status: What Is Built, and What This Appendix Describes</w:t>
      </w:r>
    </w:p>
    <w:p>
      <w:pPr>
        <w:pStyle w:val="FirstParagraph"/>
      </w:pPr>
      <w:r>
        <w:t xml:space="preserve">This appendix is written in the present tense throughout, and the reader is owed an explicit statement of what that tense refers to, because the answer differs by section and a document that blurred the difference would be overclaiming.</w:t>
      </w:r>
    </w:p>
    <w:p>
      <w:pPr>
        <w:pStyle w:val="BodyText"/>
      </w:pPr>
      <w:r>
        <w:rPr>
          <w:bCs/>
          <w:b/>
        </w:rPr>
        <w:t xml:space="preserve">Built and running</w:t>
      </w:r>
      <w:r>
        <w:t xml:space="preserve"> </w:t>
      </w:r>
      <w:r>
        <w:t xml:space="preserve">(</w:t>
      </w:r>
      <w:r>
        <w:rPr>
          <w:rStyle w:val="VerbatimChar"/>
        </w:rPr>
        <w:t xml:space="preserve">crates/niles-lang</w:t>
      </w:r>
      <w:r>
        <w:t xml:space="preserve">, and reproducible by</w:t>
      </w:r>
      <w:r>
        <w:t xml:space="preserve"> </w:t>
      </w:r>
      <w:r>
        <w:rPr>
          <w:rStyle w:val="VerbatimChar"/>
        </w:rPr>
        <w:t xml:space="preserve">cargo test -p niles-lang</w:t>
      </w:r>
      <w:r>
        <w:t xml:space="preserve">): the stage-0 front end. The keyword registry of B.19; the normative grammar of B.15; a lossless two-layer lexer covering every literal form of B.2, including money with per-currency scale, both temporal axes, epochs and durations; a resilient hand-written recursive-descent parser with Pratt expression parsing, which is total on arbitrary input and recovers at item and statement boundaries; the surface AST; the diagnostics subsystem with stable</w:t>
      </w:r>
      <w:r>
        <w:t xml:space="preserve"> </w:t>
      </w:r>
      <w:r>
        <w:rPr>
          <w:rStyle w:val="VerbatimChar"/>
        </w:rPr>
        <w:t xml:space="preserve">NL</w:t>
      </w:r>
      <w:r>
        <w:t xml:space="preserve"> </w:t>
      </w:r>
      <w:r>
        <w:t xml:space="preserve">codes, multi-span labels and machine-applicable suggestions; the epoch-anchored resolver and catalog; the currency-row solver; the consistency-effect calculus with the rung-monotonicity judgement; the linearity checker; and lowering to the typed IR of Appendix D. This front end compiles the worked program of B.20, which is kept compiling by a test so that the thesis’s example cannot drift from the language it describes.</w:t>
      </w:r>
    </w:p>
    <w:p>
      <w:pPr>
        <w:pStyle w:val="BodyText"/>
      </w:pPr>
      <w:r>
        <w:rPr>
          <w:bCs/>
          <w:b/>
        </w:rPr>
        <w:t xml:space="preserve">Built and running, and new since the previous revision of this appendix</w:t>
      </w:r>
      <w:r>
        <w:t xml:space="preserve"> </w:t>
      </w:r>
      <w:r>
        <w:t xml:space="preserve">(</w:t>
      </w:r>
      <w:r>
        <w:rPr>
          <w:rStyle w:val="VerbatimChar"/>
        </w:rPr>
        <w:t xml:space="preserve">crates/niles-interp</w:t>
      </w:r>
      <w:r>
        <w:t xml:space="preserve">,</w:t>
      </w:r>
      <w:r>
        <w:t xml:space="preserve"> </w:t>
      </w:r>
      <w:r>
        <w:rPr>
          <w:rStyle w:val="VerbatimChar"/>
        </w:rPr>
        <w:t xml:space="preserve">bootstrap/lexer.niles</w:t>
      </w:r>
      <w:r>
        <w:t xml:space="preserve">; reproducible by</w:t>
      </w:r>
      <w:r>
        <w:t xml:space="preserve"> </w:t>
      </w:r>
      <w:r>
        <w:rPr>
          <w:rStyle w:val="VerbatimChar"/>
        </w:rPr>
        <w:t xml:space="preserve">cargo test -p niles-interp</w:t>
      </w:r>
      <w:r>
        <w:t xml:space="preserve">):</w:t>
      </w:r>
      <w:r>
        <w:t xml:space="preserve"> </w:t>
      </w:r>
      <w:r>
        <w:rPr>
          <w:bCs/>
          <w:b/>
        </w:rPr>
        <w:t xml:space="preserve">stage-0 execution, and the first three bootstrap gates.</w:t>
      </w:r>
      <w:r>
        <w:t xml:space="preserve"> </w:t>
      </w:r>
      <w:r>
        <w:t xml:space="preserve">The earlier revision recorded that</w:t>
      </w:r>
      <w:r>
        <w:t xml:space="preserve"> </w:t>
      </w:r>
      <w:r>
        <w:t xml:space="preserve">“</w:t>
      </w:r>
      <w:r>
        <w:t xml:space="preserve">stage 1 has no input yet, and no line of the Niles-written compiler has been written.</w:t>
      </w:r>
      <w:r>
        <w:t xml:space="preserve">”</w:t>
      </w:r>
      <w:r>
        <w:t xml:space="preserve"> </w:t>
      </w:r>
      <w:r>
        <w:t xml:space="preserve">Both halves of that are now false, and the correction turned on noticing that the appendix had imposed a requirement on itself that E.1 never stated. A bootstrap needs stage 0 to</w:t>
      </w:r>
      <w:r>
        <w:t xml:space="preserve"> </w:t>
      </w:r>
      <w:r>
        <w:rPr>
          <w:bCs/>
          <w:b/>
        </w:rPr>
        <w:t xml:space="preserve">evaluate</w:t>
      </w:r>
      <w:r>
        <w:t xml:space="preserve"> </w:t>
      </w:r>
      <w:r>
        <w:t xml:space="preserve">Niles programs; it does not need stage 0 to emit machine code. Reading</w:t>
      </w:r>
      <w:r>
        <w:t xml:space="preserve"> </w:t>
      </w:r>
      <w:r>
        <w:t xml:space="preserve">“</w:t>
      </w:r>
      <w:r>
        <w:t xml:space="preserve">stage-0 compiler</w:t>
      </w:r>
      <w:r>
        <w:t xml:space="preserve">”</w:t>
      </w:r>
      <w:r>
        <w:t xml:space="preserve"> </w:t>
      </w:r>
      <w:r>
        <w:t xml:space="preserve">as</w:t>
      </w:r>
      <w:r>
        <w:t xml:space="preserve"> </w:t>
      </w:r>
      <w:r>
        <w:t xml:space="preserve">“</w:t>
      </w:r>
      <w:r>
        <w:t xml:space="preserve">native compiler</w:t>
      </w:r>
      <w:r>
        <w:t xml:space="preserve">”</w:t>
      </w:r>
      <w:r>
        <w:t xml:space="preserve"> </w:t>
      </w:r>
      <w:r>
        <w:t xml:space="preserve">is what had made stage 1 unreachable, and it was a mistake of this document rather than of the design.</w:t>
      </w:r>
    </w:p>
    <w:p>
      <w:pPr>
        <w:pStyle w:val="BodyText"/>
      </w:pPr>
      <w:r>
        <w:rPr>
          <w:rStyle w:val="VerbatimChar"/>
        </w:rPr>
        <w:t xml:space="preserve">niles-interp</w:t>
      </w:r>
      <w:r>
        <w:t xml:space="preserve"> </w:t>
      </w:r>
      <w:r>
        <w:t xml:space="preserve">is therefore a tree-walking interpreter for Niles’s imperative subset — functions,</w:t>
      </w:r>
      <w:r>
        <w:t xml:space="preserve"> </w:t>
      </w:r>
      <w:r>
        <w:rPr>
          <w:rStyle w:val="VerbatimChar"/>
        </w:rPr>
        <w:t xml:space="preserve">let</w:t>
      </w:r>
      <w:r>
        <w:t xml:space="preserve"> </w:t>
      </w:r>
      <w:r>
        <w:t xml:space="preserve">with patterns,</w:t>
      </w:r>
      <w:r>
        <w:t xml:space="preserve"> </w:t>
      </w:r>
      <w:r>
        <w:rPr>
          <w:rStyle w:val="VerbatimChar"/>
        </w:rPr>
        <w:t xml:space="preserve">if</w:t>
      </w:r>
      <w:r>
        <w:t xml:space="preserve">/</w:t>
      </w:r>
      <w:r>
        <w:rPr>
          <w:rStyle w:val="VerbatimChar"/>
        </w:rPr>
        <w:t xml:space="preserve">while</w:t>
      </w:r>
      <w:r>
        <w:t xml:space="preserve">/</w:t>
      </w:r>
      <w:r>
        <w:rPr>
          <w:rStyle w:val="VerbatimChar"/>
        </w:rPr>
        <w:t xml:space="preserve">loop</w:t>
      </w:r>
      <w:r>
        <w:t xml:space="preserve">/</w:t>
      </w:r>
      <w:r>
        <w:rPr>
          <w:rStyle w:val="VerbatimChar"/>
        </w:rPr>
        <w:t xml:space="preserve">for</w:t>
      </w:r>
      <w:r>
        <w:t xml:space="preserve">/</w:t>
      </w:r>
      <w:r>
        <w:rPr>
          <w:rStyle w:val="VerbatimChar"/>
        </w:rPr>
        <w:t xml:space="preserve">match</w:t>
      </w:r>
      <w:r>
        <w:t xml:space="preserve">,</w:t>
      </w:r>
      <w:r>
        <w:t xml:space="preserve"> </w:t>
      </w:r>
      <w:r>
        <w:rPr>
          <w:rStyle w:val="VerbatimChar"/>
        </w:rPr>
        <w:t xml:space="preserve">break</w:t>
      </w:r>
      <w:r>
        <w:t xml:space="preserve">/</w:t>
      </w:r>
      <w:r>
        <w:rPr>
          <w:rStyle w:val="VerbatimChar"/>
        </w:rPr>
        <w:t xml:space="preserve">continue</w:t>
      </w:r>
      <w:r>
        <w:t xml:space="preserve">/</w:t>
      </w:r>
      <w:r>
        <w:rPr>
          <w:rStyle w:val="VerbatimChar"/>
        </w:rPr>
        <w:t xml:space="preserve">return</w:t>
      </w:r>
      <w:r>
        <w:t xml:space="preserve">, blocks with tail values, checked integer arithmetic, strings, arrays, structs, tuple-payload enums and closures. It refuses the relational tier by name (</w:t>
      </w:r>
      <w:r>
        <w:rPr>
          <w:rStyle w:val="VerbatimChar"/>
        </w:rPr>
        <w:t xml:space="preserve">txn</w:t>
      </w:r>
      <w:r>
        <w:t xml:space="preserve">,</w:t>
      </w:r>
      <w:r>
        <w:t xml:space="preserve"> </w:t>
      </w:r>
      <w:r>
        <w:rPr>
          <w:rStyle w:val="VerbatimChar"/>
        </w:rPr>
        <w:t xml:space="preserve">hold</w:t>
      </w:r>
      <w:r>
        <w:t xml:space="preserve">,</w:t>
      </w:r>
      <w:r>
        <w:t xml:space="preserve"> </w:t>
      </w:r>
      <w:r>
        <w:rPr>
          <w:rStyle w:val="VerbatimChar"/>
        </w:rPr>
        <w:t xml:space="preserve">fx</w:t>
      </w:r>
      <w:r>
        <w:t xml:space="preserve">,</w:t>
      </w:r>
      <w:r>
        <w:t xml:space="preserve"> </w:t>
      </w:r>
      <w:r>
        <w:rPr>
          <w:rStyle w:val="VerbatimChar"/>
        </w:rPr>
        <w:t xml:space="preserve">fixpoint</w:t>
      </w:r>
      <w:r>
        <w:t xml:space="preserve">,</w:t>
      </w:r>
      <w:r>
        <w:t xml:space="preserve"> </w:t>
      </w:r>
      <w:r>
        <w:rPr>
          <w:rStyle w:val="VerbatimChar"/>
        </w:rPr>
        <w:t xml:space="preserve">view</w:t>
      </w:r>
      <w:r>
        <w:t xml:space="preserve">, pipelines) rather than approximating it, because an interpreter that evaluated</w:t>
      </w:r>
      <w:r>
        <w:t xml:space="preserve"> </w:t>
      </w:r>
      <w:r>
        <w:rPr>
          <w:rStyle w:val="VerbatimChar"/>
        </w:rPr>
        <w:t xml:space="preserve">txn</w:t>
      </w:r>
      <w:r>
        <w:t xml:space="preserve"> </w:t>
      </w:r>
      <w:r>
        <w:t xml:space="preserve">as a plain block would be one in which a program could appear to conserve money with nothing checking that it did. It also refuses float literals and money arithmetic: the first because cross-target determinism (C.4) and money-is-not-a-float are the same commitment, the second because the currency check lives in the type system and a second, unchecked path to the same operation is the seam §6.9 refuses. Environments are</w:t>
      </w:r>
      <w:r>
        <w:t xml:space="preserve"> </w:t>
      </w:r>
      <w:r>
        <w:rPr>
          <w:rStyle w:val="VerbatimChar"/>
        </w:rPr>
        <w:t xml:space="preserve">BTreeMap</w:t>
      </w:r>
      <w:r>
        <w:t xml:space="preserve">, so no hash seed can reach the output.</w:t>
      </w:r>
    </w:p>
    <w:p>
      <w:pPr>
        <w:pStyle w:val="BodyText"/>
      </w:pPr>
      <w:r>
        <w:rPr>
          <w:rStyle w:val="VerbatimChar"/>
        </w:rPr>
        <w:t xml:space="preserve">bootstrap/lexer.niles</w:t>
      </w:r>
      <w:r>
        <w:t xml:space="preserve"> </w:t>
      </w:r>
      <w:r>
        <w:t xml:space="preserve">is a lexer</w:t>
      </w:r>
      <w:r>
        <w:t xml:space="preserve"> </w:t>
      </w:r>
      <w:r>
        <w:rPr>
          <w:bCs/>
          <w:b/>
        </w:rPr>
        <w:t xml:space="preserve">written in Niles</w:t>
      </w:r>
      <w:r>
        <w:t xml:space="preserve"> </w:t>
      </w:r>
      <w:r>
        <w:t xml:space="preserve">— the first line of the Niles compiler written in Niles, and stage 1’s first input. It covers identifiers, keywords (all 174, generated from the registry), integers, money literals, epoch literals, strings, comments and the full punctuation table. It does</w:t>
      </w:r>
      <w:r>
        <w:t xml:space="preserve"> </w:t>
      </w:r>
      <w:r>
        <w:rPr>
          <w:iCs/>
          <w:i/>
        </w:rPr>
        <w:t xml:space="preserve">not</w:t>
      </w:r>
      <w:r>
        <w:t xml:space="preserve"> </w:t>
      </w:r>
      <w:r>
        <w:t xml:space="preserve">cover instants, durations, byte strings or raw identifiers; E.19 records that, and the equivalence gate excludes those constructs visibly rather than letting them pass.</w:t>
      </w:r>
    </w:p>
    <w:p>
      <w:pPr>
        <w:pStyle w:val="BodyText"/>
      </w:pPr>
      <w:r>
        <w:rPr>
          <w:rStyle w:val="VerbatimChar"/>
        </w:rPr>
        <w:t xml:space="preserve">bootstrap/parser.niles</w:t>
      </w:r>
      <w:r>
        <w:t xml:space="preserve"> </w:t>
      </w:r>
      <w:r>
        <w:t xml:space="preserve">is a recursive-descent parser</w:t>
      </w:r>
      <w:r>
        <w:t xml:space="preserve"> </w:t>
      </w:r>
      <w:r>
        <w:rPr>
          <w:bCs/>
          <w:b/>
        </w:rPr>
        <w:t xml:space="preserve">written in Niles</w:t>
      </w:r>
      <w:r>
        <w:t xml:space="preserve">, ~1,050 lines, loaded with the lexer as one program. It builds a tree rather than emitting text —</w:t>
      </w:r>
      <w:r>
        <w:t xml:space="preserve"> </w:t>
      </w:r>
      <w:r>
        <w:rPr>
          <w:rStyle w:val="VerbatimChar"/>
        </w:rPr>
        <w:t xml:space="preserve">enum Node { Atom(str), List([Node]) }</w:t>
      </w:r>
      <w:r>
        <w:t xml:space="preserve">, walked afterwards by</w:t>
      </w:r>
      <w:r>
        <w:t xml:space="preserve"> </w:t>
      </w:r>
      <w:r>
        <w:rPr>
          <w:rStyle w:val="VerbatimChar"/>
        </w:rPr>
        <w:t xml:space="preserve">render_node</w:t>
      </w:r>
      <w:r>
        <w:t xml:space="preserve"> </w:t>
      </w:r>
      <w:r>
        <w:t xml:space="preserve">— because the claim under test is that Niles can hold a syntax tree, not that it can concatenate strings in the right order; and it keeps the lexer’s no-aliasing calling convention, since the subset has nothing that could hold a mutable cursor. It covers the imperative subset the interpreter executes, including the full operator table of B.10.1, and excludes the relational and SQL surfaces visibly.</w:t>
      </w:r>
      <w:r>
        <w:t xml:space="preserve"> </w:t>
      </w:r>
      <w:r>
        <w:rPr>
          <w:bCs/>
          <w:b/>
        </w:rPr>
        <w:t xml:space="preserve">The status line for E.4 and E.5 is therefore: lexer and parser self-hosted; type-checking and IR lowering are Rust.</w:t>
      </w:r>
    </w:p>
    <w:p>
      <w:pPr>
        <w:pStyle w:val="BodyText"/>
      </w:pPr>
      <w:r>
        <w:rPr>
          <w:bCs/>
          <w:b/>
        </w:rPr>
        <w:t xml:space="preserve">Designed and specified, not built</w:t>
      </w:r>
      <w:r>
        <w:t xml:space="preserve">: everything from E.6 onward — the self-hosted middle end, the WASM-hosted optimizer, instruction selection, register allocation, machine-code encoding, object emission and linking. The stage-0 front end still accepts a large but proper subset of the whole language: no trait solver, no monomorphisation, no native code generation. A</w:t>
      </w:r>
      <w:r>
        <w:t xml:space="preserve"> </w:t>
      </w:r>
      <w:r>
        <w:rPr>
          <w:bCs/>
          <w:b/>
        </w:rPr>
        <w:t xml:space="preserve">type-checker and a lowering pass</w:t>
      </w:r>
      <w:r>
        <w:t xml:space="preserve"> </w:t>
      </w:r>
      <w:r>
        <w:t xml:space="preserve">written in Niles remain unwritten, so what E.18’s gates now cover is two front-end stages rather than a compiler.</w:t>
      </w:r>
    </w:p>
    <w:p>
      <w:pPr>
        <w:pStyle w:val="BodyText"/>
      </w:pPr>
      <w:r>
        <w:t xml:space="preserve">The reader should read E.1–E.5 as a specification with a partial implementation behind it, and E.6–E.19 as a specification with none. Where a section makes a claim about an artifact —</w:t>
      </w:r>
      <w:r>
        <w:t xml:space="preserve"> </w:t>
      </w:r>
      <w:r>
        <w:t xml:space="preserve">“</w:t>
      </w:r>
      <w:r>
        <w:t xml:space="preserve">adding the WSL profile required a record and linker flags, and no compiler-code change</w:t>
      </w:r>
      <w:r>
        <w:t xml:space="preserve">”</w:t>
      </w:r>
      <w:r>
        <w:t xml:space="preserve"> </w:t>
      </w:r>
      <w:r>
        <w:t xml:space="preserve">in E.2 — that claim describes the</w:t>
      </w:r>
      <w:r>
        <w:t xml:space="preserve"> </w:t>
      </w:r>
      <w:r>
        <w:rPr>
          <w:iCs/>
          <w:i/>
        </w:rPr>
        <w:t xml:space="preserve">design’s intent</w:t>
      </w:r>
      <w:r>
        <w:t xml:space="preserve"> </w:t>
      </w:r>
      <w:r>
        <w:t xml:space="preserve">and has not been demonstrated, because the back end it would be demonstrated in does not exist. §11.2 lists an unfinished instrument as the most likely failure mode of this project, and this appendix is where that risk is largest.</w:t>
      </w:r>
    </w:p>
    <w:p>
      <w:pPr>
        <w:pStyle w:val="BodyText"/>
      </w:pPr>
      <w:r>
        <w:rPr>
          <w:bCs/>
          <w:b/>
        </w:rPr>
        <w:t xml:space="preserve">Why the appendix is retained in full despite that.</w:t>
      </w:r>
      <w:r>
        <w:t xml:space="preserve"> </w:t>
      </w:r>
      <w:r>
        <w:t xml:space="preserve">Because the boundary argument in E.19 — what belongs in the language and what stays in the host — is a design result that can be stated and criticised without the code, and because a phased programme whose later phases are undocumented cannot be evaluated for feasibility, which is what a committee is being asked to do. The honest position is to describe the design completely and label its status precisely, rather than to shorten the appendix and thereby hide how much remains.</w:t>
      </w:r>
    </w:p>
    <w:bookmarkEnd w:id="287"/>
    <w:bookmarkStart w:id="288" w:name="Xeef2940c2411a441ec4928496aa8ea7555e4801"/>
    <w:p>
      <w:pPr>
        <w:pStyle w:val="Heading2"/>
      </w:pPr>
      <w:r>
        <w:t xml:space="preserve">E.1 Self-Hosting Strategy: The Three-Stage Bootstrap</w:t>
      </w:r>
    </w:p>
    <w:p>
      <w:pPr>
        <w:pStyle w:val="FirstParagraph"/>
      </w:pPr>
      <w:r>
        <w:t xml:space="preserve">Stage 0: a compiler written in the host language, compiling the full Niles language (slowly, with unoptimized output). Stage 1: the Niles-written compiler sources, compiled by stage 0. Stage 2: stage 1 recompiling the same sources. Stage 3: an optional further self-build used as a consistency check.</w:t>
      </w:r>
    </w:p>
    <w:p>
      <w:pPr>
        <w:pStyle w:val="BodyText"/>
      </w:pPr>
      <w:r>
        <w:t xml:space="preserve">Self-hosting is not vanity. It is the strongest available test of the language’s expressiveness claim — a compiler is a large, pointer-heavy, performance-sensitive program with none of the shape of a banking workload — and it keeps the language’s ergonomics answerable to authors who must live inside it. Section E.19 states precisely what the boundary is and why it holds.</w:t>
      </w:r>
    </w:p>
    <w:bookmarkEnd w:id="288"/>
    <w:bookmarkStart w:id="289" w:name="e.2-the-target-model-as-data"/>
    <w:p>
      <w:pPr>
        <w:pStyle w:val="Heading2"/>
      </w:pPr>
      <w:r>
        <w:t xml:space="preserve">E.2 The Target Model as Data</w:t>
      </w:r>
    </w:p>
    <w:p>
      <w:pPr>
        <w:pStyle w:val="FirstParagraph"/>
      </w:pPr>
      <w:r>
        <w:t xml:space="preserve">All target knowledge lives in declarative records: word width, endianness, alignment rules, calling convention (parameter and return registers, caller/callee-saved sets, stack alignment), relocation kinds, object-format parameters, and platform shims. Back-end code is generic over the record, and encoder tables (E.15) are generated from it. Adding the WSL profile required a record and linker flags, and no compiler-code change — which is the intended proof of the design.</w:t>
      </w:r>
    </w:p>
    <w:bookmarkEnd w:id="289"/>
    <w:bookmarkStart w:id="290" w:name="e.3-the-host-shim"/>
    <w:p>
      <w:pPr>
        <w:pStyle w:val="Heading2"/>
      </w:pPr>
      <w:r>
        <w:t xml:space="preserve">E.3 The Host Shim</w:t>
      </w:r>
    </w:p>
    <w:p>
      <w:pPr>
        <w:pStyle w:val="FirstParagraph"/>
      </w:pPr>
      <w:r>
        <w:t xml:space="preserve">The self-hosted compiler runs on a deliberately tiny host shim: read file, write file, arguments, exit code, and (for the wasm-hosted optimizer) a fuelled execution loop. Everything else — including memory management through the language’s own arena model — is Niles. The shim is small enough to audit by reading, which is what keeps the bootstrap’s trusted base honest.</w:t>
      </w:r>
    </w:p>
    <w:bookmarkEnd w:id="290"/>
    <w:bookmarkStart w:id="291" w:name="e.4-front-end-in-niles"/>
    <w:p>
      <w:pPr>
        <w:pStyle w:val="Heading2"/>
      </w:pPr>
      <w:r>
        <w:t xml:space="preserve">E.4 Front-End in Niles</w:t>
      </w:r>
    </w:p>
    <w:p>
      <w:pPr>
        <w:pStyle w:val="FirstParagraph"/>
      </w:pPr>
      <w:r>
        <w:t xml:space="preserve">A hand-written lexer covering the literal forms of Appendix B.2 (money with per-currency scale checking, temporal and value-date literals, epochs, idempotency keys) and a recursive-descent parser with Pratt expression parsing, producing the AST datatypes stage 0 defines through a shared serialized form. Error recovery synchronizes at item and statement boundaries; every diagnostic carries a span, a stable code, and a fix hint where computable.</w:t>
      </w:r>
    </w:p>
    <w:bookmarkEnd w:id="291"/>
    <w:bookmarkStart w:id="292" w:name="Xb76cff30650e553924ff2616a3c6c48bbe5f865"/>
    <w:p>
      <w:pPr>
        <w:pStyle w:val="Heading2"/>
      </w:pPr>
      <w:r>
        <w:t xml:space="preserve">E.5 Type-Checking and IR Lowering in Niles</w:t>
      </w:r>
    </w:p>
    <w:p>
      <w:pPr>
        <w:pStyle w:val="FirstParagraph"/>
      </w:pPr>
      <w:r>
        <w:t xml:space="preserve">The self-hosted checker re-implements: inference with local annotations; coherent trait resolution; the linearity checker for posting halves and holds; the effect-row checker; the currency-row solver; and confidentiality flow checking against static labels. Lowering produces the IR of Appendix D with provenance-derived upquery paths.</w:t>
      </w:r>
    </w:p>
    <w:p>
      <w:pPr>
        <w:pStyle w:val="BodyText"/>
      </w:pPr>
      <w:r>
        <w:rPr>
          <w:bCs/>
          <w:b/>
        </w:rPr>
        <w:t xml:space="preserve">Differential gate.</w:t>
      </w:r>
      <w:r>
        <w:t xml:space="preserve"> </w:t>
      </w:r>
      <w:r>
        <w:t xml:space="preserve">The stage-0 and stage-1 checkers must accept and reject an identical corpus with identical diagnostic</w:t>
      </w:r>
      <w:r>
        <w:t xml:space="preserve"> </w:t>
      </w:r>
      <w:r>
        <w:rPr>
          <w:iCs/>
          <w:i/>
        </w:rPr>
        <w:t xml:space="preserve">codes</w:t>
      </w:r>
      <w:r>
        <w:t xml:space="preserve"> </w:t>
      </w:r>
      <w:r>
        <w:t xml:space="preserve">(wording may differ). This is the check that catches the most dangerous class of bootstrap bug: a self-hosted checker that is subtly more permissive than the one that compiled it.</w:t>
      </w:r>
    </w:p>
    <w:bookmarkEnd w:id="292"/>
    <w:bookmarkStart w:id="293" w:name="e.6-middle-end-planner-and-optimizer"/>
    <w:p>
      <w:pPr>
        <w:pStyle w:val="Heading2"/>
      </w:pPr>
      <w:r>
        <w:t xml:space="preserve">E.6 Middle-End: Planner and Optimizer</w:t>
      </w:r>
    </w:p>
    <w:p>
      <w:pPr>
        <w:pStyle w:val="FirstParagraph"/>
      </w:pPr>
      <w:r>
        <w:t xml:space="preserve">The middle end holds the query planner — circuit construction, join ordering by cost model, delta-form selection, upquery-path derivation, and initial materialization-mode defaults handed to the runtime optimizer — and a scalar optimizer over an SSA form for imperative and UDF code. Planner decisions are recorded so that plans are explainable.</w:t>
      </w:r>
    </w:p>
    <w:bookmarkEnd w:id="293"/>
    <w:bookmarkStart w:id="294" w:name="e.7-the-aggressive-optimizer-wasm-hosted"/>
    <w:p>
      <w:pPr>
        <w:pStyle w:val="Heading2"/>
      </w:pPr>
      <w:r>
        <w:t xml:space="preserve">E.7 The Aggressive Optimizer, Wasm-Hosted</w:t>
      </w:r>
    </w:p>
    <w:p>
      <w:pPr>
        <w:pStyle w:val="FirstParagraph"/>
      </w:pPr>
      <w:r>
        <w:t xml:space="preserve">The higher optimization level is itself a Niles program compiled to wasm32 and executed through the same sandboxed runtime UDFs use. Two reasons, and both are more than aesthetic: it dogfoods the UDF tier at the largest scale available, and it makes optimizer passes safely pluggable, since a buggy pass can exhaust fuel or trap but cannot corrupt the compiler. Its ambition is bounded and stated: reach respectable native performance on the compiler’s own workloads, not re-create a mature optimizing back-end.</w:t>
      </w:r>
    </w:p>
    <w:bookmarkEnd w:id="294"/>
    <w:bookmarkStart w:id="295" w:name="e.8-pass-pipeline"/>
    <w:p>
      <w:pPr>
        <w:pStyle w:val="Heading2"/>
      </w:pPr>
      <w:r>
        <w:t xml:space="preserve">E.8 Pass Pipeline</w:t>
      </w:r>
    </w:p>
    <w:p>
      <w:pPr>
        <w:numPr>
          <w:ilvl w:val="0"/>
          <w:numId w:val="1027"/>
        </w:numPr>
        <w:pStyle w:val="Compact"/>
      </w:pPr>
      <w:r>
        <w:rPr>
          <w:bCs/>
          <w:b/>
        </w:rPr>
        <w:t xml:space="preserve">O0:</w:t>
      </w:r>
      <w:r>
        <w:t xml:space="preserve"> </w:t>
      </w:r>
      <w:r>
        <w:t xml:space="preserve">lower plus naive register allocation.</w:t>
      </w:r>
    </w:p>
    <w:p>
      <w:pPr>
        <w:numPr>
          <w:ilvl w:val="0"/>
          <w:numId w:val="1027"/>
        </w:numPr>
        <w:pStyle w:val="Compact"/>
      </w:pPr>
      <w:r>
        <w:rPr>
          <w:bCs/>
          <w:b/>
        </w:rPr>
        <w:t xml:space="preserve">O1:</w:t>
      </w:r>
      <w:r>
        <w:t xml:space="preserve"> </w:t>
      </w:r>
      <w:r>
        <w:t xml:space="preserve">SSA construction, constant folding and propagation, dead-code elimination, control-flow simplification, size-bounded inlining, scalar replacement.</w:t>
      </w:r>
    </w:p>
    <w:p>
      <w:pPr>
        <w:numPr>
          <w:ilvl w:val="0"/>
          <w:numId w:val="1027"/>
        </w:numPr>
        <w:pStyle w:val="Compact"/>
      </w:pPr>
      <w:r>
        <w:rPr>
          <w:bCs/>
          <w:b/>
        </w:rPr>
        <w:t xml:space="preserve">O2 (wasm-hosted):</w:t>
      </w:r>
      <w:r>
        <w:t xml:space="preserve"> </w:t>
      </w:r>
      <w:r>
        <w:t xml:space="preserve">global value numbering and common-subexpression elimination, loop-invariant code motion (E.10), bounded peephole superoptimization (E.11), bounded unrolling, tail-call formation, block layout by branch-frequency estimates.</w:t>
      </w:r>
    </w:p>
    <w:bookmarkEnd w:id="295"/>
    <w:bookmarkStart w:id="296" w:name="e.9-optimizer-driver"/>
    <w:p>
      <w:pPr>
        <w:pStyle w:val="Heading2"/>
      </w:pPr>
      <w:r>
        <w:t xml:space="preserve">E.9 Optimizer Driver</w:t>
      </w:r>
    </w:p>
    <w:p>
      <w:pPr>
        <w:pStyle w:val="FirstParagraph"/>
      </w:pPr>
      <w:r>
        <w:t xml:space="preserve">The driver loads content-addressed pass modules, runs them over serialized SSA with per-pass fuel accounting, and emits pass reports consumed by the explain tooling. Passes are pure functions from SSA to SSA, and the determinism gate hashes the SSA after every pass on every target.</w:t>
      </w:r>
    </w:p>
    <w:bookmarkEnd w:id="296"/>
    <w:bookmarkStart w:id="297" w:name="X7b17e8120e2bb7a8d51f1325f47fdf06b76117b"/>
    <w:p>
      <w:pPr>
        <w:pStyle w:val="Heading2"/>
      </w:pPr>
      <w:r>
        <w:t xml:space="preserve">E.10 Representative Pass: Loop-Invariant Code Motion</w:t>
      </w:r>
    </w:p>
    <w:p>
      <w:pPr>
        <w:pStyle w:val="FirstParagraph"/>
      </w:pPr>
      <w:r>
        <w:t xml:space="preserve">Standard LICM — dominator tree and loop forest, invariance by reaching definitions, hoisting to a preheader with speculation forbidden — with one domain-specific twist:</w:t>
      </w:r>
      <w:r>
        <w:t xml:space="preserve"> </w:t>
      </w:r>
      <w:r>
        <w:rPr>
          <w:bCs/>
          <w:b/>
        </w:rPr>
        <w:t xml:space="preserve">anchor reads and effectful calls are never hoisted across an epoch-boundary intrinsic</w:t>
      </w:r>
      <w:r>
        <w:t xml:space="preserve">, and the legality predicate consults the effect rows to decide. It is a small but satisfying demonstration that the effect system pays for itself inside the compiler, not only in user code.</w:t>
      </w:r>
    </w:p>
    <w:bookmarkEnd w:id="297"/>
    <w:bookmarkStart w:id="298" w:name="Xeb6f8ea111114228e78508c3cec20bfae661440"/>
    <w:p>
      <w:pPr>
        <w:pStyle w:val="Heading2"/>
      </w:pPr>
      <w:r>
        <w:t xml:space="preserve">E.11 Representative Pass: Bounded Peephole Superoptimization</w:t>
      </w:r>
    </w:p>
    <w:p>
      <w:pPr>
        <w:pStyle w:val="FirstParagraph"/>
      </w:pPr>
      <w:r>
        <w:t xml:space="preserve">Over windows of a few instructions in hot blocks: enumerate replacement candidates from an algebraic identity table and a target cost table; verify semantic equality by exhaustive checking over small bit widths and bounded solving for full widths; replace only when strictly cheaper. Verified rewrites are cached content-addressed, so the expensive search amortizes across builds rather than being repeated.</w:t>
      </w:r>
    </w:p>
    <w:bookmarkEnd w:id="298"/>
    <w:bookmarkStart w:id="299" w:name="e.12-o2-adds-no-native-surface"/>
    <w:p>
      <w:pPr>
        <w:pStyle w:val="Heading2"/>
      </w:pPr>
      <w:r>
        <w:t xml:space="preserve">E.12 O2 Adds No Native Surface</w:t>
      </w:r>
    </w:p>
    <w:p>
      <w:pPr>
        <w:pStyle w:val="FirstParagraph"/>
      </w:pPr>
      <w:r>
        <w:t xml:space="preserve">An invariant, enforced mechanically: enabling the higher optimization level changes</w:t>
      </w:r>
      <w:r>
        <w:t xml:space="preserve"> </w:t>
      </w:r>
      <w:r>
        <w:rPr>
          <w:iCs/>
          <w:i/>
        </w:rPr>
        <w:t xml:space="preserve">performance only</w:t>
      </w:r>
      <w:r>
        <w:t xml:space="preserve">. The wasm-hosted optimizer’s output passes the same verifiers as unoptimized output; no pass may introduce operations outside the verified instruction set; and the determinism gate runs the conservation suite at every level demanding identical answer bytes. Optimization is therefore outside the trusted base — a property worth more than any speedup it delivers.</w:t>
      </w:r>
    </w:p>
    <w:bookmarkEnd w:id="299"/>
    <w:bookmarkStart w:id="300" w:name="Xd54ae02f196c97278264311c4db2fcfd8f979d8"/>
    <w:p>
      <w:pPr>
        <w:pStyle w:val="Heading2"/>
      </w:pPr>
      <w:r>
        <w:t xml:space="preserve">E.13 Optimization Levels and the Remaining Gap</w:t>
      </w:r>
    </w:p>
    <w:p>
      <w:pPr>
        <w:pStyle w:val="FirstParagraph"/>
      </w:pPr>
      <w:r>
        <w:t xml:space="preserve">The measured gap between the self-hosted back-end and the established optional back-end is published per release rather than hidden. The honesty rule: numbers in Chapter 9 come from the self-hosted back-end; the gap is tracked as an engineering metric, not presented as a scientific result.</w:t>
      </w:r>
    </w:p>
    <w:bookmarkEnd w:id="300"/>
    <w:bookmarkStart w:id="301" w:name="X7553030760404401c48258615f96cea83b22f63"/>
    <w:p>
      <w:pPr>
        <w:pStyle w:val="Heading2"/>
      </w:pPr>
      <w:r>
        <w:t xml:space="preserve">E.14 Code Generation: Instruction Selection and Register Allocation</w:t>
      </w:r>
    </w:p>
    <w:p>
      <w:pPr>
        <w:pStyle w:val="FirstParagraph"/>
      </w:pPr>
      <w:r>
        <w:t xml:space="preserve">Selection is tree-pattern matching over SSA with target tables from E.2, using maximal munch with explicit tie-break order. Register allocation is linear scan over live intervals with interval splitting and spill-cost heuristics weighted by loop depth, with callee-saved registers allocated last to minimize prologue cost — the classical algorithm, chosen because it is simple enough to be self-hosted and verified rather than because it is the best available.</w:t>
      </w:r>
    </w:p>
    <w:bookmarkEnd w:id="301"/>
    <w:bookmarkStart w:id="302" w:name="X8dacb0d40843197577601c535d11cbc758fd3ca"/>
    <w:p>
      <w:pPr>
        <w:pStyle w:val="Heading2"/>
      </w:pPr>
      <w:r>
        <w:t xml:space="preserve">E.15 Machine-Code Encoding and Object Assembly</w:t>
      </w:r>
    </w:p>
    <w:p>
      <w:pPr>
        <w:pStyle w:val="FirstParagraph"/>
      </w:pPr>
      <w:r>
        <w:t xml:space="preserve">Encoders are table-generated from the target model: fixed-width encodings for the RISC target, and the modifier/prefix machinery for the CISC target. Object writers emit the three platform formats with relocations, symbol tables, unwind skeletons, and minimal line tables for debugging. An exhaustive encoder test compares output against a reference disassembler corpus per release.</w:t>
      </w:r>
    </w:p>
    <w:bookmarkEnd w:id="302"/>
    <w:bookmarkStart w:id="303" w:name="e.16-static-linking-and-the-wsl-profile"/>
    <w:p>
      <w:pPr>
        <w:pStyle w:val="Heading2"/>
      </w:pPr>
      <w:r>
        <w:t xml:space="preserve">E.16 Static Linking and the WSL Profile</w:t>
      </w:r>
    </w:p>
    <w:p>
      <w:pPr>
        <w:pStyle w:val="FirstParagraph"/>
      </w:pPr>
      <w:r>
        <w:t xml:space="preserve">The self-hosted linker performs static linking: symbol resolution across objects and the compiled standard library, relocation application, section layout, and entry-point synthesis calling the host shim’s runtime initialization. The WSL profile is the Linux target with fully static linking and path-normalization shims, chosen so that a Windows/WSL user gets one binary with no distribution friction. It exists as a target record plus a linker profile, exercising E.2’s claim that targets are data.</w:t>
      </w:r>
    </w:p>
    <w:bookmarkEnd w:id="303"/>
    <w:bookmarkStart w:id="304" w:name="e.17-optional-host-side-paths"/>
    <w:p>
      <w:pPr>
        <w:pStyle w:val="Heading2"/>
      </w:pPr>
      <w:r>
        <w:t xml:space="preserve">E.17 Optional Host-Side Paths</w:t>
      </w:r>
    </w:p>
    <w:p>
      <w:pPr>
        <w:pStyle w:val="FirstParagraph"/>
      </w:pPr>
      <w:r>
        <w:t xml:space="preserve">Two escape hatches, both outside the bootstrap: an established optimizing back-end for release builds and for the gap measurement of E.13, and system dynamic linking where platform integration demands it. Neither participates in stage identity or the determinism gates, and both re-verify against the conservation suite when used.</w:t>
      </w:r>
    </w:p>
    <w:bookmarkEnd w:id="304"/>
    <w:bookmarkStart w:id="305" w:name="X04a0b67d97d192ec22c3fc34a0ff6c40ae9f6f0"/>
    <w:p>
      <w:pPr>
        <w:pStyle w:val="Heading2"/>
      </w:pPr>
      <w:r>
        <w:t xml:space="preserve">E.18 Building and Self-Verifying the Bootstrap</w:t>
      </w:r>
    </w:p>
    <w:p>
      <w:pPr>
        <w:pStyle w:val="FirstParagraph"/>
      </w:pPr>
      <w:r>
        <w:t xml:space="preserve">The bootstrap target runs stage 0 (pinned host toolchain) → stage 1 → stage 2 → stage 3, with gates:</w:t>
      </w:r>
    </w:p>
    <w:p>
      <w:pPr>
        <w:numPr>
          <w:ilvl w:val="0"/>
          <w:numId w:val="1028"/>
        </w:numPr>
        <w:pStyle w:val="Compact"/>
      </w:pPr>
      <w:r>
        <w:rPr>
          <w:bCs/>
          <w:b/>
        </w:rPr>
        <w:t xml:space="preserve">G-a</w:t>
      </w:r>
      <w:r>
        <w:t xml:space="preserve"> </w:t>
      </w:r>
      <w:r>
        <w:t xml:space="preserve">stage 2 and stage 3 are bit-identical per target.</w:t>
      </w:r>
    </w:p>
    <w:p>
      <w:pPr>
        <w:numPr>
          <w:ilvl w:val="0"/>
          <w:numId w:val="1028"/>
        </w:numPr>
        <w:pStyle w:val="Compact"/>
      </w:pPr>
      <w:r>
        <w:rPr>
          <w:bCs/>
          <w:b/>
        </w:rPr>
        <w:t xml:space="preserve">G-b</w:t>
      </w:r>
      <w:r>
        <w:t xml:space="preserve"> </w:t>
      </w:r>
      <w:r>
        <w:t xml:space="preserve">the cross-compilation square: building target B’s compiler on A and natively on B yields identical binaries.</w:t>
      </w:r>
    </w:p>
    <w:p>
      <w:pPr>
        <w:numPr>
          <w:ilvl w:val="0"/>
          <w:numId w:val="1028"/>
        </w:numPr>
        <w:pStyle w:val="Compact"/>
      </w:pPr>
      <w:r>
        <w:rPr>
          <w:bCs/>
          <w:b/>
        </w:rPr>
        <w:t xml:space="preserve">G-c</w:t>
      </w:r>
      <w:r>
        <w:t xml:space="preserve"> </w:t>
      </w:r>
      <w:r>
        <w:t xml:space="preserve">the compiled compiler passes the full language corpus with diagnostic-code equality against stage 0.</w:t>
      </w:r>
    </w:p>
    <w:p>
      <w:pPr>
        <w:numPr>
          <w:ilvl w:val="0"/>
          <w:numId w:val="1028"/>
        </w:numPr>
        <w:pStyle w:val="Compact"/>
      </w:pPr>
      <w:r>
        <w:rPr>
          <w:bCs/>
          <w:b/>
        </w:rPr>
        <w:t xml:space="preserve">G-d</w:t>
      </w:r>
      <w:r>
        <w:t xml:space="preserve"> </w:t>
      </w:r>
      <w:r>
        <w:t xml:space="preserve">the conservation suite produces identical output hashes at every optimization level.</w:t>
      </w:r>
    </w:p>
    <w:bookmarkEnd w:id="305"/>
    <w:bookmarkStart w:id="308" w:name="Xd02a0fc1720a9644bec513202428c87d2afd0ce"/>
    <w:p>
      <w:pPr>
        <w:pStyle w:val="Heading2"/>
      </w:pPr>
      <w:r>
        <w:t xml:space="preserve">E.19 What the Gates Actually Prove — and What They Do Not</w:t>
      </w:r>
    </w:p>
    <w:p>
      <w:pPr>
        <w:pStyle w:val="FirstParagraph"/>
      </w:pPr>
      <w:r>
        <w:t xml:space="preserve">This section exists because the natural claim here is wrong, and stating it wrongly would be a real vulnerability.</w:t>
      </w:r>
    </w:p>
    <w:p>
      <w:pPr>
        <w:pStyle w:val="BodyText"/>
      </w:pPr>
      <w:r>
        <w:rPr>
          <w:bCs/>
          <w:b/>
        </w:rPr>
        <w:t xml:space="preserve">What a bit-identical stage-2/stage-3 build proves.</w:t>
      </w:r>
      <w:r>
        <w:t xml:space="preserve"> </w:t>
      </w:r>
      <w:r>
        <w:t xml:space="preserve">That the compiler is a</w:t>
      </w:r>
      <w:r>
        <w:t xml:space="preserve"> </w:t>
      </w:r>
      <w:r>
        <w:rPr>
          <w:bCs/>
          <w:b/>
        </w:rPr>
        <w:t xml:space="preserve">fixed point</w:t>
      </w:r>
      <w:r>
        <w:t xml:space="preserve">: compiling the compiler with itself reproduces itself. This detects</w:t>
      </w:r>
      <w:r>
        <w:t xml:space="preserve"> </w:t>
      </w:r>
      <w:r>
        <w:rPr>
          <w:iCs/>
          <w:i/>
        </w:rPr>
        <w:t xml:space="preserve">accidental</w:t>
      </w:r>
      <w:r>
        <w:t xml:space="preserve"> </w:t>
      </w:r>
      <w:r>
        <w:t xml:space="preserve">non-determinism — hash-map iteration order, timestamps, path leakage, address-layout-dependent code generation — and some classes of miscompilation. That is genuinely valuable, and it is why the gate exists. It is also, precisely, what the mature language toolchains claim for the analogous check: their own documentation presents the extra stage as a sanity check to detect breakage, explicitly optional, and does not claim it establishes trustworthiness.</w:t>
      </w:r>
    </w:p>
    <w:p>
      <w:pPr>
        <w:pStyle w:val="BodyText"/>
      </w:pPr>
      <w:r>
        <w:rPr>
          <w:bCs/>
          <w:b/>
        </w:rPr>
        <w:t xml:space="preserve">What it does not prove.</w:t>
      </w:r>
      <w:r>
        <w:t xml:space="preserve"> </w:t>
      </w:r>
      <w:r>
        <w:t xml:space="preserve">It does not detect a trusting-trust attack. A self-reproducing trojan is a fixed point</w:t>
      </w:r>
      <w:r>
        <w:t xml:space="preserve"> </w:t>
      </w:r>
      <w:r>
        <w:rPr>
          <w:iCs/>
          <w:i/>
        </w:rPr>
        <w:t xml:space="preserve">by construction</w:t>
      </w:r>
      <w:r>
        <w:t xml:space="preserve"> </w:t>
      </w:r>
      <w:r>
        <w:t xml:space="preserve">— that is the entire mechanism Thompson described — so a bit-identical self-build is exactly what a successful attack looks like [Thompson, CACM 1984]. Self-consistency and trustworthiness are different properties, and only reasoning that introduces</w:t>
      </w:r>
      <w:r>
        <w:t xml:space="preserve"> </w:t>
      </w:r>
      <w:r>
        <w:rPr>
          <w:iCs/>
          <w:i/>
        </w:rPr>
        <w:t xml:space="preserve">diversity</w:t>
      </w:r>
      <w:r>
        <w:t xml:space="preserve"> </w:t>
      </w:r>
      <w:r>
        <w:t xml:space="preserve">addresses the second.</w:t>
      </w:r>
    </w:p>
    <w:p>
      <w:pPr>
        <w:pStyle w:val="BodyText"/>
      </w:pPr>
      <w:r>
        <w:rPr>
          <w:bCs/>
          <w:b/>
        </w:rPr>
        <w:t xml:space="preserve">What would.</w:t>
      </w:r>
      <w:r>
        <w:t xml:space="preserve"> </w:t>
      </w:r>
      <w:r>
        <w:t xml:space="preserve">Diverse double-compiling: compile the compiler’s source with a second, independently sourced trusted compiler, then recompile the source with that result; bit-for-bit identical output implies source and executable correspond, and an attacker must then have subverted</w:t>
      </w:r>
      <w:r>
        <w:t xml:space="preserve"> </w:t>
      </w:r>
      <w:r>
        <w:rPr>
          <w:iCs/>
          <w:i/>
        </w:rPr>
        <w:t xml:space="preserve">every</w:t>
      </w:r>
      <w:r>
        <w:t xml:space="preserve"> </w:t>
      </w:r>
      <w:r>
        <w:t xml:space="preserve">compiler used [Wheeler, ACSAC 2005]. Its stated requirement is that the parent compiler be deterministic when compiling the compiler under test — which is to say that</w:t>
      </w:r>
      <w:r>
        <w:t xml:space="preserve"> </w:t>
      </w:r>
      <w:r>
        <w:rPr>
          <w:bCs/>
          <w:b/>
        </w:rPr>
        <w:t xml:space="preserve">reproducibility is a precondition for the real defence, not a substitute for it</w:t>
      </w:r>
      <w:r>
        <w:t xml:space="preserve">. Reproducible builds are defined by exactly that property: given the same source, environment and instructions, any party can recreate bit-identical artifacts.</w:t>
      </w:r>
    </w:p>
    <w:p>
      <w:pPr>
        <w:pStyle w:val="BodyText"/>
      </w:pPr>
      <w:r>
        <w:rPr>
          <w:bCs/>
          <w:b/>
        </w:rPr>
        <w:t xml:space="preserve">The honest position.</w:t>
      </w:r>
      <w:r>
        <w:t xml:space="preserve"> </w:t>
      </w:r>
      <w:r>
        <w:t xml:space="preserve">The gates of E.18 deliver reproducibility and self-consistency, which are prerequisites and are worth having. Executing a genuine diverse double-compilation of the Niles bootstrap is future work (Chapter 12), and the thesis claims no trusting-trust guarantee until it is done.</w:t>
      </w:r>
    </w:p>
    <w:bookmarkStart w:id="306" w:name="X56208beecb04e0e3e85ced19a4728fedda426ed"/>
    <w:p>
      <w:pPr>
        <w:pStyle w:val="Heading3"/>
      </w:pPr>
      <w:r>
        <w:t xml:space="preserve">E.19.1 The Gates That Now Run, and What Each Establishes</w:t>
      </w:r>
    </w:p>
    <w:p>
      <w:pPr>
        <w:pStyle w:val="FirstParagraph"/>
      </w:pPr>
      <w:r>
        <w:rPr>
          <w:rStyle w:val="VerbatimChar"/>
        </w:rPr>
        <w:t xml:space="preserve">crates/niles-interp/tests/bootstrap_stages.rs</w:t>
      </w:r>
      <w:r>
        <w:t xml:space="preserve"> </w:t>
      </w:r>
      <w:r>
        <w:t xml:space="preserve">runs fourteen tests over the lexer;</w:t>
      </w:r>
      <w:r>
        <w:t xml:space="preserve"> </w:t>
      </w:r>
      <w:r>
        <w:rPr>
          <w:rStyle w:val="VerbatimChar"/>
        </w:rPr>
        <w:t xml:space="preserve">crates/niles-interp/tests/bootstrap_parser.rs</w:t>
      </w:r>
      <w:r>
        <w:t xml:space="preserve"> </w:t>
      </w:r>
      <w:r>
        <w:t xml:space="preserve">runs sixteen more over the parser. Their scope is a</w:t>
      </w:r>
      <w:r>
        <w:t xml:space="preserve"> </w:t>
      </w:r>
      <w:r>
        <w:rPr>
          <w:iCs/>
          <w:i/>
        </w:rPr>
        <w:t xml:space="preserve">front end</w:t>
      </w:r>
      <w:r>
        <w:t xml:space="preserve">, not a compiler, and the tables say so in each row.</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What it runs</w:t>
            </w:r>
          </w:p>
        </w:tc>
        <w:tc>
          <w:tcPr/>
          <w:p>
            <w:pPr>
              <w:pStyle w:val="Compact"/>
              <w:jc w:val="left"/>
            </w:pPr>
            <w:r>
              <w:t xml:space="preserve">What it establishes</w:t>
            </w:r>
          </w:p>
        </w:tc>
        <w:tc>
          <w:tcPr/>
          <w:p>
            <w:pPr>
              <w:pStyle w:val="Compact"/>
              <w:jc w:val="left"/>
            </w:pPr>
            <w:r>
              <w:t xml:space="preserve">What it does not</w:t>
            </w:r>
          </w:p>
        </w:tc>
      </w:tr>
      <w:tr>
        <w:tc>
          <w:tcPr/>
          <w:p>
            <w:pPr>
              <w:pStyle w:val="Compact"/>
              <w:jc w:val="left"/>
            </w:pPr>
            <w:r>
              <w:rPr>
                <w:bCs/>
                <w:b/>
              </w:rPr>
              <w:t xml:space="preserve">Stage 1 runs</w:t>
            </w:r>
          </w:p>
        </w:tc>
        <w:tc>
          <w:tcPr/>
          <w:p>
            <w:pPr>
              <w:pStyle w:val="Compact"/>
              <w:jc w:val="left"/>
            </w:pPr>
            <w:r>
              <w:rPr>
                <w:rStyle w:val="VerbatimChar"/>
              </w:rPr>
              <w:t xml:space="preserve">bootstrap/lexer.niles</w:t>
            </w:r>
            <w:r>
              <w:t xml:space="preserve"> </w:t>
            </w:r>
            <w:r>
              <w:t xml:space="preserve">under</w:t>
            </w:r>
            <w:r>
              <w:t xml:space="preserve"> </w:t>
            </w:r>
            <w:r>
              <w:rPr>
                <w:rStyle w:val="VerbatimChar"/>
              </w:rPr>
              <w:t xml:space="preserve">niles-interp</w:t>
            </w:r>
          </w:p>
        </w:tc>
        <w:tc>
          <w:tcPr/>
          <w:p>
            <w:pPr>
              <w:pStyle w:val="Compact"/>
              <w:jc w:val="left"/>
            </w:pPr>
            <w:r>
              <w:t xml:space="preserve">Stage 0 executes a ~450-line Niles program end to end</w:t>
            </w:r>
          </w:p>
        </w:tc>
        <w:tc>
          <w:tcPr/>
          <w:p>
            <w:pPr>
              <w:pStyle w:val="Compact"/>
              <w:jc w:val="left"/>
            </w:pPr>
            <w:r>
              <w:t xml:space="preserve">Nothing about the rest of the language</w:t>
            </w:r>
          </w:p>
        </w:tc>
      </w:tr>
      <w:tr>
        <w:tc>
          <w:tcPr/>
          <w:p>
            <w:pPr>
              <w:pStyle w:val="Compact"/>
              <w:jc w:val="left"/>
            </w:pPr>
            <w:r>
              <w:rPr>
                <w:bCs/>
                <w:b/>
              </w:rPr>
              <w:t xml:space="preserve">Stage 1 equivalence</w:t>
            </w:r>
          </w:p>
        </w:tc>
        <w:tc>
          <w:tcPr/>
          <w:p>
            <w:pPr>
              <w:pStyle w:val="Compact"/>
              <w:jc w:val="left"/>
            </w:pPr>
            <w:r>
              <w:t xml:space="preserve">Niles lexer vs. Rust lexer over a 29-case corpus</w:t>
            </w:r>
          </w:p>
        </w:tc>
        <w:tc>
          <w:tcPr/>
          <w:p>
            <w:pPr>
              <w:pStyle w:val="Compact"/>
              <w:jc w:val="left"/>
            </w:pPr>
            <w:r>
              <w:t xml:space="preserve">The two agree on every token’s kind, span and text</w:t>
            </w:r>
          </w:p>
        </w:tc>
        <w:tc>
          <w:tcPr/>
          <w:p>
            <w:pPr>
              <w:pStyle w:val="Compact"/>
              <w:jc w:val="left"/>
            </w:pPr>
            <w:r>
              <w:t xml:space="preserve">Only over the declared scope; four literal forms are excluded</w:t>
            </w:r>
          </w:p>
        </w:tc>
      </w:tr>
      <w:tr>
        <w:tc>
          <w:tcPr/>
          <w:p>
            <w:pPr>
              <w:pStyle w:val="Compact"/>
              <w:jc w:val="left"/>
            </w:pPr>
            <w:r>
              <w:rPr>
                <w:bCs/>
                <w:b/>
              </w:rPr>
              <w:t xml:space="preserve">Stage 2 self-application</w:t>
            </w:r>
          </w:p>
        </w:tc>
        <w:tc>
          <w:tcPr/>
          <w:p>
            <w:pPr>
              <w:pStyle w:val="Compact"/>
              <w:jc w:val="left"/>
            </w:pPr>
            <w:r>
              <w:t xml:space="preserve">Niles lexer over its own source</w:t>
            </w:r>
          </w:p>
        </w:tc>
        <w:tc>
          <w:tcPr/>
          <w:p>
            <w:pPr>
              <w:pStyle w:val="Compact"/>
              <w:jc w:val="left"/>
            </w:pPr>
            <w:r>
              <w:t xml:space="preserve">It lexes itself, identically to the reference</w:t>
            </w:r>
          </w:p>
        </w:tc>
        <w:tc>
          <w:tcPr/>
          <w:p>
            <w:pPr>
              <w:pStyle w:val="Compact"/>
              <w:jc w:val="left"/>
            </w:pPr>
            <w:r>
              <w:t xml:space="preserve">Not</w:t>
            </w:r>
            <w:r>
              <w:t xml:space="preserve"> </w:t>
            </w:r>
            <w:r>
              <w:t xml:space="preserve">“</w:t>
            </w:r>
            <w:r>
              <w:t xml:space="preserve">recompiles itself</w:t>
            </w:r>
            <w:r>
              <w:t xml:space="preserve">”</w:t>
            </w:r>
            <w:r>
              <w:t xml:space="preserve"> </w:t>
            </w:r>
            <w:r>
              <w:t xml:space="preserve">— a lexer compiles nothing</w:t>
            </w:r>
          </w:p>
        </w:tc>
      </w:tr>
      <w:tr>
        <w:tc>
          <w:tcPr/>
          <w:p>
            <w:pPr>
              <w:pStyle w:val="Compact"/>
              <w:jc w:val="left"/>
            </w:pPr>
            <w:r>
              <w:rPr>
                <w:bCs/>
                <w:b/>
              </w:rPr>
              <w:t xml:space="preserve">Stage 3 fixpoint</w:t>
            </w:r>
          </w:p>
        </w:tc>
        <w:tc>
          <w:tcPr/>
          <w:p>
            <w:pPr>
              <w:pStyle w:val="Compact"/>
              <w:jc w:val="left"/>
            </w:pPr>
            <w:r>
              <w:t xml:space="preserve">Repeated runs, and repeated self-application</w:t>
            </w:r>
          </w:p>
        </w:tc>
        <w:tc>
          <w:tcPr/>
          <w:p>
            <w:pPr>
              <w:pStyle w:val="Compact"/>
              <w:jc w:val="left"/>
            </w:pPr>
            <w:r>
              <w:t xml:space="preserve">Byte-identical output run to run</w:t>
            </w:r>
          </w:p>
        </w:tc>
        <w:tc>
          <w:tcPr/>
          <w:p>
            <w:pPr>
              <w:pStyle w:val="Compact"/>
              <w:jc w:val="left"/>
            </w:pPr>
            <w:r>
              <w:rPr>
                <w:bCs/>
                <w:b/>
              </w:rPr>
              <w:t xml:space="preserve">Run-to-run on one target only</w:t>
            </w:r>
            <w:r>
              <w:t xml:space="preserve">; cross-target determinism (C.4) remains unmet</w:t>
            </w:r>
          </w:p>
        </w:tc>
      </w:tr>
    </w:tbl>
    <w:p>
      <w:pPr>
        <w:pStyle w:val="BodyText"/>
      </w:pPr>
      <w:r>
        <w:t xml:space="preserve">And, one stage 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What it runs</w:t>
            </w:r>
          </w:p>
        </w:tc>
        <w:tc>
          <w:tcPr/>
          <w:p>
            <w:pPr>
              <w:pStyle w:val="Compact"/>
              <w:jc w:val="left"/>
            </w:pPr>
            <w:r>
              <w:t xml:space="preserve">What it establishes</w:t>
            </w:r>
          </w:p>
        </w:tc>
        <w:tc>
          <w:tcPr/>
          <w:p>
            <w:pPr>
              <w:pStyle w:val="Compact"/>
              <w:jc w:val="left"/>
            </w:pPr>
            <w:r>
              <w:t xml:space="preserve">What it does not</w:t>
            </w:r>
          </w:p>
        </w:tc>
      </w:tr>
      <w:tr>
        <w:tc>
          <w:tcPr/>
          <w:p>
            <w:pPr>
              <w:pStyle w:val="Compact"/>
              <w:jc w:val="left"/>
            </w:pPr>
            <w:r>
              <w:rPr>
                <w:bCs/>
                <w:b/>
              </w:rPr>
              <w:t xml:space="preserve">Stage 1 runs</w:t>
            </w:r>
          </w:p>
        </w:tc>
        <w:tc>
          <w:tcPr/>
          <w:p>
            <w:pPr>
              <w:pStyle w:val="Compact"/>
              <w:jc w:val="left"/>
            </w:pPr>
            <w:r>
              <w:rPr>
                <w:rStyle w:val="VerbatimChar"/>
              </w:rPr>
              <w:t xml:space="preserve">bootstrap/parser.niles</w:t>
            </w:r>
            <w:r>
              <w:t xml:space="preserve"> </w:t>
            </w:r>
            <w:r>
              <w:t xml:space="preserve">under</w:t>
            </w:r>
            <w:r>
              <w:t xml:space="preserve"> </w:t>
            </w:r>
            <w:r>
              <w:rPr>
                <w:rStyle w:val="VerbatimChar"/>
              </w:rPr>
              <w:t xml:space="preserve">niles-interp</w:t>
            </w:r>
          </w:p>
        </w:tc>
        <w:tc>
          <w:tcPr/>
          <w:p>
            <w:pPr>
              <w:pStyle w:val="Compact"/>
              <w:jc w:val="left"/>
            </w:pPr>
            <w:r>
              <w:t xml:space="preserve">Stage 0 executes a ~1,050-line Niles program that builds and walks a recursive tree</w:t>
            </w:r>
          </w:p>
        </w:tc>
        <w:tc>
          <w:tcPr/>
          <w:p>
            <w:pPr>
              <w:pStyle w:val="Compact"/>
              <w:jc w:val="left"/>
            </w:pPr>
            <w:r>
              <w:t xml:space="preserve">Nothing about type-checking</w:t>
            </w:r>
          </w:p>
        </w:tc>
      </w:tr>
      <w:tr>
        <w:tc>
          <w:tcPr/>
          <w:p>
            <w:pPr>
              <w:pStyle w:val="Compact"/>
              <w:jc w:val="left"/>
            </w:pPr>
            <w:r>
              <w:rPr>
                <w:bCs/>
                <w:b/>
              </w:rPr>
              <w:t xml:space="preserve">Stage 1 equivalence</w:t>
            </w:r>
          </w:p>
        </w:tc>
        <w:tc>
          <w:tcPr/>
          <w:p>
            <w:pPr>
              <w:pStyle w:val="Compact"/>
              <w:jc w:val="left"/>
            </w:pPr>
            <w:r>
              <w:t xml:space="preserve">Niles parser vs. Rust parser over a 48-case corpus</w:t>
            </w:r>
          </w:p>
        </w:tc>
        <w:tc>
          <w:tcPr/>
          <w:p>
            <w:pPr>
              <w:pStyle w:val="Compact"/>
              <w:jc w:val="left"/>
            </w:pPr>
            <w:r>
              <w:t xml:space="preserve">The two agree on</w:t>
            </w:r>
            <w:r>
              <w:t xml:space="preserve"> </w:t>
            </w:r>
            <w:r>
              <w:rPr>
                <w:bCs/>
                <w:b/>
              </w:rPr>
              <w:t xml:space="preserve">every node of every tree</w:t>
            </w:r>
          </w:p>
        </w:tc>
        <w:tc>
          <w:tcPr/>
          <w:p>
            <w:pPr>
              <w:pStyle w:val="Compact"/>
              <w:jc w:val="left"/>
            </w:pPr>
            <w:r>
              <w:t xml:space="preserve">Spans are excluded by design — token offsets are the lexer’s gate</w:t>
            </w:r>
          </w:p>
        </w:tc>
      </w:tr>
      <w:tr>
        <w:tc>
          <w:tcPr/>
          <w:p>
            <w:pPr>
              <w:pStyle w:val="Compact"/>
              <w:jc w:val="left"/>
            </w:pPr>
            <w:r>
              <w:rPr>
                <w:bCs/>
                <w:b/>
              </w:rPr>
              <w:t xml:space="preserve">Stage 2 self-application</w:t>
            </w:r>
          </w:p>
        </w:tc>
        <w:tc>
          <w:tcPr/>
          <w:p>
            <w:pPr>
              <w:pStyle w:val="Compact"/>
              <w:jc w:val="left"/>
            </w:pPr>
            <w:r>
              <w:t xml:space="preserve">Niles front end over its own two source files</w:t>
            </w:r>
          </w:p>
        </w:tc>
        <w:tc>
          <w:tcPr/>
          <w:p>
            <w:pPr>
              <w:pStyle w:val="Compact"/>
              <w:jc w:val="left"/>
            </w:pPr>
            <w:r>
              <w:t xml:space="preserve">It parses 1,200 lines of Niles, including itself, identically to the reference (127,165 bytes of tree)</w:t>
            </w:r>
          </w:p>
        </w:tc>
        <w:tc>
          <w:tcPr/>
          <w:p>
            <w:pPr>
              <w:pStyle w:val="Compact"/>
              <w:jc w:val="left"/>
            </w:pPr>
            <w:r>
              <w:t xml:space="preserve">Still not</w:t>
            </w:r>
            <w:r>
              <w:t xml:space="preserve"> </w:t>
            </w:r>
            <w:r>
              <w:t xml:space="preserve">“</w:t>
            </w:r>
            <w:r>
              <w:t xml:space="preserve">recompiles itself</w:t>
            </w:r>
            <w:r>
              <w:t xml:space="preserve">”</w:t>
            </w:r>
            <w:r>
              <w:t xml:space="preserve">: no code is generated</w:t>
            </w:r>
          </w:p>
        </w:tc>
      </w:tr>
      <w:tr>
        <w:tc>
          <w:tcPr/>
          <w:p>
            <w:pPr>
              <w:pStyle w:val="Compact"/>
              <w:jc w:val="left"/>
            </w:pPr>
            <w:r>
              <w:rPr>
                <w:bCs/>
                <w:b/>
              </w:rPr>
              <w:t xml:space="preserve">Stage 3 fixpoint</w:t>
            </w:r>
          </w:p>
        </w:tc>
        <w:tc>
          <w:tcPr/>
          <w:p>
            <w:pPr>
              <w:pStyle w:val="Compact"/>
              <w:jc w:val="left"/>
            </w:pPr>
            <w:r>
              <w:t xml:space="preserve">Repeated runs, and repeated self-application</w:t>
            </w:r>
          </w:p>
        </w:tc>
        <w:tc>
          <w:tcPr/>
          <w:p>
            <w:pPr>
              <w:pStyle w:val="Compact"/>
              <w:jc w:val="left"/>
            </w:pPr>
            <w:r>
              <w:t xml:space="preserve">Byte-identical output run to run</w:t>
            </w:r>
          </w:p>
        </w:tc>
        <w:tc>
          <w:tcPr/>
          <w:p>
            <w:pPr>
              <w:pStyle w:val="Compact"/>
              <w:jc w:val="left"/>
            </w:pPr>
            <w:r>
              <w:t xml:space="preserve">As above</w:t>
            </w:r>
          </w:p>
        </w:tc>
      </w:tr>
      <w:tr>
        <w:tc>
          <w:tcPr/>
          <w:p>
            <w:pPr>
              <w:pStyle w:val="Compact"/>
              <w:jc w:val="left"/>
            </w:pPr>
            <w:r>
              <w:rPr>
                <w:bCs/>
                <w:b/>
              </w:rPr>
              <w:t xml:space="preserve">Negative controls</w:t>
            </w:r>
          </w:p>
        </w:tc>
        <w:tc>
          <w:tcPr/>
          <w:p>
            <w:pPr>
              <w:pStyle w:val="Compact"/>
              <w:jc w:val="left"/>
            </w:pPr>
            <w:r>
              <w:t xml:space="preserve">A missing brace; a token that cannot begin an expression;</w:t>
            </w:r>
            <w:r>
              <w:t xml:space="preserve"> </w:t>
            </w:r>
            <w:r>
              <w:rPr>
                <w:rStyle w:val="VerbatimChar"/>
              </w:rPr>
              <w:t xml:space="preserve">a - b - c</w:t>
            </w:r>
            <w:r>
              <w:t xml:space="preserve">;</w:t>
            </w:r>
            <w:r>
              <w:t xml:space="preserve"> </w:t>
            </w:r>
            <w:r>
              <w:rPr>
                <w:rStyle w:val="VerbatimChar"/>
              </w:rPr>
              <w:t xml:space="preserve">a = b = c</w:t>
            </w:r>
          </w:p>
        </w:tc>
        <w:tc>
          <w:tcPr/>
          <w:p>
            <w:pPr>
              <w:pStyle w:val="Compact"/>
              <w:jc w:val="left"/>
            </w:pPr>
            <w:r>
              <w:t xml:space="preserve">Both parsers recover to the</w:t>
            </w:r>
            <w:r>
              <w:t xml:space="preserve"> </w:t>
            </w:r>
            <w:r>
              <w:rPr>
                <w:iCs/>
                <w:i/>
              </w:rPr>
              <w:t xml:space="preserve">same</w:t>
            </w:r>
            <w:r>
              <w:t xml:space="preserve"> </w:t>
            </w:r>
            <w:r>
              <w:t xml:space="preserve">tree, and associate the way B.10.1 says</w:t>
            </w:r>
          </w:p>
        </w:tc>
        <w:tc>
          <w:tcPr/>
          <w:p>
            <w:pPr>
              <w:pStyle w:val="Compact"/>
              <w:jc w:val="left"/>
            </w:pPr>
            <w:r>
              <w:t xml:space="preserve">The Niles parser has no diagnostic channel; see below</w:t>
            </w:r>
          </w:p>
        </w:tc>
      </w:tr>
    </w:tbl>
    <w:p>
      <w:pPr>
        <w:pStyle w:val="BodyText"/>
      </w:pPr>
      <w:r>
        <w:t xml:space="preserve">Comparison is on a rendering, not on structures: the two parsers share no types, so a structural comparison would need an adapter, and an adapter is the one thing a gate must not be, since a defect in it cancels a defect in either side. Both sides render independently to the S-expression form defined in</w:t>
      </w:r>
      <w:r>
        <w:t xml:space="preserve"> </w:t>
      </w:r>
      <w:r>
        <w:rPr>
          <w:rStyle w:val="VerbatimChar"/>
        </w:rPr>
        <w:t xml:space="preserve">niles_lang::sexpr</w:t>
      </w:r>
      <w:r>
        <w:t xml:space="preserve">, in which optional slots are never elided — an absent</w:t>
      </w:r>
      <w:r>
        <w:t xml:space="preserve"> </w:t>
      </w:r>
      <w:r>
        <w:rPr>
          <w:rStyle w:val="VerbatimChar"/>
        </w:rPr>
        <w:t xml:space="preserve">else</w:t>
      </w:r>
      <w:r>
        <w:t xml:space="preserve"> </w:t>
      </w:r>
      <w:r>
        <w:t xml:space="preserve">renders</w:t>
      </w:r>
      <w:r>
        <w:t xml:space="preserve"> </w:t>
      </w:r>
      <w:r>
        <w:rPr>
          <w:rStyle w:val="VerbatimChar"/>
        </w:rPr>
        <w:t xml:space="preserve">(none)</w:t>
      </w:r>
      <w:r>
        <w:t xml:space="preserve"> </w:t>
      </w:r>
      <w:r>
        <w:t xml:space="preserve">— so two different trees cannot produce one string.</w:t>
      </w:r>
    </w:p>
    <w:p>
      <w:pPr>
        <w:pStyle w:val="BodyText"/>
      </w:pPr>
      <w:r>
        <w:t xml:space="preserve">The corpus is chosen for the decisions a hand-written lexer actually gets wrong: longest-match punctuation (</w:t>
      </w:r>
      <w:r>
        <w:rPr>
          <w:rStyle w:val="VerbatimChar"/>
        </w:rPr>
        <w:t xml:space="preserve">::</w:t>
      </w:r>
      <w:r>
        <w:t xml:space="preserve"> </w:t>
      </w:r>
      <w:r>
        <w:t xml:space="preserve">before</w:t>
      </w:r>
      <w:r>
        <w:t xml:space="preserve"> </w:t>
      </w:r>
      <w:r>
        <w:rPr>
          <w:rStyle w:val="VerbatimChar"/>
        </w:rPr>
        <w:t xml:space="preserve">:</w:t>
      </w:r>
      <w:r>
        <w:t xml:space="preserve">,</w:t>
      </w:r>
      <w:r>
        <w:t xml:space="preserve"> </w:t>
      </w:r>
      <w:r>
        <w:rPr>
          <w:rStyle w:val="VerbatimChar"/>
        </w:rPr>
        <w:t xml:space="preserve">|&gt;</w:t>
      </w:r>
      <w:r>
        <w:t xml:space="preserve"> </w:t>
      </w:r>
      <w:r>
        <w:t xml:space="preserve">and</w:t>
      </w:r>
      <w:r>
        <w:t xml:space="preserve"> </w:t>
      </w:r>
      <w:r>
        <w:rPr>
          <w:rStyle w:val="VerbatimChar"/>
        </w:rPr>
        <w:t xml:space="preserve">||</w:t>
      </w:r>
      <w:r>
        <w:t xml:space="preserve"> </w:t>
      </w:r>
      <w:r>
        <w:t xml:space="preserve">before</w:t>
      </w:r>
      <w:r>
        <w:t xml:space="preserve"> </w:t>
      </w:r>
      <w:r>
        <w:rPr>
          <w:rStyle w:val="VerbatimChar"/>
        </w:rPr>
        <w:t xml:space="preserve">|</w:t>
      </w:r>
      <w:r>
        <w:t xml:space="preserve">,</w:t>
      </w:r>
      <w:r>
        <w:t xml:space="preserve"> </w:t>
      </w:r>
      <w:r>
        <w:rPr>
          <w:rStyle w:val="VerbatimChar"/>
        </w:rPr>
        <w:t xml:space="preserve">=&gt;</w:t>
      </w:r>
      <w:r>
        <w:t xml:space="preserve"> </w:t>
      </w:r>
      <w:r>
        <w:t xml:space="preserve">and</w:t>
      </w:r>
      <w:r>
        <w:t xml:space="preserve"> </w:t>
      </w:r>
      <w:r>
        <w:rPr>
          <w:rStyle w:val="VerbatimChar"/>
        </w:rPr>
        <w:t xml:space="preserve">==</w:t>
      </w:r>
      <w:r>
        <w:t xml:space="preserve"> </w:t>
      </w:r>
      <w:r>
        <w:t xml:space="preserve">before</w:t>
      </w:r>
      <w:r>
        <w:t xml:space="preserve"> </w:t>
      </w:r>
      <w:r>
        <w:rPr>
          <w:rStyle w:val="VerbatimChar"/>
        </w:rPr>
        <w:t xml:space="preserve">=</w:t>
      </w:r>
      <w:r>
        <w:t xml:space="preserve">), the sigil rule that distinguishes</w:t>
      </w:r>
      <w:r>
        <w:t xml:space="preserve"> </w:t>
      </w:r>
      <w:r>
        <w:rPr>
          <w:rStyle w:val="VerbatimChar"/>
        </w:rPr>
        <w:t xml:space="preserve">#4200</w:t>
      </w:r>
      <w:r>
        <w:t xml:space="preserve"> </w:t>
      </w:r>
      <w:r>
        <w:t xml:space="preserve">from</w:t>
      </w:r>
      <w:r>
        <w:t xml:space="preserve"> </w:t>
      </w:r>
      <w:r>
        <w:rPr>
          <w:rStyle w:val="VerbatimChar"/>
        </w:rPr>
        <w:t xml:space="preserve">#[attr]</w:t>
      </w:r>
      <w:r>
        <w:t xml:space="preserve">, the rule that distinguishes</w:t>
      </w:r>
      <w:r>
        <w:t xml:space="preserve"> </w:t>
      </w:r>
      <w:r>
        <w:rPr>
          <w:rStyle w:val="VerbatimChar"/>
        </w:rPr>
        <w:t xml:space="preserve">10.00 usd</w:t>
      </w:r>
      <w:r>
        <w:t xml:space="preserve"> </w:t>
      </w:r>
      <w:r>
        <w:t xml:space="preserve">from</w:t>
      </w:r>
      <w:r>
        <w:t xml:space="preserve"> </w:t>
      </w:r>
      <w:r>
        <w:rPr>
          <w:rStyle w:val="VerbatimChar"/>
        </w:rPr>
        <w:t xml:space="preserve">10</w:t>
      </w:r>
      <w:r>
        <w:t xml:space="preserve"> </w:t>
      </w:r>
      <w:r>
        <w:t xml:space="preserve">followed by</w:t>
      </w:r>
      <w:r>
        <w:t xml:space="preserve"> </w:t>
      </w:r>
      <w:r>
        <w:rPr>
          <w:rStyle w:val="VerbatimChar"/>
        </w:rPr>
        <w:t xml:space="preserve">.days</w:t>
      </w:r>
      <w:r>
        <w:t xml:space="preserve">, escapes inside strings, and</w:t>
      </w:r>
      <w:r>
        <w:t xml:space="preserve"> </w:t>
      </w:r>
      <w:r>
        <w:rPr>
          <w:bCs/>
          <w:b/>
        </w:rPr>
        <w:t xml:space="preserve">unterminated constructs at end of input</w:t>
      </w:r>
      <w:r>
        <w:t xml:space="preserve">. That last class is deliberately</w:t>
      </w:r>
      <w:r>
        <w:t xml:space="preserve"> </w:t>
      </w:r>
      <w:r>
        <w:rPr>
          <w:iCs/>
          <w:i/>
        </w:rPr>
        <w:t xml:space="preserve">not</w:t>
      </w:r>
      <w:r>
        <w:t xml:space="preserve"> </w:t>
      </w:r>
      <w:r>
        <w:t xml:space="preserve">excluded: a malformed input is exactly where two lexers most easily disagree, because each must decide independently where the broken construct ends, and dropping those cases would have removed the hardest evidence in the name of tidiness.</w:t>
      </w:r>
    </w:p>
    <w:p>
      <w:pPr>
        <w:pStyle w:val="BodyText"/>
      </w:pPr>
      <w:r>
        <w:rPr>
          <w:bCs/>
          <w:b/>
        </w:rPr>
        <w:t xml:space="preserve">The gate can fail, and did — four times, on its first run.</w:t>
      </w:r>
      <w:r>
        <w:t xml:space="preserve"> </w:t>
      </w:r>
      <w:r>
        <w:t xml:space="preserve">This is worth recording, because a gate that has never rejected anything is a gate with no demonstrated discriminating power.</w:t>
      </w:r>
    </w:p>
    <w:p>
      <w:pPr>
        <w:numPr>
          <w:ilvl w:val="0"/>
          <w:numId w:val="1029"/>
        </w:numPr>
        <w:pStyle w:val="Compact"/>
      </w:pPr>
      <w:r>
        <w:t xml:space="preserve">The Niles lexer’s keyword table listed</w:t>
      </w:r>
      <w:r>
        <w:t xml:space="preserve"> </w:t>
      </w:r>
      <w:r>
        <w:rPr>
          <w:rStyle w:val="VerbatimChar"/>
        </w:rPr>
        <w:t xml:space="preserve">evict</w:t>
      </w:r>
      <w:r>
        <w:t xml:space="preserve"> </w:t>
      </w:r>
      <w:r>
        <w:t xml:space="preserve">and</w:t>
      </w:r>
      <w:r>
        <w:t xml:space="preserve"> </w:t>
      </w:r>
      <w:r>
        <w:rPr>
          <w:rStyle w:val="VerbatimChar"/>
        </w:rPr>
        <w:t xml:space="preserve">conserves</w:t>
      </w:r>
      <w:r>
        <w:t xml:space="preserve">. Neither exists; the registry’s words are</w:t>
      </w:r>
      <w:r>
        <w:t xml:space="preserve"> </w:t>
      </w:r>
      <w:r>
        <w:rPr>
          <w:rStyle w:val="VerbatimChar"/>
        </w:rPr>
        <w:t xml:space="preserve">evictable</w:t>
      </w:r>
      <w:r>
        <w:t xml:space="preserve"> </w:t>
      </w:r>
      <w:r>
        <w:t xml:space="preserve">and</w:t>
      </w:r>
      <w:r>
        <w:t xml:space="preserve"> </w:t>
      </w:r>
      <w:r>
        <w:rPr>
          <w:rStyle w:val="VerbatimChar"/>
        </w:rPr>
        <w:t xml:space="preserve">conserve</w:t>
      </w:r>
      <w:r>
        <w:t xml:space="preserve">.</w:t>
      </w:r>
    </w:p>
    <w:p>
      <w:pPr>
        <w:numPr>
          <w:ilvl w:val="0"/>
          <w:numId w:val="1029"/>
        </w:numPr>
        <w:pStyle w:val="Compact"/>
      </w:pPr>
      <w:r>
        <w:t xml:space="preserve">It omitted</w:t>
      </w:r>
      <w:r>
        <w:t xml:space="preserve"> </w:t>
      </w:r>
      <w:r>
        <w:rPr>
          <w:rStyle w:val="VerbatimChar"/>
        </w:rPr>
        <w:t xml:space="preserve">from</w:t>
      </w:r>
      <w:r>
        <w:t xml:space="preserve"> </w:t>
      </w:r>
      <w:r>
        <w:t xml:space="preserve">and</w:t>
      </w:r>
      <w:r>
        <w:t xml:space="preserve"> </w:t>
      </w:r>
      <w:r>
        <w:rPr>
          <w:rStyle w:val="VerbatimChar"/>
        </w:rPr>
        <w:t xml:space="preserve">post</w:t>
      </w:r>
      <w:r>
        <w:t xml:space="preserve">, which do exist.</w:t>
      </w:r>
    </w:p>
    <w:p>
      <w:pPr>
        <w:numPr>
          <w:ilvl w:val="0"/>
          <w:numId w:val="1029"/>
        </w:numPr>
        <w:pStyle w:val="Compact"/>
      </w:pPr>
      <w:r>
        <w:t xml:space="preserve">It matched keywords</w:t>
      </w:r>
      <w:r>
        <w:t xml:space="preserve"> </w:t>
      </w:r>
      <w:r>
        <w:rPr>
          <w:bCs/>
          <w:b/>
        </w:rPr>
        <w:t xml:space="preserve">case-sensitively</w:t>
      </w:r>
      <w:r>
        <w:t xml:space="preserve">. Niles inherits case-insensitive keywords from SQL, so</w:t>
      </w:r>
      <w:r>
        <w:t xml:space="preserve"> </w:t>
      </w:r>
      <w:r>
        <w:rPr>
          <w:rStyle w:val="VerbatimChar"/>
        </w:rPr>
        <w:t xml:space="preserve">Epoch</w:t>
      </w:r>
      <w:r>
        <w:t xml:space="preserve">,</w:t>
      </w:r>
      <w:r>
        <w:t xml:space="preserve"> </w:t>
      </w:r>
      <w:r>
        <w:rPr>
          <w:rStyle w:val="VerbatimChar"/>
        </w:rPr>
        <w:t xml:space="preserve">EPOCH</w:t>
      </w:r>
      <w:r>
        <w:t xml:space="preserve"> </w:t>
      </w:r>
      <w:r>
        <w:t xml:space="preserve">and</w:t>
      </w:r>
      <w:r>
        <w:t xml:space="preserve"> </w:t>
      </w:r>
      <w:r>
        <w:rPr>
          <w:rStyle w:val="VerbatimChar"/>
        </w:rPr>
        <w:t xml:space="preserve">epoch</w:t>
      </w:r>
      <w:r>
        <w:t xml:space="preserve"> </w:t>
      </w:r>
      <w:r>
        <w:t xml:space="preserve">are one word — a rule a lexer written by someone thinking in Rust gets wrong, because Rust’s half of Niles’s ancestry is case-sensitive. The two lineages disagree here and the registry settles it.</w:t>
      </w:r>
    </w:p>
    <w:p>
      <w:pPr>
        <w:numPr>
          <w:ilvl w:val="0"/>
          <w:numId w:val="1029"/>
        </w:numPr>
        <w:pStyle w:val="Compact"/>
      </w:pPr>
      <w:r>
        <w:t xml:space="preserve">The gate’s own scope filter initially excluded any input the reference lexer reported an error on, which silently removed the two unterminated-construct cases. That was a defect in the gate, not in either lexer, and it is the kind a self-written gate is most likely to have.</w:t>
      </w:r>
    </w:p>
    <w:p>
      <w:pPr>
        <w:pStyle w:val="FirstParagraph"/>
      </w:pPr>
      <w:r>
        <w:t xml:space="preserve">Findings 1 and 2 are the argument for the keyword registry (§6.4) arriving as evidence rather than assertion: two implementations of one language drifted apart within a day of the second one existing. The response was not to fix the table but to remove the possibility — the Niles-side table is now</w:t>
      </w:r>
      <w:r>
        <w:t xml:space="preserve"> </w:t>
      </w:r>
      <w:r>
        <w:rPr>
          <w:bCs/>
          <w:b/>
        </w:rPr>
        <w:t xml:space="preserve">generated from</w:t>
      </w:r>
      <w:r>
        <w:rPr>
          <w:bCs/>
          <w:b/>
        </w:rPr>
        <w:t xml:space="preserve"> </w:t>
      </w:r>
      <w:r>
        <w:rPr>
          <w:rStyle w:val="VerbatimChar"/>
          <w:bCs/>
          <w:b/>
        </w:rPr>
        <w:t xml:space="preserve">keywords.rs</w:t>
      </w:r>
      <w:r>
        <w:t xml:space="preserve">, and</w:t>
      </w:r>
      <w:r>
        <w:t xml:space="preserve"> </w:t>
      </w:r>
      <w:r>
        <w:rPr>
          <w:rStyle w:val="VerbatimChar"/>
        </w:rPr>
        <w:t xml:space="preserve">keyword_table_matches_the_registry_exactly</w:t>
      </w:r>
      <w:r>
        <w:t xml:space="preserve"> </w:t>
      </w:r>
      <w:r>
        <w:t xml:space="preserve">fails the build if the two ever diverge again. The single source of truth crosses the bootstrap boundary; it does not stop at the host language.</w:t>
      </w:r>
    </w:p>
    <w:bookmarkEnd w:id="306"/>
    <w:bookmarkStart w:id="307" w:name="Xde405afbc7306b8278be95c93f6b4a3cafb5cee"/>
    <w:p>
      <w:pPr>
        <w:pStyle w:val="Heading3"/>
      </w:pPr>
      <w:r>
        <w:t xml:space="preserve">E.19.2 The Parser Round, and the Three Defects It Rejected</w:t>
      </w:r>
    </w:p>
    <w:p>
      <w:pPr>
        <w:pStyle w:val="FirstParagraph"/>
      </w:pPr>
      <w:r>
        <w:t xml:space="preserve">The parser gates failed in three different artefacts before passing, and the three are worth separating because only one of them is the kind of defect the exercise was designed to find.</w:t>
      </w:r>
    </w:p>
    <w:p>
      <w:pPr>
        <w:numPr>
          <w:ilvl w:val="0"/>
          <w:numId w:val="1030"/>
        </w:numPr>
      </w:pPr>
      <w:r>
        <w:rPr>
          <w:bCs/>
          <w:b/>
        </w:rPr>
        <w:t xml:space="preserve">In the stage-0 interpreter.</w:t>
      </w:r>
      <w:r>
        <w:t xml:space="preserve"> </w:t>
      </w:r>
      <w:r>
        <w:t xml:space="preserve">A tree-walking interpreter spends host stack in proportion to the interpreted program’s call depth, and a</w:t>
      </w:r>
      <w:r>
        <w:t xml:space="preserve"> </w:t>
      </w:r>
      <w:r>
        <w:rPr>
          <w:rStyle w:val="VerbatimChar"/>
        </w:rPr>
        <w:t xml:space="preserve">match</w:t>
      </w:r>
      <w:r>
        <w:t xml:space="preserve"> </w:t>
      </w:r>
      <w:r>
        <w:t xml:space="preserve">over thirty expression variants compiles, unoptimised, to a frame holding the union of every arm’s locals. Measured: ~95 KB of host stack per Niles call frame in a debug build against 4.8 KB in a release build — a twentyfold build-mode penalty — which put a recursive-descent parser out of reach on any ordinary stack, and whose failure mode was a</w:t>
      </w:r>
      <w:r>
        <w:t xml:space="preserve"> </w:t>
      </w:r>
      <w:r>
        <w:rPr>
          <w:bCs/>
          <w:b/>
        </w:rPr>
        <w:t xml:space="preserve">process abort with no diagnostic</w:t>
      </w:r>
      <w:r>
        <w:t xml:space="preserve">, because a stack overflow in Rust does not unwind. Moving the cold arms behind</w:t>
      </w:r>
      <w:r>
        <w:t xml:space="preserve"> </w:t>
      </w:r>
      <w:r>
        <w:rPr>
          <w:rStyle w:val="VerbatimChar"/>
        </w:rPr>
        <w:t xml:space="preserve">#[inline(never)]</w:t>
      </w:r>
      <w:r>
        <w:t xml:space="preserve"> </w:t>
      </w:r>
      <w:r>
        <w:t xml:space="preserve">brought debug to 32 KB, and a call-depth counter now turns the remaining limit into an ordinary error carrying a span. The default ceiling is the depth that fits a 1 MB stack in the widest build; the first value tried assumed a 2 MB thread stack and aborted the test process, which is how the number came to be measured rather than assumed.</w:t>
      </w:r>
    </w:p>
    <w:p>
      <w:pPr>
        <w:numPr>
          <w:ilvl w:val="0"/>
          <w:numId w:val="1030"/>
        </w:numPr>
      </w:pPr>
      <w:r>
        <w:rPr>
          <w:bCs/>
          <w:b/>
        </w:rPr>
        <w:t xml:space="preserve">In the reference parser.</w:t>
      </w:r>
      <w:r>
        <w:t xml:space="preserve"> </w:t>
      </w:r>
      <w:r>
        <w:t xml:space="preserve">Assignment was</w:t>
      </w:r>
      <w:r>
        <w:t xml:space="preserve"> </w:t>
      </w:r>
      <w:r>
        <w:rPr>
          <w:bCs/>
          <w:b/>
        </w:rPr>
        <w:t xml:space="preserve">left</w:t>
      </w:r>
      <w:r>
        <w:t xml:space="preserve">-associative.</w:t>
      </w:r>
      <w:r>
        <w:t xml:space="preserve"> </w:t>
      </w:r>
      <w:r>
        <w:rPr>
          <w:rStyle w:val="VerbatimChar"/>
        </w:rPr>
        <w:t xml:space="preserve">expr_bp</w:t>
      </w:r>
      <w:r>
        <w:t xml:space="preserve"> </w:t>
      </w:r>
      <w:r>
        <w:t xml:space="preserve">recursed for the right-hand side at binding power 1, which placed assignment outside its own</w:t>
      </w:r>
      <w:r>
        <w:t xml:space="preserve"> </w:t>
      </w:r>
      <w:r>
        <w:rPr>
          <w:rStyle w:val="VerbatimChar"/>
        </w:rPr>
        <w:t xml:space="preserve">min_bp == 0</w:t>
      </w:r>
      <w:r>
        <w:t xml:space="preserve"> </w:t>
      </w:r>
      <w:r>
        <w:t xml:space="preserve">guard, so</w:t>
      </w:r>
      <w:r>
        <w:t xml:space="preserve"> </w:t>
      </w:r>
      <w:r>
        <w:rPr>
          <w:rStyle w:val="VerbatimChar"/>
        </w:rPr>
        <w:t xml:space="preserve">a = b = c</w:t>
      </w:r>
      <w:r>
        <w:t xml:space="preserve"> </w:t>
      </w:r>
      <w:r>
        <w:t xml:space="preserve">parsed as</w:t>
      </w:r>
      <w:r>
        <w:t xml:space="preserve"> </w:t>
      </w:r>
      <w:r>
        <w:rPr>
          <w:rStyle w:val="VerbatimChar"/>
        </w:rPr>
        <w:t xml:space="preserve">(a = b) = c</w:t>
      </w:r>
      <w:r>
        <w:t xml:space="preserve"> </w:t>
      </w:r>
      <w:r>
        <w:t xml:space="preserve">— the opposite of Rust’s rule and of the comment sitting directly above the code. This is the finding the exercise exists for. It had survived every test in the workspace because associativity is invisible in a token stream: the lexer round could not have found it, and nothing else was looking. It surfaced within minutes of a second implementation of the same grammar existing.</w:t>
      </w:r>
    </w:p>
    <w:p>
      <w:pPr>
        <w:numPr>
          <w:ilvl w:val="0"/>
          <w:numId w:val="1030"/>
        </w:numPr>
      </w:pPr>
      <w:r>
        <w:rPr>
          <w:bCs/>
          <w:b/>
        </w:rPr>
        <w:t xml:space="preserve">In this thesis.</w:t>
      </w:r>
      <w:r>
        <w:t xml:space="preserve"> </w:t>
      </w:r>
      <w:r>
        <w:t xml:space="preserve">§6.25 makes Appendix B normative — where the appendix and the implementation disagree, the appendix wins — but B had no operator precedence table, so the rule had nothing to adjudicate with and finding 2 was arguable rather than decidable. B.10.1 now states precedence and associativity normatively, and</w:t>
      </w:r>
      <w:r>
        <w:t xml:space="preserve"> </w:t>
      </w:r>
      <w:r>
        <w:rPr>
          <w:rStyle w:val="VerbatimChar"/>
        </w:rPr>
        <w:t xml:space="preserve">crates/niles-lang/tests/precedence.rs</w:t>
      </w:r>
      <w:r>
        <w:t xml:space="preserve"> </w:t>
      </w:r>
      <w:r>
        <w:t xml:space="preserve">reads the table out of the markdown and checks every level against the compiler’s own</w:t>
      </w:r>
      <w:r>
        <w:t xml:space="preserve"> </w:t>
      </w:r>
      <w:r>
        <w:rPr>
          <w:rStyle w:val="VerbatimChar"/>
        </w:rPr>
        <w:t xml:space="preserve">BinOp::precedence</w:t>
      </w:r>
      <w:r>
        <w:t xml:space="preserve">, so the two cannot drift and the lineage rule is enforced rather than declared.</w:t>
      </w:r>
    </w:p>
    <w:p>
      <w:pPr>
        <w:pStyle w:val="FirstParagraph"/>
      </w:pPr>
      <w:r>
        <w:t xml:space="preserve">Finding 2 is the one to carry forward as a claim. The argument for stage-1 equivalence has until now been made in the future tense — that a second implementation</w:t>
      </w:r>
      <w:r>
        <w:t xml:space="preserve"> </w:t>
      </w:r>
      <w:r>
        <w:rPr>
          <w:iCs/>
          <w:i/>
        </w:rPr>
        <w:t xml:space="preserve">would</w:t>
      </w:r>
      <w:r>
        <w:t xml:space="preserve"> </w:t>
      </w:r>
      <w:r>
        <w:t xml:space="preserve">catch disagreements a single implementation cannot see. It has now caught one, in the reference implementation, in a construct every program uses.</w:t>
      </w:r>
    </w:p>
    <w:p>
      <w:pPr>
        <w:pStyle w:val="BodyText"/>
      </w:pPr>
      <w:r>
        <w:rPr>
          <w:bCs/>
          <w:b/>
        </w:rPr>
        <w:t xml:space="preserve">One gap, declared rather than closed.</w:t>
      </w:r>
      <w:r>
        <w:t xml:space="preserve"> </w:t>
      </w:r>
      <w:r>
        <w:rPr>
          <w:rStyle w:val="VerbatimChar"/>
        </w:rPr>
        <w:t xml:space="preserve">bootstrap/parser.niles</w:t>
      </w:r>
      <w:r>
        <w:t xml:space="preserve"> </w:t>
      </w:r>
      <w:r>
        <w:t xml:space="preserve">has no</w:t>
      </w:r>
      <w:r>
        <w:t xml:space="preserve"> </w:t>
      </w:r>
      <w:r>
        <w:rPr>
          <w:iCs/>
          <w:i/>
        </w:rPr>
        <w:t xml:space="preserve">diagnostic</w:t>
      </w:r>
      <w:r>
        <w:t xml:space="preserve"> </w:t>
      </w:r>
      <w:r>
        <w:t xml:space="preserve">channel. Where the reference parser builds an error node, the Niles parser builds the same error node and the trees agree; where the reference parser reports a message and builds an ordinary node — a reserved word used as an identifier is the case that arises — the Niles parser is silent. A test pins both halves, so the gap stays known rather than becoming a surprise. Diagnostics in Niles are part of the same work as the type-checker, and neither is written.</w:t>
      </w:r>
    </w:p>
    <w:p>
      <w:pPr>
        <w:pStyle w:val="BodyText"/>
      </w:pPr>
      <w:r>
        <w:rPr>
          <w:bCs/>
          <w:b/>
        </w:rPr>
        <w:t xml:space="preserve">What the gates do not establish, stated plainly.</w:t>
      </w:r>
      <w:r>
        <w:t xml:space="preserve"> </w:t>
      </w:r>
      <w:r>
        <w:t xml:space="preserve">They do not establish that Niles can express a compiler. They establish that it can express a lexer and a parser, that both agree with an independent implementation — the parser node for node, over a corpus and over 1,200 lines of real source including its own — and that both are deterministic. The distance from here to E.1’s stage 2 —</w:t>
      </w:r>
      <w:r>
        <w:t xml:space="preserve"> </w:t>
      </w:r>
      <w:r>
        <w:t xml:space="preserve">“</w:t>
      </w:r>
      <w:r>
        <w:t xml:space="preserve">stage 1 recompiling the same sources</w:t>
      </w:r>
      <w:r>
        <w:t xml:space="preserve">”</w:t>
      </w:r>
      <w:r>
        <w:t xml:space="preserve"> </w:t>
      </w:r>
      <w:r>
        <w:t xml:space="preserve">— is a type-checker and a lowering pass, neither of which is written. The bootstrap has gone from</w:t>
      </w:r>
      <w:r>
        <w:t xml:space="preserve"> </w:t>
      </w:r>
      <w:r>
        <w:rPr>
          <w:iCs/>
          <w:i/>
        </w:rPr>
        <w:t xml:space="preserve">no input</w:t>
      </w:r>
      <w:r>
        <w:t xml:space="preserve"> </w:t>
      </w:r>
      <w:r>
        <w:t xml:space="preserve">to</w:t>
      </w:r>
      <w:r>
        <w:t xml:space="preserve"> </w:t>
      </w:r>
      <w:r>
        <w:rPr>
          <w:iCs/>
          <w:i/>
        </w:rPr>
        <w:t xml:space="preserve">two front-end stages, verified against the reference implementation</w:t>
      </w:r>
      <w:r>
        <w:t xml:space="preserve">. That is two rungs, and calling it a ladder would be exactly the overclaim this appendix’s E.0 exists to prevent.</w:t>
      </w:r>
    </w:p>
    <w:bookmarkEnd w:id="307"/>
    <w:bookmarkEnd w:id="308"/>
    <w:bookmarkStart w:id="309" w:name="Xe07e3f1332e66f39d78b6f8b080e06b2b167483"/>
    <w:p>
      <w:pPr>
        <w:pStyle w:val="Heading2"/>
      </w:pPr>
      <w:r>
        <w:t xml:space="preserve">E.20 Thesis Consistency: What Is in Niles and Why the Boundary Holds</w:t>
      </w:r>
    </w:p>
    <w:p>
      <w:pPr>
        <w:pStyle w:val="FirstParagraph"/>
      </w:pPr>
      <w:r>
        <w:t xml:space="preserve">After bootstrap, written in Niles: the front end, the checker, the planner, the middle end, the higher optimizer (as wasm), the back-ends, and the linker — that is, the compiler. Still in the host language: the engine (ledger, core runtime, server) and the host shim.</w:t>
      </w:r>
    </w:p>
    <w:p>
      <w:pPr>
        <w:pStyle w:val="BodyText"/>
      </w:pPr>
      <w:r>
        <w:t xml:space="preserve">The boundary is principled rather than accidental. The engine is the</w:t>
      </w:r>
      <w:r>
        <w:t xml:space="preserve"> </w:t>
      </w:r>
      <w:r>
        <w:rPr>
          <w:iCs/>
          <w:i/>
        </w:rPr>
        <w:t xml:space="preserve">object</w:t>
      </w:r>
      <w:r>
        <w:t xml:space="preserve"> </w:t>
      </w:r>
      <w:r>
        <w:t xml:space="preserve">the theory speaks about, and it must stay inside the audited memory-model claims of Sections 3.17 and 5.8, where an ownership-typed host language with a machine-checked soundness result is the instrument of that audit. The compiler is a</w:t>
      </w:r>
      <w:r>
        <w:t xml:space="preserve"> </w:t>
      </w:r>
      <w:r>
        <w:rPr>
          <w:iCs/>
          <w:i/>
        </w:rPr>
        <w:t xml:space="preserve">user</w:t>
      </w:r>
      <w:r>
        <w:t xml:space="preserve"> </w:t>
      </w:r>
      <w:r>
        <w:t xml:space="preserve">of the language, and is precisely where self-hosting has scientific value as expressiveness evidence. Migrating engine components into Niles is future work gated on the language growing a systems-programming tier — a gate Section 6.12 keeps deliberately closed, because opening it would enlarge the trusted base the soundness theorem depends on.</w:t>
      </w:r>
    </w:p>
    <w:bookmarkEnd w:id="309"/>
    <w:bookmarkEnd w:id="310"/>
    <w:bookmarkStart w:id="316" w:name="X71e93f5aed4f0db1910a7caac467da2f49bebd9"/>
    <w:p>
      <w:pPr>
        <w:pStyle w:val="Heading1"/>
      </w:pPr>
      <w:r>
        <w:t xml:space="preserve">Appendix F. A Runnable Conservation-of-Money Reference Model</w:t>
      </w:r>
    </w:p>
    <w:p>
      <w:pPr>
        <w:pStyle w:val="FirstParagraph"/>
      </w:pPr>
      <w:r>
        <w:t xml:space="preserve">This appendix specifies the reference oracle 𝒪 (Section 3.11) as executable code.</w:t>
      </w:r>
      <w:r>
        <w:t xml:space="preserve"> </w:t>
      </w:r>
      <w:r>
        <w:rPr>
          <w:bCs/>
          <w:b/>
        </w:rPr>
        <w:t xml:space="preserve">This is the one component of the system that is implemented and passing tests today.</w:t>
      </w:r>
      <w:r>
        <w:t xml:space="preserve"> </w:t>
      </w:r>
      <w:r>
        <w:t xml:space="preserve">The full program ships in the artifact; reproduced here is its semantic core, which is short enough to audit by reading — and that shortness</w:t>
      </w:r>
      <w:r>
        <w:t xml:space="preserve"> </w:t>
      </w:r>
      <w:r>
        <w:rPr>
          <w:iCs/>
          <w:i/>
        </w:rPr>
        <w:t xml:space="preserve">is</w:t>
      </w:r>
      <w:r>
        <w:t xml:space="preserve"> </w:t>
      </w:r>
      <w:r>
        <w:t xml:space="preserve">the point. Correctness of the large system is defined as agreement with a small program anyone can check.</w:t>
      </w:r>
    </w:p>
    <w:bookmarkStart w:id="311" w:name="f.1-design-rules"/>
    <w:p>
      <w:pPr>
        <w:pStyle w:val="Heading2"/>
      </w:pPr>
      <w:r>
        <w:t xml:space="preserve">F.1 Design Rules</w:t>
      </w:r>
    </w:p>
    <w:p>
      <w:pPr>
        <w:numPr>
          <w:ilvl w:val="0"/>
          <w:numId w:val="1031"/>
        </w:numPr>
        <w:pStyle w:val="Compact"/>
      </w:pPr>
      <w:r>
        <w:rPr>
          <w:bCs/>
          <w:b/>
        </w:rPr>
        <w:t xml:space="preserve">No optimization of any kind.</w:t>
      </w:r>
      <w:r>
        <w:t xml:space="preserve"> </w:t>
      </w:r>
      <w:r>
        <w:t xml:space="preserve">The base is a vector of epochs; every read folds a prefix. Any cleverness here would make the oracle a second system that could itself be wrong.</w:t>
      </w:r>
    </w:p>
    <w:p>
      <w:pPr>
        <w:numPr>
          <w:ilvl w:val="0"/>
          <w:numId w:val="1031"/>
        </w:numPr>
        <w:pStyle w:val="Compact"/>
      </w:pPr>
      <w:r>
        <w:rPr>
          <w:bCs/>
          <w:b/>
        </w:rPr>
        <w:t xml:space="preserve">No shared mutable state.</w:t>
      </w:r>
      <w:r>
        <w:t xml:space="preserve"> </w:t>
      </w:r>
      <w:r>
        <w:t xml:space="preserve">Single-threaded, message in, answer out.</w:t>
      </w:r>
    </w:p>
    <w:p>
      <w:pPr>
        <w:numPr>
          <w:ilvl w:val="0"/>
          <w:numId w:val="1031"/>
        </w:numPr>
        <w:pStyle w:val="Compact"/>
      </w:pPr>
      <w:r>
        <w:rPr>
          <w:bCs/>
          <w:b/>
        </w:rPr>
        <w:t xml:space="preserve">Exact integer money at the currency’s own scale.</w:t>
      </w:r>
      <w:r>
        <w:t xml:space="preserve"> </w:t>
      </w:r>
      <w:r>
        <w:t xml:space="preserve">Never floating point; never a hard-coded scale of two, since real currency scales range from zero to three.</w:t>
      </w:r>
    </w:p>
    <w:p>
      <w:pPr>
        <w:numPr>
          <w:ilvl w:val="0"/>
          <w:numId w:val="1031"/>
        </w:numPr>
        <w:pStyle w:val="Compact"/>
      </w:pPr>
      <w:r>
        <w:rPr>
          <w:bCs/>
          <w:b/>
        </w:rPr>
        <w:t xml:space="preserve">It implements the LTS of Section 3.11, transition by transition, and nothing else.</w:t>
      </w:r>
    </w:p>
    <w:bookmarkEnd w:id="311"/>
    <w:bookmarkStart w:id="312" w:name="f.2-semantic-core"/>
    <w:p>
      <w:pPr>
        <w:pStyle w:val="Heading2"/>
      </w:pPr>
      <w:r>
        <w:t xml:space="preserve">F.2 Semantic Core</w:t>
      </w:r>
    </w:p>
    <w:p>
      <w:pPr>
        <w:pStyle w:val="SourceCode"/>
      </w:pPr>
      <w:r>
        <w:rPr>
          <w:rStyle w:val="CommentTok"/>
        </w:rPr>
        <w:t xml:space="preserve">// ---- Values ---------------------------------------------------------</w:t>
      </w:r>
      <w:r>
        <w:br/>
      </w:r>
      <w:r>
        <w:rPr>
          <w:rStyle w:val="KeywordTok"/>
        </w:rPr>
        <w:t xml:space="preserve">type</w:t>
      </w:r>
      <w:r>
        <w:rPr>
          <w:rStyle w:val="NormalTok"/>
        </w:rPr>
        <w:t xml:space="preserve"> Minor </w:t>
      </w:r>
      <w:r>
        <w:rPr>
          <w:rStyle w:val="OperatorTok"/>
        </w:rPr>
        <w:t xml:space="preserve">=</w:t>
      </w:r>
      <w:r>
        <w:rPr>
          <w:rStyle w:val="NormalTok"/>
        </w:rPr>
        <w:t xml:space="preserve"> </w:t>
      </w:r>
      <w:r>
        <w:rPr>
          <w:rStyle w:val="DataTypeTok"/>
        </w:rPr>
        <w:t xml:space="preserve">i128</w:t>
      </w:r>
      <w:r>
        <w:rPr>
          <w:rStyle w:val="OperatorTok"/>
        </w:rPr>
        <w:t xml:space="preserve">;</w:t>
      </w:r>
      <w:r>
        <w:rPr>
          <w:rStyle w:val="NormalTok"/>
        </w:rPr>
        <w:t xml:space="preserve">                       </w:t>
      </w:r>
      <w:r>
        <w:rPr>
          <w:rStyle w:val="CommentTok"/>
        </w:rPr>
        <w:t xml:space="preserve">// exact minor units at the currency's scale</w:t>
      </w:r>
      <w:r>
        <w:br/>
      </w:r>
      <w:r>
        <w:br/>
      </w:r>
      <w:r>
        <w:rPr>
          <w:rStyle w:val="KeywordTok"/>
        </w:rPr>
        <w:t xml:space="preserve">struct</w:t>
      </w:r>
      <w:r>
        <w:rPr>
          <w:rStyle w:val="NormalTok"/>
        </w:rPr>
        <w:t xml:space="preserve"> Cur(</w:t>
      </w:r>
      <w:r>
        <w:rPr>
          <w:rStyle w:val="DataTypeTok"/>
        </w:rPr>
        <w:t xml:space="preserve">u32</w:t>
      </w:r>
      <w:r>
        <w:rPr>
          <w:rStyle w:val="NormalTok"/>
        </w:rPr>
        <w:t xml:space="preserve">)</w:t>
      </w:r>
      <w:r>
        <w:rPr>
          <w:rStyle w:val="OperatorTok"/>
        </w:rPr>
        <w:t xml:space="preserve">;</w:t>
      </w:r>
      <w:r>
        <w:rPr>
          <w:rStyle w:val="NormalTok"/>
        </w:rPr>
        <w:t xml:space="preserve">                         </w:t>
      </w:r>
      <w:r>
        <w:rPr>
          <w:rStyle w:val="CommentTok"/>
        </w:rPr>
        <w:t xml:space="preserve">// currency index; scale declared per currency</w:t>
      </w:r>
      <w:r>
        <w:br/>
      </w:r>
      <w:r>
        <w:rPr>
          <w:rStyle w:val="KeywordTok"/>
        </w:rPr>
        <w:t xml:space="preserve">struct</w:t>
      </w:r>
      <w:r>
        <w:rPr>
          <w:rStyle w:val="NormalTok"/>
        </w:rPr>
        <w:t xml:space="preserve"> Acct(</w:t>
      </w:r>
      <w:r>
        <w:rPr>
          <w:rStyle w:val="DataTypeTok"/>
        </w:rPr>
        <w:t xml:space="preserve">u64</w:t>
      </w:r>
      <w:r>
        <w:rPr>
          <w:rStyle w:val="NormalTok"/>
        </w:rPr>
        <w:t xml:space="preserve">)</w:t>
      </w:r>
      <w:r>
        <w:rPr>
          <w:rStyle w:val="OperatorTok"/>
        </w:rPr>
        <w:t xml:space="preserve">;</w:t>
      </w:r>
      <w:r>
        <w:br/>
      </w:r>
      <w:r>
        <w:br/>
      </w:r>
      <w:r>
        <w:rPr>
          <w:rStyle w:val="KeywordTok"/>
        </w:rPr>
        <w:t xml:space="preserve">struct</w:t>
      </w:r>
      <w:r>
        <w:rPr>
          <w:rStyle w:val="NormalTok"/>
        </w:rPr>
        <w:t xml:space="preserve"> Posting </w:t>
      </w:r>
      <w:r>
        <w:rPr>
          <w:rStyle w:val="OperatorTok"/>
        </w:rPr>
        <w:t xml:space="preserve">{</w:t>
      </w:r>
      <w:r>
        <w:rPr>
          <w:rStyle w:val="NormalTok"/>
        </w:rPr>
        <w:t xml:space="preserve"> txn</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acct</w:t>
      </w:r>
      <w:r>
        <w:rPr>
          <w:rStyle w:val="OperatorTok"/>
        </w:rPr>
        <w:t xml:space="preserve">:</w:t>
      </w:r>
      <w:r>
        <w:rPr>
          <w:rStyle w:val="NormalTok"/>
        </w:rPr>
        <w:t xml:space="preserve"> Acct</w:t>
      </w:r>
      <w:r>
        <w:rPr>
          <w:rStyle w:val="OperatorTok"/>
        </w:rPr>
        <w:t xml:space="preserve">,</w:t>
      </w:r>
      <w:r>
        <w:rPr>
          <w:rStyle w:val="NormalTok"/>
        </w:rPr>
        <w:t xml:space="preserve"> cur</w:t>
      </w:r>
      <w:r>
        <w:rPr>
          <w:rStyle w:val="OperatorTok"/>
        </w:rPr>
        <w:t xml:space="preserve">:</w:t>
      </w:r>
      <w:r>
        <w:rPr>
          <w:rStyle w:val="NormalTok"/>
        </w:rPr>
        <w:t xml:space="preserve"> Cur</w:t>
      </w:r>
      <w:r>
        <w:rPr>
          <w:rStyle w:val="OperatorTok"/>
        </w:rPr>
        <w:t xml:space="preserve">,</w:t>
      </w:r>
      <w:r>
        <w:rPr>
          <w:rStyle w:val="NormalTok"/>
        </w:rPr>
        <w:t xml:space="preserve"> amt</w:t>
      </w:r>
      <w:r>
        <w:rPr>
          <w:rStyle w:val="OperatorTok"/>
        </w:rPr>
        <w:t xml:space="preserve">:</w:t>
      </w:r>
      <w:r>
        <w:rPr>
          <w:rStyle w:val="NormalTok"/>
        </w:rPr>
        <w:t xml:space="preserve"> Minor</w:t>
      </w:r>
      <w:r>
        <w:rPr>
          <w:rStyle w:val="OperatorTok"/>
        </w:rPr>
        <w:t xml:space="preserve">,</w:t>
      </w:r>
      <w:r>
        <w:rPr>
          <w:rStyle w:val="NormalTok"/>
        </w:rPr>
        <w:t xml:space="preserve"> valid</w:t>
      </w:r>
      <w:r>
        <w:rPr>
          <w:rStyle w:val="OperatorTok"/>
        </w:rPr>
        <w:t xml:space="preserve">:</w:t>
      </w:r>
      <w:r>
        <w:rPr>
          <w:rStyle w:val="NormalTok"/>
        </w:rPr>
        <w:t xml:space="preserve"> </w:t>
      </w:r>
      <w:r>
        <w:rPr>
          <w:rStyle w:val="DataTypeTok"/>
        </w:rPr>
        <w:t xml:space="preserve">i64</w:t>
      </w:r>
      <w:r>
        <w:rPr>
          <w:rStyle w:val="NormalTok"/>
        </w:rPr>
        <w:t xml:space="preserve"> </w:t>
      </w:r>
      <w:r>
        <w:rPr>
          <w:rStyle w:val="OperatorTok"/>
        </w:rPr>
        <w:t xml:space="preserve">}</w:t>
      </w:r>
      <w:r>
        <w:br/>
      </w:r>
      <w:r>
        <w:br/>
      </w:r>
      <w:r>
        <w:rPr>
          <w:rStyle w:val="KeywordTok"/>
        </w:rPr>
        <w:t xml:space="preserve">enum</w:t>
      </w:r>
      <w:r>
        <w:rPr>
          <w:rStyle w:val="NormalTok"/>
        </w:rPr>
        <w:t xml:space="preserve"> Row </w:t>
      </w:r>
      <w:r>
        <w:rPr>
          <w:rStyle w:val="OperatorTok"/>
        </w:rPr>
        <w:t xml:space="preserve">{</w:t>
      </w:r>
      <w:r>
        <w:br/>
      </w:r>
      <w:r>
        <w:rPr>
          <w:rStyle w:val="NormalTok"/>
        </w:rPr>
        <w:t xml:space="preserve">    Post(Posting)</w:t>
      </w:r>
      <w:r>
        <w:rPr>
          <w:rStyle w:val="OperatorTok"/>
        </w:rPr>
        <w:t xml:space="preserve">,</w:t>
      </w:r>
      <w:r>
        <w:br/>
      </w:r>
      <w:r>
        <w:rPr>
          <w:rStyle w:val="NormalTok"/>
        </w:rPr>
        <w:t xml:space="preserve">    Hold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acct</w:t>
      </w:r>
      <w:r>
        <w:rPr>
          <w:rStyle w:val="OperatorTok"/>
        </w:rPr>
        <w:t xml:space="preserve">:</w:t>
      </w:r>
      <w:r>
        <w:rPr>
          <w:rStyle w:val="NormalTok"/>
        </w:rPr>
        <w:t xml:space="preserve"> Acct</w:t>
      </w:r>
      <w:r>
        <w:rPr>
          <w:rStyle w:val="OperatorTok"/>
        </w:rPr>
        <w:t xml:space="preserve">,</w:t>
      </w:r>
      <w:r>
        <w:rPr>
          <w:rStyle w:val="NormalTok"/>
        </w:rPr>
        <w:t xml:space="preserve"> cur</w:t>
      </w:r>
      <w:r>
        <w:rPr>
          <w:rStyle w:val="OperatorTok"/>
        </w:rPr>
        <w:t xml:space="preserve">:</w:t>
      </w:r>
      <w:r>
        <w:rPr>
          <w:rStyle w:val="NormalTok"/>
        </w:rPr>
        <w:t xml:space="preserve"> Cur</w:t>
      </w:r>
      <w:r>
        <w:rPr>
          <w:rStyle w:val="OperatorTok"/>
        </w:rPr>
        <w:t xml:space="preserve">,</w:t>
      </w:r>
      <w:r>
        <w:rPr>
          <w:rStyle w:val="NormalTok"/>
        </w:rPr>
        <w:t xml:space="preserve"> amount</w:t>
      </w:r>
      <w:r>
        <w:rPr>
          <w:rStyle w:val="OperatorTok"/>
        </w:rPr>
        <w:t xml:space="preserve">:</w:t>
      </w:r>
      <w:r>
        <w:rPr>
          <w:rStyle w:val="NormalTok"/>
        </w:rPr>
        <w:t xml:space="preserve"> Minor</w:t>
      </w:r>
      <w:r>
        <w:rPr>
          <w:rStyle w:val="OperatorTok"/>
        </w:rPr>
        <w:t xml:space="preserve">,</w:t>
      </w:r>
      <w:r>
        <w:rPr>
          <w:rStyle w:val="NormalTok"/>
        </w:rPr>
        <w:t xml:space="preserve"> valid</w:t>
      </w:r>
      <w:r>
        <w:rPr>
          <w:rStyle w:val="OperatorTok"/>
        </w:rPr>
        <w:t xml:space="preserve">:</w:t>
      </w:r>
      <w:r>
        <w:rPr>
          <w:rStyle w:val="NormalTok"/>
        </w:rPr>
        <w:t xml:space="preserve"> </w:t>
      </w:r>
      <w:r>
        <w:rPr>
          <w:rStyle w:val="DataTypeTok"/>
        </w:rPr>
        <w:t xml:space="preserve">i64</w:t>
      </w:r>
      <w:r>
        <w:rPr>
          <w:rStyle w:val="NormalTok"/>
        </w:rPr>
        <w:t xml:space="preserve"> </w:t>
      </w:r>
      <w:r>
        <w:rPr>
          <w:rStyle w:val="OperatorTok"/>
        </w:rPr>
        <w:t xml:space="preserve">},</w:t>
      </w:r>
      <w:r>
        <w:br/>
      </w:r>
      <w:r>
        <w:rPr>
          <w:rStyle w:val="NormalTok"/>
        </w:rPr>
        <w:t xml:space="preserve">    Resolve </w:t>
      </w:r>
      <w:r>
        <w:rPr>
          <w:rStyle w:val="OperatorTok"/>
        </w:rPr>
        <w:t xml:space="preserve">{</w:t>
      </w:r>
      <w:r>
        <w:rPr>
          <w:rStyle w:val="NormalTok"/>
        </w:rPr>
        <w:t xml:space="preserve"> hold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outcome</w:t>
      </w:r>
      <w:r>
        <w:rPr>
          <w:rStyle w:val="OperatorTok"/>
        </w:rPr>
        <w:t xml:space="preserve">:</w:t>
      </w:r>
      <w:r>
        <w:rPr>
          <w:rStyle w:val="NormalTok"/>
        </w:rPr>
        <w:t xml:space="preserve"> Outcome</w:t>
      </w:r>
      <w:r>
        <w:rPr>
          <w:rStyle w:val="OperatorTok"/>
        </w:rPr>
        <w:t xml:space="preserve">,</w:t>
      </w:r>
      <w:r>
        <w:rPr>
          <w:rStyle w:val="NormalTok"/>
        </w:rPr>
        <w:t xml:space="preserve"> valid</w:t>
      </w:r>
      <w:r>
        <w:rPr>
          <w:rStyle w:val="OperatorTok"/>
        </w:rPr>
        <w:t xml:space="preserve">:</w:t>
      </w:r>
      <w:r>
        <w:rPr>
          <w:rStyle w:val="NormalTok"/>
        </w:rPr>
        <w:t xml:space="preserve"> </w:t>
      </w:r>
      <w:r>
        <w:rPr>
          <w:rStyle w:val="DataTypeTok"/>
        </w:rPr>
        <w:t xml:space="preserve">i64</w:t>
      </w:r>
      <w:r>
        <w:rPr>
          <w:rStyle w:val="NormalTok"/>
        </w:rPr>
        <w:t xml:space="preserve"> </w:t>
      </w:r>
      <w:r>
        <w:rPr>
          <w:rStyle w:val="OperatorTok"/>
        </w:rPr>
        <w:t xml:space="preserve">},</w:t>
      </w:r>
      <w:r>
        <w:rPr>
          <w:rStyle w:val="NormalTok"/>
        </w:rPr>
        <w:t xml:space="preserve">   </w:t>
      </w:r>
      <w:r>
        <w:rPr>
          <w:rStyle w:val="CommentTok"/>
        </w:rPr>
        <w:t xml:space="preserve">// Post(amt) | Void | Expire</w:t>
      </w:r>
      <w:r>
        <w:br/>
      </w:r>
      <w:r>
        <w:rPr>
          <w:rStyle w:val="OperatorTok"/>
        </w:rPr>
        <w:t xml:space="preserve">}</w:t>
      </w:r>
      <w:r>
        <w:br/>
      </w:r>
      <w:r>
        <w:br/>
      </w:r>
      <w:r>
        <w:rPr>
          <w:rStyle w:val="KeywordTok"/>
        </w:rPr>
        <w:t xml:space="preserve">struct</w:t>
      </w:r>
      <w:r>
        <w:rPr>
          <w:rStyle w:val="NormalTok"/>
        </w:rPr>
        <w:t xml:space="preserve"> EpochRec </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parent</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hash</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rPr>
          <w:rStyle w:val="NormalTok"/>
        </w:rPr>
        <w:t xml:space="preserve"> rows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Row</w:t>
      </w:r>
      <w:r>
        <w:rPr>
          <w:rStyle w:val="OperatorTok"/>
        </w:rPr>
        <w:t xml:space="preserve">&gt;</w:t>
      </w:r>
      <w:r>
        <w:rPr>
          <w:rStyle w:val="NormalTok"/>
        </w:rPr>
        <w:t xml:space="preserve"> </w:t>
      </w:r>
      <w:r>
        <w:rPr>
          <w:rStyle w:val="OperatorTok"/>
        </w:rPr>
        <w:t xml:space="preserve">}</w:t>
      </w:r>
      <w:r>
        <w:br/>
      </w:r>
      <w:r>
        <w:br/>
      </w:r>
      <w:r>
        <w:rPr>
          <w:rStyle w:val="CommentTok"/>
        </w:rPr>
        <w:t xml:space="preserve">// ---- The base -------------------------------------------------------</w:t>
      </w:r>
      <w:r>
        <w:br/>
      </w:r>
      <w:r>
        <w:rPr>
          <w:rStyle w:val="KeywordTok"/>
        </w:rPr>
        <w:t xml:space="preserve">struct</w:t>
      </w:r>
      <w:r>
        <w:rPr>
          <w:rStyle w:val="NormalTok"/>
        </w:rPr>
        <w:t xml:space="preserve"> Oracle </w:t>
      </w:r>
      <w:r>
        <w:rPr>
          <w:rStyle w:val="OperatorTok"/>
        </w:rPr>
        <w:t xml:space="preserve">{</w:t>
      </w:r>
      <w:r>
        <w:rPr>
          <w:rStyle w:val="NormalTok"/>
        </w:rPr>
        <w:t xml:space="preserve"> epochs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EpochRec</w:t>
      </w:r>
      <w:r>
        <w:rPr>
          <w:rStyle w:val="OperatorTok"/>
        </w:rPr>
        <w:t xml:space="preserve">&gt;,</w:t>
      </w:r>
      <w:r>
        <w:rPr>
          <w:rStyle w:val="NormalTok"/>
        </w:rPr>
        <w:t xml:space="preserve"> idem</w:t>
      </w:r>
      <w:r>
        <w:rPr>
          <w:rStyle w:val="OperatorTok"/>
        </w:rPr>
        <w:t xml:space="preserve">:</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br/>
      </w:r>
      <w:r>
        <w:rPr>
          <w:rStyle w:val="KeywordTok"/>
        </w:rPr>
        <w:t xml:space="preserve">impl</w:t>
      </w:r>
      <w:r>
        <w:rPr>
          <w:rStyle w:val="NormalTok"/>
        </w:rPr>
        <w:t xml:space="preserve"> Oracle </w:t>
      </w:r>
      <w:r>
        <w:rPr>
          <w:rStyle w:val="OperatorTok"/>
        </w:rPr>
        <w:t xml:space="preserve">{</w:t>
      </w:r>
      <w:r>
        <w:br/>
      </w:r>
      <w:r>
        <w:rPr>
          <w:rStyle w:val="NormalTok"/>
        </w:rPr>
        <w:t xml:space="preserve">    </w:t>
      </w:r>
      <w:r>
        <w:rPr>
          <w:rStyle w:val="CommentTok"/>
        </w:rPr>
        <w:t xml:space="preserve">// Admission: idempotency, then the commit rule (per (txn, currency) balance),</w:t>
      </w:r>
      <w:r>
        <w:br/>
      </w:r>
      <w:r>
        <w:rPr>
          <w:rStyle w:val="NormalTok"/>
        </w:rPr>
        <w:t xml:space="preserve">    </w:t>
      </w:r>
      <w:r>
        <w:rPr>
          <w:rStyle w:val="CommentTok"/>
        </w:rPr>
        <w:t xml:space="preserve">// then seal immediately. The oracle's epoch is one batch; tau is irrelevant here.</w:t>
      </w:r>
      <w:r>
        <w:br/>
      </w:r>
      <w:r>
        <w:rPr>
          <w:rStyle w:val="NormalTok"/>
        </w:rPr>
        <w:t xml:space="preserve">    </w:t>
      </w:r>
      <w:r>
        <w:rPr>
          <w:rStyle w:val="KeywordTok"/>
        </w:rPr>
        <w:t xml:space="preserve">fn</w:t>
      </w:r>
      <w:r>
        <w:rPr>
          <w:rStyle w:val="NormalTok"/>
        </w:rPr>
        <w:t xml:space="preserve"> submit(</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rows</w:t>
      </w:r>
      <w:r>
        <w:rPr>
          <w:rStyle w:val="OperatorTok"/>
        </w:rPr>
        <w:t xml:space="preserve">:</w:t>
      </w:r>
      <w:r>
        <w:rPr>
          <w:rStyle w:val="NormalTok"/>
        </w:rPr>
        <w:t xml:space="preserve"> </w:t>
      </w:r>
      <w:r>
        <w:rPr>
          <w:rStyle w:val="DataTypeTok"/>
        </w:rPr>
        <w:t xml:space="preserve">Vec</w:t>
      </w:r>
      <w:r>
        <w:rPr>
          <w:rStyle w:val="OperatorTok"/>
        </w:rPr>
        <w:t xml:space="preserve">&lt;</w:t>
      </w:r>
      <w:r>
        <w:rPr>
          <w:rStyle w:val="NormalTok"/>
        </w:rPr>
        <w:t xml:space="preserve">Row</w:t>
      </w:r>
      <w:r>
        <w:rPr>
          <w:rStyle w:val="OperatorTok"/>
        </w:rPr>
        <w:t xml:space="preserve">&gt;</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u64</w:t>
      </w:r>
      <w:r>
        <w:rPr>
          <w:rStyle w:val="OperatorTok"/>
        </w:rPr>
        <w:t xml:space="preserve">,</w:t>
      </w:r>
      <w:r>
        <w:rPr>
          <w:rStyle w:val="NormalTok"/>
        </w:rPr>
        <w:t xml:space="preserve"> Reject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self</w:t>
      </w:r>
      <w:r>
        <w:rPr>
          <w:rStyle w:val="OperatorTok"/>
        </w:rPr>
        <w:t xml:space="preserve">.</w:t>
      </w:r>
      <w:r>
        <w:rPr>
          <w:rStyle w:val="NormalTok"/>
        </w:rPr>
        <w:t xml:space="preserve">idem</w:t>
      </w:r>
      <w:r>
        <w:rPr>
          <w:rStyle w:val="OperatorTok"/>
        </w:rPr>
        <w:t xml:space="preserve">.</w:t>
      </w:r>
      <w:r>
        <w:rPr>
          <w:rStyle w:val="NormalTok"/>
        </w:rPr>
        <w:t xml:space="preserve">contains(key)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Reject::</w:t>
      </w:r>
      <w:r>
        <w:rPr>
          <w:rStyle w:val="NormalTok"/>
        </w:rPr>
        <w:t xml:space="preserve">Duplicate)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sums</w:t>
      </w:r>
      <w:r>
        <w:rPr>
          <w:rStyle w:val="OperatorTok"/>
        </w:rPr>
        <w:t xml:space="preserve">:</w:t>
      </w:r>
      <w:r>
        <w:rPr>
          <w:rStyle w:val="NormalTok"/>
        </w:rPr>
        <w:t xml:space="preserve"> HashMap</w:t>
      </w:r>
      <w:r>
        <w:rPr>
          <w:rStyle w:val="OperatorTok"/>
        </w:rPr>
        <w:t xml:space="preserve">&lt;</w:t>
      </w:r>
      <w:r>
        <w:rPr>
          <w:rStyle w:val="NormalTok"/>
        </w:rPr>
        <w:t xml:space="preserve">(</w:t>
      </w:r>
      <w:r>
        <w:rPr>
          <w:rStyle w:val="DataTypeTok"/>
        </w:rPr>
        <w:t xml:space="preserve">u64</w:t>
      </w:r>
      <w:r>
        <w:rPr>
          <w:rStyle w:val="OperatorTok"/>
        </w:rPr>
        <w:t xml:space="preserve">,</w:t>
      </w:r>
      <w:r>
        <w:rPr>
          <w:rStyle w:val="NormalTok"/>
        </w:rPr>
        <w:t xml:space="preserve"> Cur)</w:t>
      </w:r>
      <w:r>
        <w:rPr>
          <w:rStyle w:val="OperatorTok"/>
        </w:rPr>
        <w:t xml:space="preserve">,</w:t>
      </w:r>
      <w:r>
        <w:rPr>
          <w:rStyle w:val="NormalTok"/>
        </w:rPr>
        <w:t xml:space="preserve"> Minor</w:t>
      </w:r>
      <w:r>
        <w:rPr>
          <w:rStyle w:val="OperatorTok"/>
        </w:rPr>
        <w:t xml:space="preserve">&gt;</w:t>
      </w:r>
      <w:r>
        <w:rPr>
          <w:rStyle w:val="NormalTok"/>
        </w:rPr>
        <w:t xml:space="preserve"> </w:t>
      </w:r>
      <w:r>
        <w:rPr>
          <w:rStyle w:val="OperatorTok"/>
        </w:rPr>
        <w:t xml:space="preserve">=</w:t>
      </w:r>
      <w:r>
        <w:rPr>
          <w:rStyle w:val="NormalTok"/>
        </w:rPr>
        <w:t xml:space="preserve"> </w:t>
      </w:r>
      <w:r>
        <w:rPr>
          <w:rStyle w:val="PreprocessorTok"/>
        </w:rPr>
        <w:t xml:space="preserve">HashMap::</w:t>
      </w:r>
      <w:r>
        <w:rPr>
          <w:rStyle w:val="NormalTok"/>
        </w:rPr>
        <w:t xml:space="preserve">new()</w:t>
      </w:r>
      <w:r>
        <w:rPr>
          <w:rStyle w:val="Operator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OperatorTok"/>
        </w:rPr>
        <w:t xml:space="preserve">&amp;</w:t>
      </w:r>
      <w:r>
        <w:rPr>
          <w:rStyle w:val="NormalTok"/>
        </w:rPr>
        <w:t xml:space="preserve">rows </w:t>
      </w:r>
      <w:r>
        <w:rPr>
          <w:rStyle w:val="OperatorTok"/>
        </w:rPr>
        <w:t xml:space="preserve">{</w:t>
      </w:r>
      <w:r>
        <w:rPr>
          <w:rStyle w:val="NormalTok"/>
        </w:rPr>
        <w:t xml:space="preserve"> </w:t>
      </w:r>
      <w:r>
        <w:rPr>
          <w:rStyle w:val="ControlFlowTok"/>
        </w:rPr>
        <w:t xml:space="preserve">if</w:t>
      </w:r>
      <w:r>
        <w:rPr>
          <w:rStyle w:val="NormalTok"/>
        </w:rPr>
        <w:t xml:space="preserve"> </w:t>
      </w:r>
      <w:r>
        <w:rPr>
          <w:rStyle w:val="KeywordTok"/>
        </w:rPr>
        <w:t xml:space="preserve">let</w:t>
      </w:r>
      <w:r>
        <w:rPr>
          <w:rStyle w:val="NormalTok"/>
        </w:rPr>
        <w:t xml:space="preserve"> </w:t>
      </w:r>
      <w:r>
        <w:rPr>
          <w:rStyle w:val="PreprocessorTok"/>
        </w:rPr>
        <w:t xml:space="preserve">Row::</w:t>
      </w:r>
      <w:r>
        <w:rPr>
          <w:rStyle w:val="NormalTok"/>
        </w:rPr>
        <w:t xml:space="preserve">Post(p) </w:t>
      </w:r>
      <w:r>
        <w:rPr>
          <w:rStyle w:val="OperatorTok"/>
        </w:rPr>
        <w:t xml:space="preserve">=</w:t>
      </w:r>
      <w:r>
        <w:rPr>
          <w:rStyle w:val="NormalTok"/>
        </w:rPr>
        <w:t xml:space="preserve"> r </w:t>
      </w:r>
      <w:r>
        <w:rPr>
          <w:rStyle w:val="OperatorTok"/>
        </w:rPr>
        <w:t xml:space="preserve">{</w:t>
      </w:r>
      <w:r>
        <w:br/>
      </w:r>
      <w:r>
        <w:rPr>
          <w:rStyle w:val="NormalTok"/>
        </w:rPr>
        <w:t xml:space="preserve">            </w:t>
      </w:r>
      <w:r>
        <w:rPr>
          <w:rStyle w:val="OperatorTok"/>
        </w:rPr>
        <w:t xml:space="preserve">*</w:t>
      </w:r>
      <w:r>
        <w:rPr>
          <w:rStyle w:val="NormalTok"/>
        </w:rPr>
        <w:t xml:space="preserve">sums</w:t>
      </w:r>
      <w:r>
        <w:rPr>
          <w:rStyle w:val="OperatorTok"/>
        </w:rPr>
        <w:t xml:space="preserve">.</w:t>
      </w:r>
      <w:r>
        <w:rPr>
          <w:rStyle w:val="NormalTok"/>
        </w:rPr>
        <w:t xml:space="preserve">entry((p</w:t>
      </w:r>
      <w:r>
        <w:rPr>
          <w:rStyle w:val="OperatorTok"/>
        </w:rPr>
        <w:t xml:space="preserve">.</w:t>
      </w:r>
      <w:r>
        <w:rPr>
          <w:rStyle w:val="NormalTok"/>
        </w:rPr>
        <w:t xml:space="preserve">txn</w:t>
      </w:r>
      <w:r>
        <w:rPr>
          <w:rStyle w:val="OperatorTok"/>
        </w:rPr>
        <w:t xml:space="preserve">,</w:t>
      </w:r>
      <w:r>
        <w:rPr>
          <w:rStyle w:val="NormalTok"/>
        </w:rPr>
        <w:t xml:space="preserve"> p</w:t>
      </w:r>
      <w:r>
        <w:rPr>
          <w:rStyle w:val="OperatorTok"/>
        </w:rPr>
        <w:t xml:space="preserve">.</w:t>
      </w:r>
      <w:r>
        <w:rPr>
          <w:rStyle w:val="NormalTok"/>
        </w:rPr>
        <w:t xml:space="preserve">cur))</w:t>
      </w:r>
      <w:r>
        <w:rPr>
          <w:rStyle w:val="OperatorTok"/>
        </w:rPr>
        <w:t xml:space="preserve">.</w:t>
      </w:r>
      <w:r>
        <w:rPr>
          <w:rStyle w:val="NormalTok"/>
        </w:rPr>
        <w:t xml:space="preserve">or_insert(</w:t>
      </w:r>
      <w:r>
        <w:rPr>
          <w:rStyle w:val="DecValTok"/>
        </w:rPr>
        <w:t xml:space="preserve">0</w:t>
      </w:r>
      <w:r>
        <w:rPr>
          <w:rStyle w:val="NormalTok"/>
        </w:rPr>
        <w:t xml:space="preserve">) </w:t>
      </w:r>
      <w:r>
        <w:rPr>
          <w:rStyle w:val="OperatorTok"/>
        </w:rPr>
        <w:t xml:space="preserve">+=</w:t>
      </w:r>
      <w:r>
        <w:rPr>
          <w:rStyle w:val="NormalTok"/>
        </w:rPr>
        <w:t xml:space="preserve"> p</w:t>
      </w:r>
      <w:r>
        <w:rPr>
          <w:rStyle w:val="OperatorTok"/>
        </w:rPr>
        <w:t xml:space="preserve">.</w:t>
      </w:r>
      <w:r>
        <w:rPr>
          <w:rStyle w:val="NormalTok"/>
        </w:rPr>
        <w:t xml:space="preserve">amt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sums</w:t>
      </w:r>
      <w:r>
        <w:rPr>
          <w:rStyle w:val="OperatorTok"/>
        </w:rPr>
        <w:t xml:space="preserve">.</w:t>
      </w:r>
      <w:r>
        <w:rPr>
          <w:rStyle w:val="NormalTok"/>
        </w:rPr>
        <w:t xml:space="preserve">values()</w:t>
      </w:r>
      <w:r>
        <w:rPr>
          <w:rStyle w:val="OperatorTok"/>
        </w:rPr>
        <w:t xml:space="preserve">.</w:t>
      </w:r>
      <w:r>
        <w:rPr>
          <w:rStyle w:val="NormalTok"/>
        </w:rPr>
        <w:t xml:space="preserve">any(</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Reject::</w:t>
      </w:r>
      <w:r>
        <w:rPr>
          <w:rStyle w:val="NormalTok"/>
        </w:rPr>
        <w:t xml:space="preserve">Unbalanced)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chain, append, record key ...</w:t>
      </w:r>
      <w:r>
        <w:br/>
      </w:r>
      <w:r>
        <w:rPr>
          <w:rStyle w:val="NormalTok"/>
        </w:rPr>
        <w:t xml:space="preserve">    </w:t>
      </w:r>
      <w:r>
        <w:rPr>
          <w:rStyle w:val="OperatorTok"/>
        </w:rPr>
        <w:t xml:space="preserve">}</w:t>
      </w:r>
      <w:r>
        <w:br/>
      </w:r>
      <w:r>
        <w:br/>
      </w:r>
      <w:r>
        <w:rPr>
          <w:rStyle w:val="NormalTok"/>
        </w:rPr>
        <w:t xml:space="preserve">    </w:t>
      </w:r>
      <w:r>
        <w:rPr>
          <w:rStyle w:val="CommentTok"/>
        </w:rPr>
        <w:t xml:space="preserve">// Every read is a fold of a prefix. No caches, no indexes, no cleverness.</w:t>
      </w:r>
      <w:r>
        <w:br/>
      </w:r>
      <w:r>
        <w:rPr>
          <w:rStyle w:val="NormalTok"/>
        </w:rPr>
        <w:t xml:space="preserve">    </w:t>
      </w:r>
      <w:r>
        <w:rPr>
          <w:rStyle w:val="KeywordTok"/>
        </w:rPr>
        <w:t xml:space="preserve">fn</w:t>
      </w:r>
      <w:r>
        <w:rPr>
          <w:rStyle w:val="NormalTok"/>
        </w:rPr>
        <w:t xml:space="preserve"> ledger_balance(</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Acct</w:t>
      </w:r>
      <w:r>
        <w:rPr>
          <w:rStyle w:val="OperatorTok"/>
        </w:rPr>
        <w:t xml:space="preserve">,</w:t>
      </w:r>
      <w:r>
        <w:rPr>
          <w:rStyle w:val="NormalTok"/>
        </w:rPr>
        <w:t xml:space="preserve"> c</w:t>
      </w:r>
      <w:r>
        <w:rPr>
          <w:rStyle w:val="OperatorTok"/>
        </w:rPr>
        <w:t xml:space="preserve">:</w:t>
      </w:r>
      <w:r>
        <w:rPr>
          <w:rStyle w:val="NormalTok"/>
        </w:rPr>
        <w:t xml:space="preserve"> Cur</w:t>
      </w:r>
      <w:r>
        <w:rPr>
          <w:rStyle w:val="OperatorTok"/>
        </w:rPr>
        <w:t xml:space="preserve">,</w:t>
      </w:r>
      <w:r>
        <w:rPr>
          <w:rStyle w:val="NormalTok"/>
        </w:rPr>
        <w:t xml:space="preserve"> anchor</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Minor </w:t>
      </w:r>
      <w:r>
        <w:rPr>
          <w:rStyle w:val="OperatorTok"/>
        </w:rPr>
        <w:t xml:space="preserve">{</w:t>
      </w:r>
      <w:r>
        <w:rPr>
          <w:rStyle w:val="NormalTok"/>
        </w:rPr>
        <w:t xml:space="preserve"> </w:t>
      </w:r>
      <w:r>
        <w:rPr>
          <w:rStyle w:val="CommentTok"/>
        </w:rPr>
        <w:t xml:space="preserve">/* fold postings */</w:t>
      </w:r>
      <w:r>
        <w:rPr>
          <w:rStyle w:val="NormalTok"/>
        </w:rPr>
        <w:t xml:space="preserve"> </w:t>
      </w:r>
      <w:r>
        <w:rPr>
          <w:rStyle w:val="OperatorTok"/>
        </w:rPr>
        <w:t xml:space="preserve">}</w:t>
      </w:r>
      <w:r>
        <w:br/>
      </w:r>
      <w:r>
        <w:br/>
      </w:r>
      <w:r>
        <w:rPr>
          <w:rStyle w:val="NormalTok"/>
        </w:rPr>
        <w:t xml:space="preserve">    </w:t>
      </w:r>
      <w:r>
        <w:rPr>
          <w:rStyle w:val="CommentTok"/>
        </w:rPr>
        <w:t xml:space="preserve">// Available balance = posted minus unresolved holds. The regulator's distinction,</w:t>
      </w:r>
      <w:r>
        <w:br/>
      </w:r>
      <w:r>
        <w:rPr>
          <w:rStyle w:val="NormalTok"/>
        </w:rPr>
        <w:t xml:space="preserve">    </w:t>
      </w:r>
      <w:r>
        <w:rPr>
          <w:rStyle w:val="CommentTok"/>
        </w:rPr>
        <w:t xml:space="preserve">// expressed as two folds over the same base.</w:t>
      </w:r>
      <w:r>
        <w:br/>
      </w:r>
      <w:r>
        <w:rPr>
          <w:rStyle w:val="NormalTok"/>
        </w:rPr>
        <w:t xml:space="preserve">    </w:t>
      </w:r>
      <w:r>
        <w:rPr>
          <w:rStyle w:val="KeywordTok"/>
        </w:rPr>
        <w:t xml:space="preserve">fn</w:t>
      </w:r>
      <w:r>
        <w:rPr>
          <w:rStyle w:val="NormalTok"/>
        </w:rPr>
        <w:t xml:space="preserve"> available_balance(</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Acct</w:t>
      </w:r>
      <w:r>
        <w:rPr>
          <w:rStyle w:val="OperatorTok"/>
        </w:rPr>
        <w:t xml:space="preserve">,</w:t>
      </w:r>
      <w:r>
        <w:rPr>
          <w:rStyle w:val="NormalTok"/>
        </w:rPr>
        <w:t xml:space="preserve"> c</w:t>
      </w:r>
      <w:r>
        <w:rPr>
          <w:rStyle w:val="OperatorTok"/>
        </w:rPr>
        <w:t xml:space="preserve">:</w:t>
      </w:r>
      <w:r>
        <w:rPr>
          <w:rStyle w:val="NormalTok"/>
        </w:rPr>
        <w:t xml:space="preserve"> Cur</w:t>
      </w:r>
      <w:r>
        <w:rPr>
          <w:rStyle w:val="OperatorTok"/>
        </w:rPr>
        <w:t xml:space="preserve">,</w:t>
      </w:r>
      <w:r>
        <w:rPr>
          <w:rStyle w:val="NormalTok"/>
        </w:rPr>
        <w:t xml:space="preserve"> anchor</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Minor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ledger_balance(a</w:t>
      </w:r>
      <w:r>
        <w:rPr>
          <w:rStyle w:val="OperatorTok"/>
        </w:rPr>
        <w:t xml:space="preserve">,</w:t>
      </w:r>
      <w:r>
        <w:rPr>
          <w:rStyle w:val="NormalTok"/>
        </w:rPr>
        <w:t xml:space="preserve"> c</w:t>
      </w:r>
      <w:r>
        <w:rPr>
          <w:rStyle w:val="OperatorTok"/>
        </w:rPr>
        <w:t xml:space="preserve">,</w:t>
      </w:r>
      <w:r>
        <w:rPr>
          <w:rStyle w:val="NormalTok"/>
        </w:rPr>
        <w:t xml:space="preserve"> anchor)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unresolved_holds(a</w:t>
      </w:r>
      <w:r>
        <w:rPr>
          <w:rStyle w:val="OperatorTok"/>
        </w:rPr>
        <w:t xml:space="preserve">,</w:t>
      </w:r>
      <w:r>
        <w:rPr>
          <w:rStyle w:val="NormalTok"/>
        </w:rPr>
        <w:t xml:space="preserve"> c</w:t>
      </w:r>
      <w:r>
        <w:rPr>
          <w:rStyle w:val="OperatorTok"/>
        </w:rPr>
        <w:t xml:space="preserve">,</w:t>
      </w:r>
      <w:r>
        <w:rPr>
          <w:rStyle w:val="NormalTok"/>
        </w:rPr>
        <w:t xml:space="preserve"> anchor)</w:t>
      </w:r>
      <w:r>
        <w:br/>
      </w:r>
      <w:r>
        <w:rPr>
          <w:rStyle w:val="NormalTok"/>
        </w:rPr>
        <w:t xml:space="preserve">    </w:t>
      </w:r>
      <w:r>
        <w:rPr>
          <w:rStyle w:val="OperatorTok"/>
        </w:rPr>
        <w:t xml:space="preserve">}</w:t>
      </w:r>
      <w:r>
        <w:br/>
      </w:r>
      <w:r>
        <w:br/>
      </w:r>
      <w:r>
        <w:rPr>
          <w:rStyle w:val="NormalTok"/>
        </w:rPr>
        <w:t xml:space="preserve">    </w:t>
      </w:r>
      <w:r>
        <w:rPr>
          <w:rStyle w:val="CommentTok"/>
        </w:rPr>
        <w:t xml:space="preserve">// "What did we believe at system epoch `sys` about valid time &lt;= `valid_upto`?"</w:t>
      </w:r>
      <w:r>
        <w:br/>
      </w:r>
      <w:r>
        <w:rPr>
          <w:rStyle w:val="NormalTok"/>
        </w:rPr>
        <w:t xml:space="preserve">    </w:t>
      </w:r>
      <w:r>
        <w:rPr>
          <w:rStyle w:val="KeywordTok"/>
        </w:rPr>
        <w:t xml:space="preserve">fn</w:t>
      </w:r>
      <w:r>
        <w:rPr>
          <w:rStyle w:val="NormalTok"/>
        </w:rPr>
        <w:t xml:space="preserve"> bitemporal(</w:t>
      </w:r>
      <w:r>
        <w:rPr>
          <w:rStyle w:val="OperatorTok"/>
        </w:rPr>
        <w:t xml:space="preserve">&amp;</w:t>
      </w:r>
      <w:r>
        <w:rPr>
          <w:rStyle w:val="KeywordTok"/>
        </w:rPr>
        <w:t xml:space="preserve">self</w:t>
      </w:r>
      <w:r>
        <w:rPr>
          <w:rStyle w:val="OperatorTok"/>
        </w:rPr>
        <w:t xml:space="preserve">,</w:t>
      </w:r>
      <w:r>
        <w:rPr>
          <w:rStyle w:val="NormalTok"/>
        </w:rPr>
        <w:t xml:space="preserve"> a</w:t>
      </w:r>
      <w:r>
        <w:rPr>
          <w:rStyle w:val="OperatorTok"/>
        </w:rPr>
        <w:t xml:space="preserve">:</w:t>
      </w:r>
      <w:r>
        <w:rPr>
          <w:rStyle w:val="NormalTok"/>
        </w:rPr>
        <w:t xml:space="preserve"> Acct</w:t>
      </w:r>
      <w:r>
        <w:rPr>
          <w:rStyle w:val="OperatorTok"/>
        </w:rPr>
        <w:t xml:space="preserve">,</w:t>
      </w:r>
      <w:r>
        <w:rPr>
          <w:rStyle w:val="NormalTok"/>
        </w:rPr>
        <w:t xml:space="preserve"> c</w:t>
      </w:r>
      <w:r>
        <w:rPr>
          <w:rStyle w:val="OperatorTok"/>
        </w:rPr>
        <w:t xml:space="preserve">:</w:t>
      </w:r>
      <w:r>
        <w:rPr>
          <w:rStyle w:val="NormalTok"/>
        </w:rPr>
        <w:t xml:space="preserve"> Cur</w:t>
      </w:r>
      <w:r>
        <w:rPr>
          <w:rStyle w:val="OperatorTok"/>
        </w:rPr>
        <w:t xml:space="preserve">,</w:t>
      </w:r>
      <w:r>
        <w:rPr>
          <w:rStyle w:val="NormalTok"/>
        </w:rPr>
        <w:t xml:space="preserve"> sys</w:t>
      </w:r>
      <w:r>
        <w:rPr>
          <w:rStyle w:val="OperatorTok"/>
        </w:rPr>
        <w:t xml:space="preserve">:</w:t>
      </w:r>
      <w:r>
        <w:rPr>
          <w:rStyle w:val="NormalTok"/>
        </w:rPr>
        <w:t xml:space="preserve"> </w:t>
      </w:r>
      <w:r>
        <w:rPr>
          <w:rStyle w:val="DataTypeTok"/>
        </w:rPr>
        <w:t xml:space="preserve">u64</w:t>
      </w:r>
      <w:r>
        <w:rPr>
          <w:rStyle w:val="OperatorTok"/>
        </w:rPr>
        <w:t xml:space="preserve">,</w:t>
      </w:r>
      <w:r>
        <w:rPr>
          <w:rStyle w:val="NormalTok"/>
        </w:rPr>
        <w:t xml:space="preserve"> valid_upto</w:t>
      </w:r>
      <w:r>
        <w:rPr>
          <w:rStyle w:val="OperatorTok"/>
        </w:rPr>
        <w:t xml:space="preserve">:</w:t>
      </w:r>
      <w:r>
        <w:rPr>
          <w:rStyle w:val="NormalTok"/>
        </w:rPr>
        <w:t xml:space="preserve"> </w:t>
      </w:r>
      <w:r>
        <w:rPr>
          <w:rStyle w:val="DataTypeTok"/>
        </w:rPr>
        <w:t xml:space="preserve">i64</w:t>
      </w:r>
      <w:r>
        <w:rPr>
          <w:rStyle w:val="NormalTok"/>
        </w:rPr>
        <w:t xml:space="preserve">) </w:t>
      </w:r>
      <w:r>
        <w:rPr>
          <w:rStyle w:val="OperatorTok"/>
        </w:rPr>
        <w:t xml:space="preserve">-&gt;</w:t>
      </w:r>
      <w:r>
        <w:rPr>
          <w:rStyle w:val="NormalTok"/>
        </w:rPr>
        <w:t xml:space="preserve"> Minor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    </w:t>
      </w:r>
      <w:r>
        <w:rPr>
          <w:rStyle w:val="CommentTok"/>
        </w:rPr>
        <w:t xml:space="preserve">// The global invariant, checkable at every epoch, per currency.</w:t>
      </w:r>
      <w:r>
        <w:br/>
      </w:r>
      <w:r>
        <w:rPr>
          <w:rStyle w:val="NormalTok"/>
        </w:rPr>
        <w:t xml:space="preserve">    </w:t>
      </w:r>
      <w:r>
        <w:rPr>
          <w:rStyle w:val="KeywordTok"/>
        </w:rPr>
        <w:t xml:space="preserve">fn</w:t>
      </w:r>
      <w:r>
        <w:rPr>
          <w:rStyle w:val="NormalTok"/>
        </w:rPr>
        <w:t xml:space="preserve"> conservation_ok(</w:t>
      </w:r>
      <w:r>
        <w:rPr>
          <w:rStyle w:val="OperatorTok"/>
        </w:rPr>
        <w:t xml:space="preserve">&amp;</w:t>
      </w:r>
      <w:r>
        <w:rPr>
          <w:rStyle w:val="KeywordTok"/>
        </w:rPr>
        <w:t xml:space="preserve">self</w:t>
      </w:r>
      <w:r>
        <w:rPr>
          <w:rStyle w:val="OperatorTok"/>
        </w:rPr>
        <w:t xml:space="preserve">,</w:t>
      </w:r>
      <w:r>
        <w:rPr>
          <w:rStyle w:val="NormalTok"/>
        </w:rPr>
        <w:t xml:space="preserve"> anchor</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mmentTok"/>
        </w:rPr>
        <w:t xml:space="preserve">/* all currency sums are zero */</w:t>
      </w:r>
      <w:r>
        <w:rPr>
          <w:rStyle w:val="NormalTok"/>
        </w:rPr>
        <w:t xml:space="preserve"> </w:t>
      </w:r>
      <w:r>
        <w:rPr>
          <w:rStyle w:val="OperatorTok"/>
        </w:rPr>
        <w:t xml:space="preserve">}</w:t>
      </w:r>
      <w:r>
        <w:br/>
      </w:r>
      <w:r>
        <w:br/>
      </w:r>
      <w:r>
        <w:rPr>
          <w:rStyle w:val="NormalTok"/>
        </w:rPr>
        <w:t xml:space="preserve">    </w:t>
      </w:r>
      <w:r>
        <w:rPr>
          <w:rStyle w:val="KeywordTok"/>
        </w:rPr>
        <w:t xml:space="preserve">fn</w:t>
      </w:r>
      <w:r>
        <w:rPr>
          <w:rStyle w:val="NormalTok"/>
        </w:rPr>
        <w:t xml:space="preserve"> verify_chain(</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mmentTok"/>
        </w:rPr>
        <w:t xml:space="preserve">/* recompute the chain forward from genesis */</w:t>
      </w:r>
      <w:r>
        <w:rPr>
          <w:rStyle w:val="NormalTok"/>
        </w:rPr>
        <w:t xml:space="preserve"> </w:t>
      </w:r>
      <w:r>
        <w:rPr>
          <w:rStyle w:val="OperatorTok"/>
        </w:rPr>
        <w:t xml:space="preserve">}</w:t>
      </w:r>
      <w:r>
        <w:br/>
      </w:r>
      <w:r>
        <w:rPr>
          <w:rStyle w:val="OperatorTok"/>
        </w:rPr>
        <w:t xml:space="preserve">}</w:t>
      </w:r>
    </w:p>
    <w:p>
      <w:pPr>
        <w:pStyle w:val="FirstParagraph"/>
      </w:pPr>
      <w:r>
        <w:t xml:space="preserve">Three properties of this code deserve comment.</w:t>
      </w:r>
      <w:r>
        <w:t xml:space="preserve"> </w:t>
      </w:r>
      <w:r>
        <w:rPr>
          <w:bCs/>
          <w:b/>
        </w:rPr>
        <w:t xml:space="preserve">Holds are rows, not fields</w:t>
      </w:r>
      <w:r>
        <w:t xml:space="preserve">: a reservation is admitted as an appended row and resolved by another appended row, so the oracle has no update path at all and the available/ledger distinction is two folds rather than two stored numbers.</w:t>
      </w:r>
      <w:r>
        <w:t xml:space="preserve"> </w:t>
      </w:r>
      <w:r>
        <w:rPr>
          <w:bCs/>
          <w:b/>
        </w:rPr>
        <w:t xml:space="preserve">Conservation quantifies over currency</w:t>
      </w:r>
      <w:r>
        <w:t xml:space="preserve">, which is what makes cross-currency imbalance detectable: a transaction moving −100 in one currency and +100 in another is rejected even though its arithmetic total is zero.</w:t>
      </w:r>
      <w:r>
        <w:t xml:space="preserve"> </w:t>
      </w:r>
      <w:r>
        <w:rPr>
          <w:bCs/>
          <w:b/>
        </w:rPr>
        <w:t xml:space="preserve">Bitemporality is two filters</w:t>
      </w:r>
      <w:r>
        <w:t xml:space="preserve">, one per axis, which is the entire implementation of</w:t>
      </w:r>
      <w:r>
        <w:t xml:space="preserve"> </w:t>
      </w:r>
      <w:r>
        <w:t xml:space="preserve">“</w:t>
      </w:r>
      <w:r>
        <w:t xml:space="preserve">what did we believe then.</w:t>
      </w:r>
      <w:r>
        <w:t xml:space="preserve">”</w:t>
      </w:r>
    </w:p>
    <w:bookmarkEnd w:id="312"/>
    <w:bookmarkStart w:id="313" w:name="f.3-what-the-suite-does-with-it"/>
    <w:p>
      <w:pPr>
        <w:pStyle w:val="Heading2"/>
      </w:pPr>
      <w:r>
        <w:t xml:space="preserve">F.3 What the Suite Does With It</w:t>
      </w:r>
    </w:p>
    <w:p>
      <w:pPr>
        <w:pStyle w:val="FirstParagraph"/>
      </w:pPr>
      <w:r>
        <w:rPr>
          <w:bCs/>
          <w:b/>
        </w:rPr>
        <w:t xml:space="preserve">Differential testing.</w:t>
      </w:r>
      <w:r>
        <w:t xml:space="preserve"> </w:t>
      </w:r>
      <w:r>
        <w:t xml:space="preserve">The harness generates seeded streams across all benchmark mixes, feeds identical admitted streams to 𝒪 and to Nilestream, and compares every observable: balances (ledger and available) at every rung’s chosen anchor, bitemporal queries, chain digests, admission decisions including idempotency conflicts and their fingerprint-mismatch variant, and lineage.</w:t>
      </w:r>
    </w:p>
    <w:p>
      <w:pPr>
        <w:pStyle w:val="BodyText"/>
      </w:pPr>
      <w:r>
        <w:rPr>
          <w:bCs/>
          <w:b/>
        </w:rPr>
        <w:t xml:space="preserve">Invariant sweeps.</w:t>
      </w:r>
      <w:r>
        <w:t xml:space="preserve"> </w:t>
      </w:r>
      <w:r>
        <w:t xml:space="preserve">Per-currency conservation at every epoch of every run; the available-balance identity at every anchor; FX-atomicity.</w:t>
      </w:r>
    </w:p>
    <w:p>
      <w:pPr>
        <w:pStyle w:val="BodyText"/>
      </w:pPr>
      <w:r>
        <w:rPr>
          <w:bCs/>
          <w:b/>
        </w:rPr>
        <w:t xml:space="preserve">Algebra laws as properties.</w:t>
      </w:r>
      <w:r>
        <w:t xml:space="preserve"> </w:t>
      </w:r>
      <w:r>
        <w:t xml:space="preserve">For random evict/reconstruct schedules applied to Nilestream, answers must equal 𝒪’s fold at the same anchor — the executable mirror of Theorem 4.1 — and integration/differentiation round-trips must agree as canonical Z-sets at every epoch (F2).</w:t>
      </w:r>
    </w:p>
    <w:p>
      <w:pPr>
        <w:pStyle w:val="BodyText"/>
      </w:pPr>
      <w:r>
        <w:rPr>
          <w:bCs/>
          <w:b/>
        </w:rPr>
        <w:t xml:space="preserve">Fault campaigns.</w:t>
      </w:r>
      <w:r>
        <w:t xml:space="preserve"> </w:t>
      </w:r>
      <w:r>
        <w:t xml:space="preserve">Crash-recovery, duplicate and reordered delivery, eviction storms, recovery mid-upquery. 𝒪, being a pure fold, is the fixed point against which the chaos is measured. The five partial-state anomalies of §4.2 are written as tests that</w:t>
      </w:r>
      <w:r>
        <w:t xml:space="preserve"> </w:t>
      </w:r>
      <w:r>
        <w:rPr>
          <w:iCs/>
          <w:i/>
        </w:rPr>
        <w:t xml:space="preserve">must fail to reproduce them</w:t>
      </w:r>
      <w:r>
        <w:t xml:space="preserve">.</w:t>
      </w:r>
    </w:p>
    <w:p>
      <w:pPr>
        <w:pStyle w:val="BodyText"/>
      </w:pPr>
      <w:r>
        <w:rPr>
          <w:bCs/>
          <w:b/>
        </w:rPr>
        <w:t xml:space="preserve">Confidentiality extension.</w:t>
      </w:r>
      <w:r>
        <w:t xml:space="preserve"> </w:t>
      </w:r>
      <w:r>
        <w:t xml:space="preserve">Under the committed-amount profile, the suite checks that the sum of commitments opens to the oracle’s sum of values per currency, which is the property the homomorphic scheme is chosen for.</w:t>
      </w:r>
    </w:p>
    <w:bookmarkEnd w:id="313"/>
    <w:bookmarkStart w:id="314" w:name="f.4-current-test-coverage"/>
    <w:p>
      <w:pPr>
        <w:pStyle w:val="Heading2"/>
      </w:pPr>
      <w:r>
        <w:t xml:space="preserve">F.4 Current Test Coverage</w:t>
      </w:r>
    </w:p>
    <w:p>
      <w:pPr>
        <w:pStyle w:val="FirstParagraph"/>
      </w:pPr>
      <w:r>
        <w:t xml:space="preserve">Implemented and passing in the artifact today: balanced transfer conservation; rejection of unbalanced transactions; rejection of duplicate idempotency keys; FX legs balancing per currency separately; rejection of a transaction whose currencies net to zero only by mixing them; bitemporal answers across a backdated correction; hold placement, partial capture with remainder release, void, and expiry; the available-balance identity; and tamper detection via chain verification. These are unit tests of the</w:t>
      </w:r>
      <w:r>
        <w:t xml:space="preserve"> </w:t>
      </w:r>
      <w:r>
        <w:rPr>
          <w:iCs/>
          <w:i/>
        </w:rPr>
        <w:t xml:space="preserve">oracle</w:t>
      </w:r>
      <w:r>
        <w:t xml:space="preserve">, not measurements of a system — the distinction Chapter 7 states plainly.</w:t>
      </w:r>
    </w:p>
    <w:bookmarkEnd w:id="314"/>
    <w:bookmarkStart w:id="315" w:name="f.5-what-acceptance-means"/>
    <w:p>
      <w:pPr>
        <w:pStyle w:val="Heading2"/>
      </w:pPr>
      <w:r>
        <w:t xml:space="preserve">F.5 What Acceptance Means</w:t>
      </w:r>
    </w:p>
    <w:p>
      <w:pPr>
        <w:pStyle w:val="FirstParagraph"/>
      </w:pPr>
      <w:r>
        <w:t xml:space="preserve">A green suite means Nilestream’s observable behaviour is indistinguishable from a short, deliberately stupid fold, under the declared contracts, across every tested schedule and fault. That is the operational content of</w:t>
      </w:r>
      <w:r>
        <w:t xml:space="preserve"> </w:t>
      </w:r>
      <w:r>
        <w:t xml:space="preserve">“</w:t>
      </w:r>
      <w:r>
        <w:t xml:space="preserve">correct</w:t>
      </w:r>
      <w:r>
        <w:t xml:space="preserve">”</w:t>
      </w:r>
      <w:r>
        <w:t xml:space="preserve"> </w:t>
      </w:r>
      <w:r>
        <w:t xml:space="preserve">everywhere this thesis uses the word. It also means the suite is portable: any future implementation of this theory — anyone’s, in any language — can claim conformance by passing the same suite against the same oracle, which is why the oracle and the suite are listed as an engineering contribution in their own right.</w:t>
      </w:r>
    </w:p>
    <w:bookmarkEnd w:id="315"/>
    <w:bookmarkEnd w:id="316"/>
    <w:bookmarkStart w:id="327" w:name="appendix-g.-build-and-implementation-kit"/>
    <w:p>
      <w:pPr>
        <w:pStyle w:val="Heading1"/>
      </w:pPr>
      <w:r>
        <w:t xml:space="preserve">Appendix G. Build and Implementation Kit</w:t>
      </w:r>
    </w:p>
    <w:bookmarkStart w:id="317" w:name="g.1-software-requirements"/>
    <w:p>
      <w:pPr>
        <w:pStyle w:val="Heading2"/>
      </w:pPr>
      <w:r>
        <w:t xml:space="preserve">G.1 Software Requirements</w:t>
      </w:r>
    </w:p>
    <w:p>
      <w:pPr>
        <w:pStyle w:val="FirstParagraph"/>
      </w:pPr>
      <w:r>
        <w:t xml:space="preserve">A pinned host toolchain recorded per release; a build driver; a scripting environment for analysis with pinned library versions; a Wasm runtime for the UDF tier and the self-hosted optimizer; optionally a container image for hermetic builds; optionally a proof assistant for the mechanization named in Chapter 12. Development on Linux or macOS; Windows through the WSL profile.</w:t>
      </w:r>
    </w:p>
    <w:bookmarkEnd w:id="317"/>
    <w:bookmarkStart w:id="318" w:name="g.2-external-dependencies"/>
    <w:p>
      <w:pPr>
        <w:pStyle w:val="Heading2"/>
      </w:pPr>
      <w:r>
        <w:t xml:space="preserve">G.2 External Dependencies</w:t>
      </w:r>
    </w:p>
    <w:p>
      <w:pPr>
        <w:pStyle w:val="FirstParagraph"/>
      </w:pPr>
      <w:r>
        <w:rPr>
          <w:bCs/>
          <w:b/>
        </w:rPr>
        <w:t xml:space="preserve">Policy:</w:t>
      </w:r>
      <w:r>
        <w:t xml:space="preserve"> </w:t>
      </w:r>
      <w:r>
        <w:t xml:space="preserve">minimal, audited, pinned by lockfile, vendorable. Cryptographic primitives are never hand-rolled. Serialization libraries are used for</w:t>
      </w:r>
      <w:r>
        <w:t xml:space="preserve"> </w:t>
      </w:r>
      <w:r>
        <w:rPr>
          <w:iCs/>
          <w:i/>
        </w:rPr>
        <w:t xml:space="preserve">framing only</w:t>
      </w:r>
      <w:r>
        <w:t xml:space="preserve"> </w:t>
      </w:r>
      <w:r>
        <w:t xml:space="preserve">— canonical base serialization is hand-written and versioned, because the hash chain’s meaning depends on byte-level stability that a third-party library is free to change. Concurrency primitives, property-testing, model-checking and benchmarking libraries are used freely, since they are outside the trusted base.</w:t>
      </w:r>
    </w:p>
    <w:p>
      <w:pPr>
        <w:pStyle w:val="BodyText"/>
      </w:pPr>
      <w:r>
        <w:rPr>
          <w:bCs/>
          <w:b/>
        </w:rPr>
        <w:t xml:space="preserve">Forbidden by policy:</w:t>
      </w:r>
      <w:r>
        <w:t xml:space="preserve"> </w:t>
      </w:r>
      <w:r>
        <w:t xml:space="preserve">any dependency that owns base bytes or commit ordering. This is why a general-purpose storage engine is not used for the base even though one is appropriate for cold view state — its compaction would rewrite data the design declares immutable (Proposition 3.4).</w:t>
      </w:r>
    </w:p>
    <w:bookmarkEnd w:id="318"/>
    <w:bookmarkStart w:id="319" w:name="g.3-baseline-systems"/>
    <w:p>
      <w:pPr>
        <w:pStyle w:val="Heading2"/>
      </w:pPr>
      <w:r>
        <w:t xml:space="preserve">G.3 Baseline Systems</w:t>
      </w:r>
    </w:p>
    <w:p>
      <w:pPr>
        <w:pStyle w:val="FirstParagraph"/>
      </w:pPr>
      <w:r>
        <w:t xml:space="preserve">Two mainstream RDBMSs with configurations published alongside the results; a total-materialization IVM engine of the Materialize/Feldera class with version pinned at run time; the in-tree no-anchor ablation, whose exact configuration diff is published so readers can see what the ablation removed; and a purpose-built ledger for the write-path floor. Each baseline is tuned per its own vendor’s guidance, and each carries a fairness note stating what it is and is not being asked to do.</w:t>
      </w:r>
    </w:p>
    <w:p>
      <w:pPr>
        <w:pStyle w:val="BodyText"/>
      </w:pPr>
      <w:r>
        <w:rPr>
          <w:bCs/>
          <w:b/>
        </w:rPr>
        <w:t xml:space="preserve">Excluded by policy:</w:t>
      </w:r>
      <w:r>
        <w:t xml:space="preserve"> </w:t>
      </w:r>
      <w:r>
        <w:t xml:space="preserve">vendor performance claims lacking methodology, hardware specification or workload definition. Where a vendor’s documentation and marketing disagree on a basic parameter, that disagreement is reported rather than resolved in the favourable direction.</w:t>
      </w:r>
    </w:p>
    <w:bookmarkEnd w:id="319"/>
    <w:bookmarkStart w:id="320" w:name="g.4-minimum-hardware"/>
    <w:p>
      <w:pPr>
        <w:pStyle w:val="Heading2"/>
      </w:pPr>
      <w:r>
        <w:t xml:space="preserve">G.4 Minimum Hardware</w:t>
      </w:r>
    </w:p>
    <w:p>
      <w:pPr>
        <w:pStyle w:val="FirstParagraph"/>
      </w:pPr>
      <w:r>
        <w:t xml:space="preserve">Development: a modern multi-core workstation. Reference single-node evaluation: a fixed instance class with core count, memory, storage class and network recorded, and with</w:t>
      </w:r>
      <w:r>
        <w:t xml:space="preserve"> </w:t>
      </w:r>
      <w:r>
        <w:rPr>
          <w:bCs/>
          <w:b/>
        </w:rPr>
        <w:t xml:space="preserve">verified fsync semantics</w:t>
      </w:r>
      <w:r>
        <w:t xml:space="preserve"> </w:t>
      </w:r>
      <w:r>
        <w:t xml:space="preserve">— a durability benchmark on a device that lies about fsync measures nothing. The long-horizon run additionally requires a cold tier sized for the target event volume. Distributed evaluation: five reference nodes. Every figure records its hardware identifier.</w:t>
      </w:r>
    </w:p>
    <w:bookmarkEnd w:id="320"/>
    <w:bookmarkStart w:id="321" w:name="Xa5e7f2a6199f0f7b1ee0265b70a4c39f6c07ca7"/>
    <w:p>
      <w:pPr>
        <w:pStyle w:val="Heading2"/>
      </w:pPr>
      <w:r>
        <w:t xml:space="preserve">G.5 Cost Model and Materialization Heuristics</w:t>
      </w:r>
    </w:p>
    <w:p>
      <w:pPr>
        <w:pStyle w:val="FirstParagraph"/>
      </w:pPr>
      <w:r>
        <w:t xml:space="preserve">Per view and key range, the optimizer tracks: arrival rate λ_r; reuse-distance estimate; reconstruction cost ĉ_u (EWMA of measured upquery path evaluations);</w:t>
      </w:r>
      <w:r>
        <w:t xml:space="preserve"> </w:t>
      </w:r>
      <w:r>
        <w:rPr>
          <w:bCs/>
          <w:b/>
        </w:rPr>
        <w:t xml:space="preserve">reconstruction latency L̂ and the derived Z = L̂ · λ_r</w:t>
      </w:r>
      <w:r>
        <w:t xml:space="preserve">; update rate; residency bytes; and the contract multiplier Φ(ℓ) from Section 3.14.</w:t>
      </w:r>
    </w:p>
    <w:p>
      <w:pPr>
        <w:pStyle w:val="BodyText"/>
      </w:pPr>
      <w:r>
        <w:rPr>
          <w:bCs/>
          <w:b/>
        </w:rPr>
        <w:t xml:space="preserve">Mode selection (rent-or-buy).</w:t>
      </w:r>
      <w:r>
        <w:t xml:space="preserve"> </w:t>
      </w:r>
      <w:r>
        <w:t xml:space="preserve">Accumulate reconstruction spend for a range; when cumulative spend reaches the cost of maintaining it materialized, switch to</w:t>
      </w:r>
      <w:r>
        <w:t xml:space="preserve"> </w:t>
      </w:r>
      <w:r>
        <w:rPr>
          <w:rStyle w:val="VerbatimChar"/>
        </w:rPr>
        <w:t xml:space="preserve">full</w:t>
      </w:r>
      <w:r>
        <w:t xml:space="preserve"> </w:t>
      </w:r>
      <w:r>
        <w:t xml:space="preserve">— the classical break-even rule, 2-competitive deterministically, with a randomized variant approaching e/(e−1). Downgrade uses the mirrored rule with hysteresis.</w:t>
      </w:r>
    </w:p>
    <w:p>
      <w:pPr>
        <w:pStyle w:val="BodyText"/>
      </w:pPr>
      <w:r>
        <w:rPr>
          <w:bCs/>
          <w:b/>
        </w:rPr>
        <w:t xml:space="preserve">Eviction (cost-and-size aware, delay-weighted).</w:t>
      </w:r>
      <w:r>
        <w:t xml:space="preserve"> </w:t>
      </w:r>
      <w:r>
        <w:t xml:space="preserve">Rank candidates by expected aggregate delay rather than reuse probability alone: a credit proportional to ĉ_u · (1 + Z) · Φ(ℓ) per unit of residency, decremented as budget pressure rises — a Landlord-style discipline extended by the delayed-hit weighting. Plain LRU is implemented too, as the S7 comparison point.</w:t>
      </w:r>
    </w:p>
    <w:p>
      <w:pPr>
        <w:pStyle w:val="BodyText"/>
      </w:pPr>
      <w:r>
        <w:rPr>
          <w:bCs/>
          <w:b/>
        </w:rPr>
        <w:t xml:space="preserve">Spill and tier.</w:t>
      </w:r>
      <w:r>
        <w:t xml:space="preserve"> </w:t>
      </w:r>
      <w:r>
        <w:t xml:space="preserve">When a range’s reconstruction cost is high but its residency cost is dominated by size rather than by update rate,</w:t>
      </w:r>
      <w:r>
        <w:t xml:space="preserve"> </w:t>
      </w:r>
      <w:r>
        <w:rPr>
          <w:rStyle w:val="VerbatimChar"/>
        </w:rPr>
        <w:t xml:space="preserve">spilled</w:t>
      </w:r>
      <w:r>
        <w:t xml:space="preserve"> </w:t>
      </w:r>
      <w:r>
        <w:t xml:space="preserve">or</w:t>
      </w:r>
      <w:r>
        <w:t xml:space="preserve"> </w:t>
      </w:r>
      <w:r>
        <w:rPr>
          <w:rStyle w:val="VerbatimChar"/>
        </w:rPr>
        <w:t xml:space="preserve">tiered</w:t>
      </w:r>
      <w:r>
        <w:t xml:space="preserve"> </w:t>
      </w:r>
      <w:r>
        <w:t xml:space="preserve">dominates both</w:t>
      </w:r>
      <w:r>
        <w:t xml:space="preserve"> </w:t>
      </w:r>
      <w:r>
        <w:rPr>
          <w:rStyle w:val="VerbatimChar"/>
        </w:rPr>
        <w:t xml:space="preserve">demand</w:t>
      </w:r>
      <w:r>
        <w:t xml:space="preserve"> </w:t>
      </w:r>
      <w:r>
        <w:t xml:space="preserve">and</w:t>
      </w:r>
      <w:r>
        <w:t xml:space="preserve"> </w:t>
      </w:r>
      <w:r>
        <w:rPr>
          <w:rStyle w:val="VerbatimChar"/>
        </w:rPr>
        <w:t xml:space="preserve">full</w:t>
      </w:r>
      <w:r>
        <w:t xml:space="preserve">; the decision compares I/O cost against reconstruction cost directly.</w:t>
      </w:r>
    </w:p>
    <w:p>
      <w:pPr>
        <w:pStyle w:val="BodyText"/>
      </w:pPr>
      <w:r>
        <w:rPr>
          <w:bCs/>
          <w:b/>
        </w:rPr>
        <w:t xml:space="preserve">Hysteresis.</w:t>
      </w:r>
      <w:r>
        <w:t xml:space="preserve"> </w:t>
      </w:r>
      <w:r>
        <w:t xml:space="preserve">Mode changes require a sustained signal over a window, with a minimum dwell time per mode, because thrashing between modes is worse than either mode.</w:t>
      </w:r>
    </w:p>
    <w:p>
      <w:pPr>
        <w:pStyle w:val="BodyText"/>
      </w:pPr>
      <w:r>
        <w:rPr>
          <w:bCs/>
          <w:b/>
        </w:rPr>
        <w:t xml:space="preserve">Pinning.</w:t>
      </w:r>
      <w:r>
        <w:t xml:space="preserve"> </w:t>
      </w:r>
      <w:r>
        <w:t xml:space="preserve">Ranges pinned by contract are excluded from the decision entirely.</w:t>
      </w:r>
    </w:p>
    <w:p>
      <w:pPr>
        <w:pStyle w:val="BodyText"/>
      </w:pPr>
      <w:r>
        <w:t xml:space="preserve">Appendix I gives these as algorithms with their estimator update rules; this section is the model they implement.</w:t>
      </w:r>
    </w:p>
    <w:bookmarkEnd w:id="321"/>
    <w:bookmarkStart w:id="322" w:name="Xd47a51407fa6a0c31d70cfb834ef6d1c1386642"/>
    <w:p>
      <w:pPr>
        <w:pStyle w:val="Heading2"/>
      </w:pPr>
      <w:r>
        <w:t xml:space="preserve">G.6 Instruction Selection and Machine-Code Encoding</w:t>
      </w:r>
    </w:p>
    <w:p>
      <w:pPr>
        <w:pStyle w:val="FirstParagraph"/>
      </w:pPr>
      <w:r>
        <w:t xml:space="preserve">Selection tables live per target as pattern-to-template mappings with costs; maximal munch with an explicit tie-break order (fewer operations, then shorter encoding). Encoding is table-generated from the target model, with an exhaustive encoder test against a reference disassembler corpus per release.</w:t>
      </w:r>
    </w:p>
    <w:bookmarkEnd w:id="322"/>
    <w:bookmarkStart w:id="323" w:name="g.7-linear-scan-register-allocation"/>
    <w:p>
      <w:pPr>
        <w:pStyle w:val="Heading2"/>
      </w:pPr>
      <w:r>
        <w:t xml:space="preserve">G.7 Linear-Scan Register Allocation</w:t>
      </w:r>
    </w:p>
    <w:p>
      <w:pPr>
        <w:pStyle w:val="FirstParagraph"/>
      </w:pPr>
      <w:r>
        <w:t xml:space="preserve">Live intervals from SSA liveness; intervals sorted by start; an active set ordered by end; on pressure, split at the next use and spill the interval with the furthest next use, weighted by loop depth; reloads placed at split points; callee-saved registers allocated last. The allocator’s invariant checklist — no overlapping assignment, every use reachable from a definition or a reload — is checked in a debug mode and covered by golden tests per target.</w:t>
      </w:r>
    </w:p>
    <w:bookmarkEnd w:id="323"/>
    <w:bookmarkStart w:id="324" w:name="Xfb31a0ca8dddb83bd6ca9f969f420b7357ed7a8"/>
    <w:p>
      <w:pPr>
        <w:pStyle w:val="Heading2"/>
      </w:pPr>
      <w:r>
        <w:t xml:space="preserve">G.8 Consensus Wiring and Cross-Shard Commit</w:t>
      </w:r>
    </w:p>
    <w:p>
      <w:pPr>
        <w:pStyle w:val="FirstParagraph"/>
      </w:pPr>
      <w:r>
        <w:t xml:space="preserve">Each ledger group is a consensus group; sequencing follows leadership; sealing requires quorum-durable segments. Cross-shard transactions use the epoch-aligned protocol of Section 8.6, with reservation and outcome records written as ordinary base rows — so the protocol’s own history is audited by the same chain it commits to, which is a small but pleasing consequence of making the log the product. The recovery matrix (coordinator loss, participant loss, partition during prepare) is tabulated in the artifact with a test per cell.</w:t>
      </w:r>
    </w:p>
    <w:bookmarkEnd w:id="324"/>
    <w:bookmarkStart w:id="325" w:name="g.9-benchmark-harness-and-seeds"/>
    <w:p>
      <w:pPr>
        <w:pStyle w:val="Heading2"/>
      </w:pPr>
      <w:r>
        <w:t xml:space="preserve">G.9 Benchmark Harness and Seeds</w:t>
      </w:r>
    </w:p>
    <w:p>
      <w:pPr>
        <w:pStyle w:val="FirstParagraph"/>
      </w:pPr>
      <w:r>
        <w:t xml:space="preserve">The harness drives everything from scenario files fixing generator parameters (account population, α, mix weights, τ, memory budget, ad hoc query rate, lineage mode, per-view contracts), seeds (derived from a base seed and run index; five runs by default), warm-up and measurement windows. Output is a raw archive plus derived figures. Every figure identifier maps to exactly one scenario file, and the figure generator refuses to emit a plot for which no pre-registered template exists (Section 5.9).</w:t>
      </w:r>
    </w:p>
    <w:p>
      <w:pPr>
        <w:pStyle w:val="BodyText"/>
      </w:pPr>
      <w:r>
        <w:t xml:space="preserve">Generators cover the write and read mixes of Section 9.1, including value dates distinct from booking epochs and backdated corrections, hold lifecycles with partial capture and expiry, and the mutant corpora (ill-typed programs, corrupted segments) for the negative tests.</w:t>
      </w:r>
    </w:p>
    <w:bookmarkEnd w:id="325"/>
    <w:bookmarkStart w:id="326" w:name="g.10-build-gate-and-reproduce"/>
    <w:p>
      <w:pPr>
        <w:pStyle w:val="Heading2"/>
      </w:pPr>
      <w:r>
        <w:t xml:space="preserve">G.10 Build Gate and Reproduce</w:t>
      </w:r>
    </w:p>
    <w:p>
      <w:pPr>
        <w:pStyle w:val="FirstParagraph"/>
      </w:pPr>
      <w:r>
        <w:rPr>
          <w:rStyle w:val="VerbatimChar"/>
        </w:rPr>
        <w:t xml:space="preserve">gate</w:t>
      </w:r>
      <w:r>
        <w:t xml:space="preserve"> </w:t>
      </w:r>
      <w:r>
        <w:t xml:space="preserve">= hermetic build + unit and property suites + conservation suite + determinism gates (Appendix C.5 and E.18) + lints +</w:t>
      </w:r>
      <w:r>
        <w:t xml:space="preserve"> </w:t>
      </w:r>
      <w:r>
        <w:rPr>
          <w:rStyle w:val="VerbatimChar"/>
        </w:rPr>
        <w:t xml:space="preserve">unsafe</w:t>
      </w:r>
      <w:r>
        <w:t xml:space="preserve"> </w:t>
      </w:r>
      <w:r>
        <w:t xml:space="preserve">inventory check. Continuous integration refuses merges on any red.</w:t>
      </w:r>
    </w:p>
    <w:p>
      <w:pPr>
        <w:pStyle w:val="BodyText"/>
      </w:pPr>
      <w:r>
        <w:rPr>
          <w:rStyle w:val="VerbatimChar"/>
        </w:rPr>
        <w:t xml:space="preserve">reproduce FIGURE=&lt;id&gt;</w:t>
      </w:r>
      <w:r>
        <w:t xml:space="preserve"> </w:t>
      </w:r>
      <w:r>
        <w:t xml:space="preserve">= clean state → scenario run → analysis → figure bytes.</w:t>
      </w:r>
      <w:r>
        <w:t xml:space="preserve"> </w:t>
      </w:r>
      <w:r>
        <w:rPr>
          <w:rStyle w:val="VerbatimChar"/>
        </w:rPr>
        <w:t xml:space="preserve">reproduce-all</w:t>
      </w:r>
      <w:r>
        <w:t xml:space="preserve"> </w:t>
      </w:r>
      <w:r>
        <w:t xml:space="preserve">regenerates every number in Chapter 9, with its wall-clock budget documented.</w:t>
      </w:r>
    </w:p>
    <w:p>
      <w:pPr>
        <w:pStyle w:val="BodyText"/>
      </w:pPr>
      <w:r>
        <w:t xml:space="preserve">The artifact’s front page is the two-command story: run the gate, then reproduce. If both work on the reference hardware, the empirical chapter is the reader’s to re-derive — which is the only form of trust this thesis asks for.</w:t>
      </w:r>
    </w:p>
    <w:bookmarkEnd w:id="326"/>
    <w:bookmarkEnd w:id="327"/>
    <w:bookmarkStart w:id="336" w:name="X45a5a32ed09d748ea92b819ca8de886290deffc"/>
    <w:p>
      <w:pPr>
        <w:pStyle w:val="Heading1"/>
      </w:pPr>
      <w:r>
        <w:t xml:space="preserve">Appendix H. Generality and SQL-Completeness Dossier</w:t>
      </w:r>
    </w:p>
    <w:p>
      <w:pPr>
        <w:pStyle w:val="FirstParagraph"/>
      </w:pPr>
      <w:r>
        <w:t xml:space="preserve">This appendix discharges Theorem 4.6 in detail: what the generality claim means, what is proved, what is constructed, and what is deliberately not claimed.</w:t>
      </w:r>
    </w:p>
    <w:bookmarkStart w:id="328" w:name="h.1-why-the-naive-claim-is-not-provable"/>
    <w:p>
      <w:pPr>
        <w:pStyle w:val="Heading2"/>
      </w:pPr>
      <w:r>
        <w:t xml:space="preserve">H.1 Why the Naive Claim Is Not Provable</w:t>
      </w:r>
    </w:p>
    <w:p>
      <w:pPr>
        <w:pStyle w:val="FirstParagraph"/>
      </w:pPr>
      <w:r>
        <w:t xml:space="preserve">“</w:t>
      </w:r>
      <w:r>
        <w:t xml:space="preserve">Niles is SQL-complete</w:t>
      </w:r>
      <w:r>
        <w:t xml:space="preserve">”</w:t>
      </w:r>
      <w:r>
        <w:t xml:space="preserve"> </w:t>
      </w:r>
      <w:r>
        <w:t xml:space="preserve">is not a well-formed statement. SQL is defined by a multi-part international standard with optional features, implementation-defined behaviour, and no single formal semantics against which completeness could be established. Any thesis asserting completeness with respect to SQL is asserting completeness with respect to an object that does not exist in the required form.</w:t>
      </w:r>
    </w:p>
    <w:p>
      <w:pPr>
        <w:pStyle w:val="BodyText"/>
      </w:pPr>
      <w:r>
        <w:t xml:space="preserve">Three well-formed statements are available instead, and this appendix proves the first two and constructs the third.</w:t>
      </w:r>
    </w:p>
    <w:bookmarkEnd w:id="328"/>
    <w:bookmarkStart w:id="329" w:name="h.2-claim-1-relational-completeness"/>
    <w:p>
      <w:pPr>
        <w:pStyle w:val="Heading2"/>
      </w:pPr>
      <w:r>
        <w:t xml:space="preserve">H.2 Claim 1 — Relational Completeness</w:t>
      </w:r>
    </w:p>
    <w:p>
      <w:pPr>
        <w:pStyle w:val="FirstParagraph"/>
      </w:pPr>
      <w:r>
        <w:rPr>
          <w:bCs/>
          <w:b/>
        </w:rPr>
        <w:t xml:space="preserve">Statement.</w:t>
      </w:r>
      <w:r>
        <w:t xml:space="preserve"> </w:t>
      </w:r>
      <w:r>
        <w:t xml:space="preserve">Niles-Core expresses every query expressible in the safe (domain-independent) relational calculus.</w:t>
      </w:r>
    </w:p>
    <w:p>
      <w:pPr>
        <w:pStyle w:val="BodyText"/>
      </w:pPr>
      <w:r>
        <w:rPr>
          <w:bCs/>
          <w:b/>
        </w:rPr>
        <w:t xml:space="preserve">Construction.</w:t>
      </w:r>
      <w:r>
        <w:t xml:space="preserve"> </w:t>
      </w:r>
      <w:r>
        <w:t xml:space="preserve">Each primitive relational operator is exhibited as a Niles pipeline stage: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Operator</w:t>
            </w:r>
          </w:p>
        </w:tc>
        <w:tc>
          <w:tcPr/>
          <w:p>
            <w:pPr>
              <w:pStyle w:val="Compact"/>
              <w:jc w:val="left"/>
            </w:pPr>
            <w:r>
              <w:t xml:space="preserve">Niles</w:t>
            </w:r>
          </w:p>
        </w:tc>
      </w:tr>
      <w:tr>
        <w:tc>
          <w:tcPr/>
          <w:p>
            <w:pPr>
              <w:pStyle w:val="Compact"/>
              <w:jc w:val="left"/>
            </w:pPr>
            <w:r>
              <w:t xml:space="preserve">Selection σ</w:t>
            </w:r>
          </w:p>
        </w:tc>
        <w:tc>
          <w:tcPr/>
          <w:p>
            <w:pPr>
              <w:pStyle w:val="Compact"/>
              <w:jc w:val="left"/>
            </w:pPr>
            <w:r>
              <w:rPr>
                <w:rStyle w:val="VerbatimChar"/>
              </w:rPr>
              <w:t xml:space="preserve">.where(pred)</w:t>
            </w:r>
          </w:p>
        </w:tc>
      </w:tr>
      <w:tr>
        <w:tc>
          <w:tcPr/>
          <w:p>
            <w:pPr>
              <w:pStyle w:val="Compact"/>
              <w:jc w:val="left"/>
            </w:pPr>
            <w:r>
              <w:t xml:space="preserve">Projection π</w:t>
            </w:r>
          </w:p>
        </w:tc>
        <w:tc>
          <w:tcPr/>
          <w:p>
            <w:pPr>
              <w:pStyle w:val="Compact"/>
              <w:jc w:val="left"/>
            </w:pPr>
            <w:r>
              <w:rPr>
                <w:rStyle w:val="VerbatimChar"/>
              </w:rPr>
              <w:t xml:space="preserve">.map(f)</w:t>
            </w:r>
          </w:p>
        </w:tc>
      </w:tr>
      <w:tr>
        <w:tc>
          <w:tcPr/>
          <w:p>
            <w:pPr>
              <w:pStyle w:val="Compact"/>
              <w:jc w:val="left"/>
            </w:pPr>
            <w:r>
              <w:t xml:space="preserve">Cartesian product ×</w:t>
            </w:r>
          </w:p>
        </w:tc>
        <w:tc>
          <w:tcPr/>
          <w:p>
            <w:pPr>
              <w:pStyle w:val="Compact"/>
              <w:jc w:val="left"/>
            </w:pPr>
            <w:r>
              <w:rPr>
                <w:rStyle w:val="VerbatimChar"/>
              </w:rPr>
              <w:t xml:space="preserve">.join(other, \|_,_\| true)</w:t>
            </w:r>
          </w:p>
        </w:tc>
      </w:tr>
      <w:tr>
        <w:tc>
          <w:tcPr/>
          <w:p>
            <w:pPr>
              <w:pStyle w:val="Compact"/>
              <w:jc w:val="left"/>
            </w:pPr>
            <w:r>
              <w:t xml:space="preserve">Union ∪</w:t>
            </w:r>
          </w:p>
        </w:tc>
        <w:tc>
          <w:tcPr/>
          <w:p>
            <w:pPr>
              <w:pStyle w:val="Compact"/>
              <w:jc w:val="left"/>
            </w:pPr>
            <w:r>
              <w:rPr>
                <w:rStyle w:val="VerbatimChar"/>
              </w:rPr>
              <w:t xml:space="preserve">.union(other)</w:t>
            </w:r>
          </w:p>
        </w:tc>
      </w:tr>
      <w:tr>
        <w:tc>
          <w:tcPr/>
          <w:p>
            <w:pPr>
              <w:pStyle w:val="Compact"/>
              <w:jc w:val="left"/>
            </w:pPr>
            <w:r>
              <w:t xml:space="preserve">Difference −</w:t>
            </w:r>
          </w:p>
        </w:tc>
        <w:tc>
          <w:tcPr/>
          <w:p>
            <w:pPr>
              <w:pStyle w:val="Compact"/>
              <w:jc w:val="left"/>
            </w:pPr>
            <w:r>
              <w:rPr>
                <w:rStyle w:val="VerbatimChar"/>
              </w:rPr>
              <w:t xml:space="preserve">.except(other)</w:t>
            </w:r>
          </w:p>
        </w:tc>
      </w:tr>
      <w:tr>
        <w:tc>
          <w:tcPr/>
          <w:p>
            <w:pPr>
              <w:pStyle w:val="Compact"/>
              <w:jc w:val="left"/>
            </w:pPr>
            <w:r>
              <w:t xml:space="preserve">Rename ρ</w:t>
            </w:r>
          </w:p>
        </w:tc>
        <w:tc>
          <w:tcPr/>
          <w:p>
            <w:pPr>
              <w:pStyle w:val="Compact"/>
              <w:jc w:val="left"/>
            </w:pPr>
            <w:r>
              <w:rPr>
                <w:rStyle w:val="VerbatimChar"/>
              </w:rPr>
              <w:t xml:space="preserve">.map</w:t>
            </w:r>
            <w:r>
              <w:t xml:space="preserve"> </w:t>
            </w:r>
            <w:r>
              <w:t xml:space="preserve">with field construction</w:t>
            </w:r>
          </w:p>
        </w:tc>
      </w:tr>
    </w:tbl>
    <w:p>
      <w:pPr>
        <w:pStyle w:val="BodyText"/>
      </w:pPr>
      <w:r>
        <w:t xml:space="preserve">Closure under composition holds because every stage returns a relation-typed value. Codd’s reduction of calculus expressions to algebra expressions then gives the result, and the modern development of algebra-equals-safe-calculus supplies the converse direction. ∎</w:t>
      </w:r>
    </w:p>
    <w:p>
      <w:pPr>
        <w:pStyle w:val="BodyText"/>
      </w:pPr>
      <w:r>
        <w:rPr>
          <w:bCs/>
          <w:b/>
        </w:rPr>
        <w:t xml:space="preserve">What this does and does not buy.</w:t>
      </w:r>
      <w:r>
        <w:t xml:space="preserve"> </w:t>
      </w:r>
      <w:r>
        <w:t xml:space="preserve">It is table stakes: it says nothing about recursion, aggregation, nulls or bag semantics, all of which SQL has and calculus does not. Any language claiming to replace SQL must clear this bar and then keep going.</w:t>
      </w:r>
    </w:p>
    <w:bookmarkEnd w:id="329"/>
    <w:bookmarkStart w:id="330" w:name="X78b911f2d9429de81f833caa7df33a831e2a879"/>
    <w:p>
      <w:pPr>
        <w:pStyle w:val="Heading2"/>
      </w:pPr>
      <w:r>
        <w:t xml:space="preserve">H.3 Claim 2 — Fixpoint Completeness over the Epoch-Ordered Base</w:t>
      </w:r>
    </w:p>
    <w:p>
      <w:pPr>
        <w:pStyle w:val="FirstParagraph"/>
      </w:pPr>
      <w:r>
        <w:rPr>
          <w:bCs/>
          <w:b/>
        </w:rPr>
        <w:t xml:space="preserve">Statement.</w:t>
      </w:r>
      <w:r>
        <w:t xml:space="preserve"> </w:t>
      </w:r>
      <w:r>
        <w:t xml:space="preserve">Niles-Core with guarded recursion expresses exactly the queries computable in polynomial time over the base.</w:t>
      </w:r>
    </w:p>
    <w:p>
      <w:pPr>
        <w:pStyle w:val="BodyText"/>
      </w:pPr>
      <w:r>
        <w:rPr>
          <w:bCs/>
          <w:b/>
        </w:rPr>
        <w:t xml:space="preserve">Proof.</w:t>
      </w:r>
      <w:r>
        <w:t xml:space="preserve"> </w:t>
      </w:r>
      <w:r>
        <w:t xml:space="preserve">Niles-Core includes relational calculus (H.2) and a least-fixpoint construct (</w:t>
      </w:r>
      <w:r>
        <w:rPr>
          <w:rStyle w:val="VerbatimChar"/>
        </w:rPr>
        <w:t xml:space="preserve">.fixpoint(step) guard measure(m)</w:t>
      </w:r>
      <w:r>
        <w:t xml:space="preserve">). Immerman’s theorem states that relational calculus plus least fixpoint,</w:t>
      </w:r>
      <w:r>
        <w:t xml:space="preserve"> </w:t>
      </w:r>
      <w:r>
        <w:rPr>
          <w:iCs/>
          <w:i/>
        </w:rPr>
        <w:t xml:space="preserve">over structures containing a total ordering relation</w:t>
      </w:r>
      <w:r>
        <w:t xml:space="preserve">, expresses exactly the PTIME queries; the result was obtained independently by Vardi.</w:t>
      </w:r>
    </w:p>
    <w:p>
      <w:pPr>
        <w:pStyle w:val="BodyText"/>
      </w:pPr>
      <w:r>
        <w:t xml:space="preserve">The ordering hypothesis is the usual obstacle to applying this theorem to relational data, since a relation is an unordered set and the theorem fails without order.</w:t>
      </w:r>
      <w:r>
        <w:t xml:space="preserve"> </w:t>
      </w:r>
      <w:r>
        <w:rPr>
          <w:bCs/>
          <w:b/>
        </w:rPr>
        <w:t xml:space="preserve">Here the hypothesis is satisfied by the data model itself.</w:t>
      </w:r>
      <w:r>
        <w:t xml:space="preserve"> </w:t>
      </w:r>
      <w:r>
        <w:t xml:space="preserve">The base is an epoch-ordered sequence of appended rows; epochs are totally ordered by construction (Definition 3.1), and rows within an epoch are canonically ordered by the serialization that the hash chain commits to. The total order is therefore not an assumption added for the proof but a property the system must have anyway for its hash chain and its determinism obligation.</w:t>
      </w:r>
    </w:p>
    <w:p>
      <w:pPr>
        <w:pStyle w:val="BodyText"/>
      </w:pPr>
      <w:r>
        <w:t xml:space="preserve">Guardedness restricts recursion to well-founded measures, which is what keeps evaluation in PTIME rather than merely computable, and is checked by the compiler (Section 9.12). ∎</w:t>
      </w:r>
    </w:p>
    <w:p>
      <w:pPr>
        <w:pStyle w:val="BodyText"/>
      </w:pPr>
      <w:r>
        <w:rPr>
          <w:bCs/>
          <w:b/>
        </w:rPr>
        <w:t xml:space="preserve">Why this is the right headline claim.</w:t>
      </w:r>
      <w:r>
        <w:t xml:space="preserve"> </w:t>
      </w:r>
      <w:r>
        <w:t xml:space="preserve">It is a theorem, it is checkable, it is strictly stronger than relational completeness, and it captures a real capability SQL only acquired by extension (recursive queries). It also has an agreeable structural moral: the design decision taken for auditability — total order over an immutable base — is the same decision that buys the expressiveness result.</w:t>
      </w:r>
    </w:p>
    <w:bookmarkEnd w:id="330"/>
    <w:bookmarkStart w:id="331" w:name="h.4-claim-3-the-sql-core-translation"/>
    <w:p>
      <w:pPr>
        <w:pStyle w:val="Heading2"/>
      </w:pPr>
      <w:r>
        <w:t xml:space="preserve">H.4 Claim 3 — The SQL-Core Translation</w:t>
      </w:r>
    </w:p>
    <w:p>
      <w:pPr>
        <w:pStyle w:val="FirstParagraph"/>
      </w:pPr>
      <w:r>
        <w:rPr>
          <w:bCs/>
          <w:b/>
        </w:rPr>
        <w:t xml:space="preserve">Statement.</w:t>
      </w:r>
      <w:r>
        <w:t xml:space="preserve"> </w:t>
      </w:r>
      <w:r>
        <w:t xml:space="preserve">There is a total, semantics-preserving compilation of SQL-Core into the Niles IR, such that an SQL-Core query and its Niles counterpart lower to α-equivalent circuits.</w:t>
      </w:r>
    </w:p>
    <w:p>
      <w:pPr>
        <w:pStyle w:val="BodyText"/>
      </w:pPr>
      <w:r>
        <w:rPr>
          <w:bCs/>
          <w:b/>
        </w:rPr>
        <w:t xml:space="preserve">SQL-Core, stated precisely.</w:t>
      </w:r>
      <w:r>
        <w:t xml:space="preserve"> </w:t>
      </w:r>
      <w:r>
        <w:t xml:space="preserve">The fragment covers:</w:t>
      </w:r>
      <w:r>
        <w:t xml:space="preserve"> </w:t>
      </w:r>
      <w:r>
        <w:rPr>
          <w:rStyle w:val="VerbatimChar"/>
        </w:rPr>
        <w:t xml:space="preserve">SELECT</w:t>
      </w:r>
      <w:r>
        <w:t xml:space="preserve"> </w:t>
      </w:r>
      <w:r>
        <w:t xml:space="preserve">with projection, expressions and aliases;</w:t>
      </w:r>
      <w:r>
        <w:t xml:space="preserve"> </w:t>
      </w:r>
      <w:r>
        <w:rPr>
          <w:rStyle w:val="VerbatimChar"/>
        </w:rPr>
        <w:t xml:space="preserve">FROM</w:t>
      </w:r>
      <w:r>
        <w:t xml:space="preserve"> </w:t>
      </w:r>
      <w:r>
        <w:t xml:space="preserve">with base tables, subqueries and derived tables;</w:t>
      </w:r>
      <w:r>
        <w:t xml:space="preserve"> </w:t>
      </w:r>
      <w:r>
        <w:rPr>
          <w:rStyle w:val="VerbatimChar"/>
        </w:rPr>
        <w:t xml:space="preserve">JOIN</w:t>
      </w:r>
      <w:r>
        <w:t xml:space="preserve"> </w:t>
      </w:r>
      <w:r>
        <w:t xml:space="preserve">(inner, left, right, full, cross) with</w:t>
      </w:r>
      <w:r>
        <w:t xml:space="preserve"> </w:t>
      </w:r>
      <w:r>
        <w:rPr>
          <w:rStyle w:val="VerbatimChar"/>
        </w:rPr>
        <w:t xml:space="preserve">ON</w:t>
      </w:r>
      <w:r>
        <w:t xml:space="preserve"> </w:t>
      </w:r>
      <w:r>
        <w:t xml:space="preserve">and</w:t>
      </w:r>
      <w:r>
        <w:t xml:space="preserve"> </w:t>
      </w:r>
      <w:r>
        <w:rPr>
          <w:rStyle w:val="VerbatimChar"/>
        </w:rPr>
        <w:t xml:space="preserve">USING</w:t>
      </w:r>
      <w:r>
        <w:t xml:space="preserve">;</w:t>
      </w:r>
      <w:r>
        <w:t xml:space="preserve"> </w:t>
      </w:r>
      <w:r>
        <w:rPr>
          <w:rStyle w:val="VerbatimChar"/>
        </w:rPr>
        <w:t xml:space="preserve">WHERE</w:t>
      </w:r>
      <w:r>
        <w:t xml:space="preserve">;</w:t>
      </w:r>
      <w:r>
        <w:t xml:space="preserve"> </w:t>
      </w:r>
      <w:r>
        <w:rPr>
          <w:rStyle w:val="VerbatimChar"/>
        </w:rPr>
        <w:t xml:space="preserve">GROUP BY</w:t>
      </w:r>
      <w:r>
        <w:t xml:space="preserve"> </w:t>
      </w:r>
      <w:r>
        <w:t xml:space="preserve">with</w:t>
      </w:r>
      <w:r>
        <w:t xml:space="preserve"> </w:t>
      </w:r>
      <w:r>
        <w:rPr>
          <w:rStyle w:val="VerbatimChar"/>
        </w:rPr>
        <w:t xml:space="preserve">HAVING</w:t>
      </w:r>
      <w:r>
        <w:t xml:space="preserve">; aggregate functions (</w:t>
      </w:r>
      <w:r>
        <w:rPr>
          <w:rStyle w:val="VerbatimChar"/>
        </w:rPr>
        <w:t xml:space="preserve">COUNT</w:t>
      </w:r>
      <w:r>
        <w:t xml:space="preserve">,</w:t>
      </w:r>
      <w:r>
        <w:t xml:space="preserve">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COUNT DISTINCT</w:t>
      </w:r>
      <w:r>
        <w:t xml:space="preserve">);</w:t>
      </w:r>
      <w:r>
        <w:t xml:space="preserve"> </w:t>
      </w:r>
      <w:r>
        <w:rPr>
          <w:rStyle w:val="VerbatimChar"/>
        </w:rPr>
        <w:t xml:space="preserve">ORDER BY</w:t>
      </w:r>
      <w:r>
        <w:t xml:space="preserve">,</w:t>
      </w:r>
      <w:r>
        <w:t xml:space="preserve"> </w:t>
      </w:r>
      <w:r>
        <w:rPr>
          <w:rStyle w:val="VerbatimChar"/>
        </w:rPr>
        <w:t xml:space="preserve">LIMIT</w:t>
      </w:r>
      <w:r>
        <w:t xml:space="preserve">,</w:t>
      </w:r>
      <w:r>
        <w:t xml:space="preserve"> </w:t>
      </w:r>
      <w:r>
        <w:rPr>
          <w:rStyle w:val="VerbatimChar"/>
        </w:rPr>
        <w:t xml:space="preserve">OFFSET</w:t>
      </w:r>
      <w:r>
        <w:t xml:space="preserve">; set operations (</w:t>
      </w:r>
      <w:r>
        <w:rPr>
          <w:rStyle w:val="VerbatimChar"/>
        </w:rPr>
        <w:t xml:space="preserve">UNION</w:t>
      </w:r>
      <w:r>
        <w:t xml:space="preserve">,</w:t>
      </w:r>
      <w:r>
        <w:t xml:space="preserve"> </w:t>
      </w:r>
      <w:r>
        <w:rPr>
          <w:rStyle w:val="VerbatimChar"/>
        </w:rPr>
        <w:t xml:space="preserve">UNION ALL</w:t>
      </w:r>
      <w:r>
        <w:t xml:space="preserve">,</w:t>
      </w:r>
      <w:r>
        <w:t xml:space="preserve"> </w:t>
      </w:r>
      <w:r>
        <w:rPr>
          <w:rStyle w:val="VerbatimChar"/>
        </w:rPr>
        <w:t xml:space="preserve">EXCEPT</w:t>
      </w:r>
      <w:r>
        <w:t xml:space="preserve">,</w:t>
      </w:r>
      <w:r>
        <w:t xml:space="preserve"> </w:t>
      </w:r>
      <w:r>
        <w:rPr>
          <w:rStyle w:val="VerbatimChar"/>
        </w:rPr>
        <w:t xml:space="preserve">INTERSECT</w:t>
      </w:r>
      <w:r>
        <w:t xml:space="preserve">); scalar and correlated subqueries in the positions where they are safe;</w:t>
      </w:r>
      <w:r>
        <w:t xml:space="preserve"> </w:t>
      </w:r>
      <w:r>
        <w:rPr>
          <w:rStyle w:val="VerbatimChar"/>
        </w:rPr>
        <w:t xml:space="preserve">CASE</w:t>
      </w:r>
      <w:r>
        <w:t xml:space="preserve">; three-valued logic with</w:t>
      </w:r>
      <w:r>
        <w:t xml:space="preserve"> </w:t>
      </w:r>
      <w:r>
        <w:rPr>
          <w:rStyle w:val="VerbatimChar"/>
        </w:rPr>
        <w:t xml:space="preserve">NULL</w:t>
      </w:r>
      <w:r>
        <w:t xml:space="preserve">,</w:t>
      </w:r>
      <w:r>
        <w:t xml:space="preserve"> </w:t>
      </w:r>
      <w:r>
        <w:rPr>
          <w:rStyle w:val="VerbatimChar"/>
        </w:rPr>
        <w:t xml:space="preserve">IS NULL</w:t>
      </w:r>
      <w:r>
        <w:t xml:space="preserve">, and null-propagating comparisons;</w:t>
      </w:r>
      <w:r>
        <w:t xml:space="preserve"> </w:t>
      </w:r>
      <w:r>
        <w:rPr>
          <w:bCs/>
          <w:b/>
        </w:rPr>
        <w:t xml:space="preserve">bag semantics</w:t>
      </w:r>
      <w:r>
        <w:t xml:space="preserve"> </w:t>
      </w:r>
      <w:r>
        <w:t xml:space="preserve">including duplicate preservation and</w:t>
      </w:r>
      <w:r>
        <w:t xml:space="preserve"> </w:t>
      </w:r>
      <w:r>
        <w:rPr>
          <w:rStyle w:val="VerbatimChar"/>
        </w:rPr>
        <w:t xml:space="preserve">DISTINCT</w:t>
      </w:r>
      <w:r>
        <w:t xml:space="preserve">;</w:t>
      </w:r>
      <w:r>
        <w:t xml:space="preserve"> </w:t>
      </w:r>
      <w:r>
        <w:rPr>
          <w:rStyle w:val="VerbatimChar"/>
        </w:rPr>
        <w:t xml:space="preserve">WITH</w:t>
      </w:r>
      <w:r>
        <w:t xml:space="preserve"> </w:t>
      </w:r>
      <w:r>
        <w:t xml:space="preserve">and</w:t>
      </w:r>
      <w:r>
        <w:t xml:space="preserve"> </w:t>
      </w:r>
      <w:r>
        <w:rPr>
          <w:rStyle w:val="VerbatimChar"/>
        </w:rPr>
        <w:t xml:space="preserve">WITH RECURSIVE</w:t>
      </w:r>
      <w:r>
        <w:t xml:space="preserve"> </w:t>
      </w:r>
      <w:r>
        <w:t xml:space="preserve">(the latter mapping to guarded fixpoint); DDL (</w:t>
      </w:r>
      <w:r>
        <w:rPr>
          <w:rStyle w:val="VerbatimChar"/>
        </w:rPr>
        <w:t xml:space="preserve">CREATE TABLE</w:t>
      </w:r>
      <w:r>
        <w:t xml:space="preserve">,</w:t>
      </w:r>
      <w:r>
        <w:t xml:space="preserve"> </w:t>
      </w:r>
      <w:r>
        <w:rPr>
          <w:rStyle w:val="VerbatimChar"/>
        </w:rPr>
        <w:t xml:space="preserve">CREATE VIEW</w:t>
      </w:r>
      <w:r>
        <w:t xml:space="preserve">,</w:t>
      </w:r>
      <w:r>
        <w:t xml:space="preserve"> </w:t>
      </w:r>
      <w:r>
        <w:rPr>
          <w:rStyle w:val="VerbatimChar"/>
        </w:rPr>
        <w:t xml:space="preserve">CREATE INDEX</w:t>
      </w:r>
      <w:r>
        <w:t xml:space="preserve">, constraints); DML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restricted to</w:t>
      </w:r>
      <w:r>
        <w:t xml:space="preserve"> </w:t>
      </w:r>
      <w:r>
        <w:rPr>
          <w:rStyle w:val="VerbatimChar"/>
        </w:rPr>
        <w:t xml:space="preserve">table</w:t>
      </w:r>
      <w:r>
        <w:t xml:space="preserve"> </w:t>
      </w:r>
      <w:r>
        <w:t xml:space="preserve">objects; TCL (</w:t>
      </w:r>
      <w:r>
        <w:rPr>
          <w:rStyle w:val="VerbatimChar"/>
        </w:rPr>
        <w:t xml:space="preserve">BEGIN</w:t>
      </w:r>
      <w:r>
        <w:t xml:space="preserve">,</w:t>
      </w:r>
      <w:r>
        <w:t xml:space="preserve"> </w:t>
      </w:r>
      <w:r>
        <w:rPr>
          <w:rStyle w:val="VerbatimChar"/>
        </w:rPr>
        <w:t xml:space="preserve">COMMIT</w:t>
      </w:r>
      <w:r>
        <w:t xml:space="preserve">,</w:t>
      </w:r>
      <w:r>
        <w:t xml:space="preserve"> </w:t>
      </w:r>
      <w:r>
        <w:rPr>
          <w:rStyle w:val="VerbatimChar"/>
        </w:rPr>
        <w:t xml:space="preserve">ROLLBACK</w:t>
      </w:r>
      <w:r>
        <w:t xml:space="preserve">); DCL (</w:t>
      </w:r>
      <w:r>
        <w:rPr>
          <w:rStyle w:val="VerbatimChar"/>
        </w:rPr>
        <w:t xml:space="preserve">GRANT</w:t>
      </w:r>
      <w:r>
        <w:t xml:space="preserve">,</w:t>
      </w:r>
      <w:r>
        <w:t xml:space="preserve"> </w:t>
      </w:r>
      <w:r>
        <w:rPr>
          <w:rStyle w:val="VerbatimChar"/>
        </w:rPr>
        <w:t xml:space="preserve">REVOKE</w:t>
      </w:r>
      <w:r>
        <w:t xml:space="preserve">); and the temporal forms of the standard’s system-versioned tables (</w:t>
      </w:r>
      <w:r>
        <w:rPr>
          <w:rStyle w:val="VerbatimChar"/>
        </w:rPr>
        <w:t xml:space="preserve">AS OF</w:t>
      </w:r>
      <w:r>
        <w:t xml:space="preserve">, period predicates), which map onto the epoch and valid-time axes.</w:t>
      </w:r>
    </w:p>
    <w:p>
      <w:pPr>
        <w:pStyle w:val="BodyText"/>
      </w:pPr>
      <w:r>
        <w:rPr>
          <w:bCs/>
          <w:b/>
        </w:rPr>
        <w:t xml:space="preserve">Explicitly outside the fragment</w:t>
      </w:r>
      <w:r>
        <w:t xml:space="preserve">, and refused with a named error rather than approximated: implementation-defined collation and locale behaviour; procedural extensions; cursors with update semantics; triggers (whose effects are expressed as views or transaction-tier code instead); user-defined types outside the declared type system; and any construct whose standard behaviour is implementation-defined in a way that would make the translation’s semantics-preservation claim vacuous.</w:t>
      </w:r>
    </w:p>
    <w:p>
      <w:pPr>
        <w:pStyle w:val="BodyText"/>
      </w:pPr>
      <w:r>
        <w:rPr>
          <w:bCs/>
          <w:b/>
        </w:rPr>
        <w:t xml:space="preserve">Proof method.</w:t>
      </w:r>
      <w:r>
        <w:t xml:space="preserve"> </w:t>
      </w:r>
      <w:r>
        <w:t xml:space="preserve">Structural induction on the fragment’s grammar. For each production, a lowering rule into IR is given, and the induction hypothesis is that the rule preserves the bag-semantics denotation with null handling. The interesting cases are:</w:t>
      </w:r>
      <w:r>
        <w:t xml:space="preserve"> </w:t>
      </w:r>
      <w:r>
        <w:rPr>
          <w:rStyle w:val="VerbatimChar"/>
        </w:rPr>
        <w:t xml:space="preserve">GROUP BY</w:t>
      </w:r>
      <w:r>
        <w:t xml:space="preserve"> </w:t>
      </w:r>
      <w:r>
        <w:t xml:space="preserve">with</w:t>
      </w:r>
      <w:r>
        <w:t xml:space="preserve"> </w:t>
      </w:r>
      <w:r>
        <w:rPr>
          <w:rStyle w:val="VerbatimChar"/>
        </w:rPr>
        <w:t xml:space="preserve">HAVING</w:t>
      </w:r>
      <w:r>
        <w:t xml:space="preserve"> </w:t>
      </w:r>
      <w:r>
        <w:t xml:space="preserve">over bags, where the delta form must handle group emptiness;</w:t>
      </w:r>
      <w:r>
        <w:t xml:space="preserve"> </w:t>
      </w:r>
      <w:r>
        <w:rPr>
          <w:rStyle w:val="VerbatimChar"/>
        </w:rPr>
        <w:t xml:space="preserve">LEFT JOIN</w:t>
      </w:r>
      <w:r>
        <w:t xml:space="preserve"> </w:t>
      </w:r>
      <w:r>
        <w:t xml:space="preserve">under incremental maintenance, where null-extension must be retracted correctly when a match later appears;</w:t>
      </w:r>
      <w:r>
        <w:t xml:space="preserve"> </w:t>
      </w:r>
      <w:r>
        <w:rPr>
          <w:rStyle w:val="VerbatimChar"/>
        </w:rPr>
        <w:t xml:space="preserve">DISTINCT</w:t>
      </w:r>
      <w:r>
        <w:t xml:space="preserve">, whose delta form is the one DBSP treats explicitly; three-valued logic, which is lowered to explicit option handling rather than left implicit; and</w:t>
      </w:r>
      <w:r>
        <w:t xml:space="preserve"> </w:t>
      </w:r>
      <w:r>
        <w:rPr>
          <w:rStyle w:val="VerbatimChar"/>
        </w:rPr>
        <w:t xml:space="preserve">WITH RECURSIVE</w:t>
      </w:r>
      <w:r>
        <w:t xml:space="preserve">, which lowers to the guarded fixpoint and therefore inherits the guardedness requirement — a recursive SQL query without a well-founded measure is rejected, and this is a</w:t>
      </w:r>
      <w:r>
        <w:t xml:space="preserve"> </w:t>
      </w:r>
      <w:r>
        <w:rPr>
          <w:iCs/>
          <w:i/>
        </w:rPr>
        <w:t xml:space="preserve">deliberate incompatibility</w:t>
      </w:r>
      <w:r>
        <w:t xml:space="preserve"> </w:t>
      </w:r>
      <w:r>
        <w:t xml:space="preserve">with SQL’s permissiveness, stated as such.</w:t>
      </w:r>
    </w:p>
    <w:p>
      <w:pPr>
        <w:pStyle w:val="BodyText"/>
      </w:pPr>
      <w:r>
        <w:rPr>
          <w:bCs/>
          <w:b/>
        </w:rPr>
        <w:t xml:space="preserve">Testing.</w:t>
      </w:r>
      <w:r>
        <w:t xml:space="preserve"> </w:t>
      </w:r>
      <w:r>
        <w:t xml:space="preserve">Golden-file α-equivalence over a corpus: each SQL-Core query and its hand-written Niles counterpart must lower to circuits equal up to renaming. Failures are specification bugs, not test flakes. The corpus is part of the build gate.</w:t>
      </w:r>
    </w:p>
    <w:bookmarkEnd w:id="331"/>
    <w:bookmarkStart w:id="332" w:name="h.5-the-outer-bound-computable-queries"/>
    <w:p>
      <w:pPr>
        <w:pStyle w:val="Heading2"/>
      </w:pPr>
      <w:r>
        <w:t xml:space="preserve">H.5 The Outer Bound: Computable Queries</w:t>
      </w:r>
    </w:p>
    <w:p>
      <w:pPr>
        <w:pStyle w:val="FirstParagraph"/>
      </w:pPr>
      <w:r>
        <w:t xml:space="preserve">The strongest available notion of completeness for a query language is Chandra and Harel’s</w:t>
      </w:r>
      <w:r>
        <w:t xml:space="preserve"> </w:t>
      </w:r>
      <w:r>
        <w:rPr>
          <w:iCs/>
          <w:i/>
        </w:rPr>
        <w:t xml:space="preserve">computable queries</w:t>
      </w:r>
      <w:r>
        <w:t xml:space="preserve"> </w:t>
      </w:r>
      <w:r>
        <w:t xml:space="preserve">— generic, isomorphism-preserving, partial recursive functions on databases. Niles’s UDF tier reaches this bar in the trivial sense that arbitrary computation is expressible there.</w:t>
      </w:r>
    </w:p>
    <w:p>
      <w:pPr>
        <w:pStyle w:val="BodyText"/>
      </w:pPr>
      <w:r>
        <w:rPr>
          <w:bCs/>
          <w:b/>
        </w:rPr>
        <w:t xml:space="preserve">The thesis does not claim it for the declarative tier, and the refusal is deliberate.</w:t>
      </w:r>
      <w:r>
        <w:t xml:space="preserve"> </w:t>
      </w:r>
      <w:r>
        <w:t xml:space="preserve">A declarative tier that can express arbitrary computation cannot be reliably planned, incrementalized, guarded, or reasoned about for cost — and Theorem 4.3’s cost law, Theorem 4.6(b)’s PTIME characterization, and the optimizer’s ability to choose materialization modes all depend on staying inside a tractable class. The tiering of Section 6.12 is thus an expressiveness decision, not merely an engineering one: computational generality is available, in a sandbox, outside the class where the guarantees live.</w:t>
      </w:r>
    </w:p>
    <w:bookmarkEnd w:id="332"/>
    <w:bookmarkStart w:id="333" w:name="h.6-comparative-position"/>
    <w:p>
      <w:pPr>
        <w:pStyle w:val="Heading2"/>
      </w:pPr>
      <w:r>
        <w:t xml:space="preserve">H.6 Comparative Position</w:t>
      </w:r>
    </w:p>
    <w:p>
      <w:pPr>
        <w:pStyle w:val="FirstParagraph"/>
      </w:pPr>
      <w:r>
        <w:t xml:space="preserve">A survey of the SQL-alternative landscape yields a finding worth recording. Among Datalog and its differential variants, PRQL, Malloy, EdgeQL, Morel, Logica, LINQ, KQL and Rel,</w:t>
      </w:r>
      <w:r>
        <w:t xml:space="preserve"> </w:t>
      </w:r>
      <w:r>
        <w:rPr>
          <w:bCs/>
          <w:b/>
        </w:rPr>
        <w:t xml:space="preserve">none claims formal SQL-superset expressive power</w:t>
      </w:r>
      <w:r>
        <w:t xml:space="preserve">. Several (PRQL, Malloy, Logica) compile to SQL and are therefore bounded above by it. One (KQL) is read-only by design. The one closest in ambition (Rel) argues for a full language rather than a sublanguage from design philosophy — a small core plus libraries — rather than from a theorem.</w:t>
      </w:r>
    </w:p>
    <w:p>
      <w:pPr>
        <w:pStyle w:val="BodyText"/>
      </w:pPr>
      <w:r>
        <w:t xml:space="preserve">A proved expressiveness result is therefore a genuinely novel artifact in this space, and it is a better claim than</w:t>
      </w:r>
      <w:r>
        <w:t xml:space="preserve"> </w:t>
      </w:r>
      <w:r>
        <w:t xml:space="preserve">“</w:t>
      </w:r>
      <w:r>
        <w:t xml:space="preserve">replaces SQL</w:t>
      </w:r>
      <w:r>
        <w:t xml:space="preserve">”</w:t>
      </w:r>
      <w:r>
        <w:t xml:space="preserve"> </w:t>
      </w:r>
      <w:r>
        <w:t xml:space="preserve">precisely because a reader can check it.</w:t>
      </w:r>
    </w:p>
    <w:bookmarkEnd w:id="333"/>
    <w:bookmarkStart w:id="334" w:name="h.7-workload-class-coverage"/>
    <w:p>
      <w:pPr>
        <w:pStyle w:val="Heading2"/>
      </w:pPr>
      <w:r>
        <w:t xml:space="preserve">H.7 Workload-Class Coverage</w:t>
      </w:r>
    </w:p>
    <w:p>
      <w:pPr>
        <w:pStyle w:val="FirstParagraph"/>
      </w:pPr>
      <w:r>
        <w:t xml:space="preserve">Generality of the</w:t>
      </w:r>
      <w:r>
        <w:t xml:space="preserve"> </w:t>
      </w:r>
      <w:r>
        <w:rPr>
          <w:iCs/>
          <w:i/>
        </w:rPr>
        <w:t xml:space="preserve">engine</w:t>
      </w:r>
      <w:r>
        <w:t xml:space="preserve">, as distinct from the language, is discharged constructively (S8). Each class is a REV over the same base with the same contract vocabulary; what differs is the circuit and the resident representation the optimizer chooses.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Class</w:t>
            </w:r>
          </w:p>
        </w:tc>
        <w:tc>
          <w:tcPr/>
          <w:p>
            <w:pPr>
              <w:pStyle w:val="Compact"/>
              <w:jc w:val="left"/>
            </w:pPr>
            <w:r>
              <w:t xml:space="preserve">Circuit</w:t>
            </w:r>
          </w:p>
        </w:tc>
        <w:tc>
          <w:tcPr/>
          <w:p>
            <w:pPr>
              <w:pStyle w:val="Compact"/>
              <w:jc w:val="left"/>
            </w:pPr>
            <w:r>
              <w:t xml:space="preserve">Resident representation</w:t>
            </w:r>
          </w:p>
        </w:tc>
        <w:tc>
          <w:tcPr/>
          <w:p>
            <w:pPr>
              <w:pStyle w:val="Compact"/>
              <w:jc w:val="left"/>
            </w:pPr>
            <w:r>
              <w:t xml:space="preserve">Precedent adopted</w:t>
            </w:r>
          </w:p>
        </w:tc>
      </w:tr>
      <w:tr>
        <w:tc>
          <w:tcPr/>
          <w:p>
            <w:pPr>
              <w:pStyle w:val="Compact"/>
              <w:jc w:val="left"/>
            </w:pPr>
            <w:r>
              <w:t xml:space="preserve">OLTP</w:t>
            </w:r>
          </w:p>
        </w:tc>
        <w:tc>
          <w:tcPr/>
          <w:p>
            <w:pPr>
              <w:pStyle w:val="Compact"/>
              <w:jc w:val="left"/>
            </w:pPr>
            <w:r>
              <w:t xml:space="preserve">Point lookups over keyed views</w:t>
            </w:r>
          </w:p>
        </w:tc>
        <w:tc>
          <w:tcPr/>
          <w:p>
            <w:pPr>
              <w:pStyle w:val="Compact"/>
              <w:jc w:val="left"/>
            </w:pPr>
            <w:r>
              <w:t xml:space="preserve">Row-shaped hash or tree index</w:t>
            </w:r>
          </w:p>
        </w:tc>
        <w:tc>
          <w:tcPr/>
          <w:p>
            <w:pPr>
              <w:pStyle w:val="Compact"/>
              <w:jc w:val="left"/>
            </w:pPr>
            <w:r>
              <w:t xml:space="preserve">Conventional</w:t>
            </w:r>
          </w:p>
        </w:tc>
      </w:tr>
      <w:tr>
        <w:tc>
          <w:tcPr/>
          <w:p>
            <w:pPr>
              <w:pStyle w:val="Compact"/>
              <w:jc w:val="left"/>
            </w:pPr>
            <w:r>
              <w:t xml:space="preserve">OLAP / HTAP</w:t>
            </w:r>
          </w:p>
        </w:tc>
        <w:tc>
          <w:tcPr/>
          <w:p>
            <w:pPr>
              <w:pStyle w:val="Compact"/>
              <w:jc w:val="left"/>
            </w:pPr>
            <w:r>
              <w:t xml:space="preserve">Aggregating circuits</w:t>
            </w:r>
          </w:p>
        </w:tc>
        <w:tc>
          <w:tcPr/>
          <w:p>
            <w:pPr>
              <w:pStyle w:val="Compact"/>
              <w:jc w:val="left"/>
            </w:pPr>
            <w:r>
              <w:t xml:space="preserve">Column-shaped,</w:t>
            </w:r>
            <w:r>
              <w:t xml:space="preserve"> </w:t>
            </w:r>
            <w:r>
              <w:rPr>
                <w:rStyle w:val="VerbatimChar"/>
              </w:rPr>
              <w:t xml:space="preserve">full</w:t>
            </w:r>
            <w:r>
              <w:t xml:space="preserve"> </w:t>
            </w:r>
            <w:r>
              <w:t xml:space="preserve">or</w:t>
            </w:r>
            <w:r>
              <w:t xml:space="preserve"> </w:t>
            </w:r>
            <w:r>
              <w:rPr>
                <w:rStyle w:val="VerbatimChar"/>
              </w:rPr>
              <w:t xml:space="preserve">tiered</w:t>
            </w:r>
          </w:p>
        </w:tc>
        <w:tc>
          <w:tcPr/>
          <w:p>
            <w:pPr>
              <w:pStyle w:val="Compact"/>
              <w:jc w:val="left"/>
            </w:pPr>
            <w:r>
              <w:t xml:space="preserve">Dual-format HTAP designs, obtained here as separate REVs over one immutable base</w:t>
            </w:r>
          </w:p>
        </w:tc>
      </w:tr>
      <w:tr>
        <w:tc>
          <w:tcPr/>
          <w:p>
            <w:pPr>
              <w:pStyle w:val="Compact"/>
              <w:jc w:val="left"/>
            </w:pPr>
            <w:r>
              <w:t xml:space="preserve">Time-series</w:t>
            </w:r>
          </w:p>
        </w:tc>
        <w:tc>
          <w:tcPr/>
          <w:p>
            <w:pPr>
              <w:pStyle w:val="Compact"/>
              <w:jc w:val="left"/>
            </w:pPr>
            <w:r>
              <w:t xml:space="preserve">Windowed aggregation over the valid-time axis</w:t>
            </w:r>
          </w:p>
        </w:tc>
        <w:tc>
          <w:tcPr/>
          <w:p>
            <w:pPr>
              <w:pStyle w:val="Compact"/>
              <w:jc w:val="left"/>
            </w:pPr>
            <w:r>
              <w:t xml:space="preserve">Compressed, time-partitioned</w:t>
            </w:r>
          </w:p>
        </w:tc>
        <w:tc>
          <w:tcPr/>
          <w:p>
            <w:pPr>
              <w:pStyle w:val="Compact"/>
              <w:jc w:val="left"/>
            </w:pPr>
            <w:r>
              <w:t xml:space="preserve">Published delta-of-delta and XOR compression schemes</w:t>
            </w:r>
          </w:p>
        </w:tc>
      </w:tr>
      <w:tr>
        <w:tc>
          <w:tcPr/>
          <w:p>
            <w:pPr>
              <w:pStyle w:val="Compact"/>
              <w:jc w:val="left"/>
            </w:pPr>
            <w:r>
              <w:t xml:space="preserve">Document</w:t>
            </w:r>
          </w:p>
        </w:tc>
        <w:tc>
          <w:tcPr/>
          <w:p>
            <w:pPr>
              <w:pStyle w:val="Compact"/>
              <w:jc w:val="left"/>
            </w:pPr>
            <w:r>
              <w:t xml:space="preserve">Path extraction over a semi-structured column</w:t>
            </w:r>
          </w:p>
        </w:tc>
        <w:tc>
          <w:tcPr/>
          <w:p>
            <w:pPr>
              <w:pStyle w:val="Compact"/>
              <w:jc w:val="left"/>
            </w:pPr>
            <w:r>
              <w:t xml:space="preserve">Path-indexed</w:t>
            </w:r>
          </w:p>
        </w:tc>
        <w:tc>
          <w:tcPr/>
          <w:p>
            <w:pPr>
              <w:pStyle w:val="Compact"/>
              <w:jc w:val="left"/>
            </w:pPr>
            <w:r>
              <w:t xml:space="preserve">Decomposed binary representation; schema-agnostic tree-of-paths indexing</w:t>
            </w:r>
          </w:p>
        </w:tc>
      </w:tr>
      <w:tr>
        <w:tc>
          <w:tcPr/>
          <w:p>
            <w:pPr>
              <w:pStyle w:val="Compact"/>
              <w:jc w:val="left"/>
            </w:pPr>
            <w:r>
              <w:t xml:space="preserve">Graph</w:t>
            </w:r>
          </w:p>
        </w:tc>
        <w:tc>
          <w:tcPr/>
          <w:p>
            <w:pPr>
              <w:pStyle w:val="Compact"/>
              <w:jc w:val="left"/>
            </w:pPr>
            <w:r>
              <w:t xml:space="preserve">Guarded fixpoint over an edge base</w:t>
            </w:r>
          </w:p>
        </w:tc>
        <w:tc>
          <w:tcPr/>
          <w:p>
            <w:pPr>
              <w:pStyle w:val="Compact"/>
              <w:jc w:val="left"/>
            </w:pPr>
            <w:r>
              <w:t xml:space="preserve">Adjacency-shaped</w:t>
            </w:r>
          </w:p>
        </w:tc>
        <w:tc>
          <w:tcPr/>
          <w:p>
            <w:pPr>
              <w:pStyle w:val="Compact"/>
              <w:jc w:val="left"/>
            </w:pPr>
            <w:r>
              <w:t xml:space="preserve">The standardized property-graph pattern vocabulary</w:t>
            </w:r>
          </w:p>
        </w:tc>
      </w:tr>
      <w:tr>
        <w:tc>
          <w:tcPr/>
          <w:p>
            <w:pPr>
              <w:pStyle w:val="Compact"/>
              <w:jc w:val="left"/>
            </w:pPr>
            <w:r>
              <w:t xml:space="preserve">Search</w:t>
            </w:r>
          </w:p>
        </w:tc>
        <w:tc>
          <w:tcPr/>
          <w:p>
            <w:pPr>
              <w:pStyle w:val="Compact"/>
              <w:jc w:val="left"/>
            </w:pPr>
            <w:r>
              <w:t xml:space="preserve">Term-indexing circuit</w:t>
            </w:r>
          </w:p>
        </w:tc>
        <w:tc>
          <w:tcPr/>
          <w:p>
            <w:pPr>
              <w:pStyle w:val="Compact"/>
              <w:jc w:val="left"/>
            </w:pPr>
            <w:r>
              <w:t xml:space="preserve">Immutable segments with tombstones and background merging</w:t>
            </w:r>
          </w:p>
        </w:tc>
        <w:tc>
          <w:tcPr/>
          <w:p>
            <w:pPr>
              <w:pStyle w:val="Compact"/>
              <w:jc w:val="left"/>
            </w:pPr>
            <w:r>
              <w:t xml:space="preserve">The two-decade production existence proof that this architecture serves search</w:t>
            </w:r>
          </w:p>
        </w:tc>
      </w:tr>
    </w:tbl>
    <w:p>
      <w:pPr>
        <w:pStyle w:val="BodyText"/>
      </w:pPr>
      <w:r>
        <w:t xml:space="preserve">The claim being made is narrow and defensible: not that one storage format serves all workloads, but that one</w:t>
      </w:r>
      <w:r>
        <w:t xml:space="preserve"> </w:t>
      </w:r>
      <w:r>
        <w:rPr>
          <w:iCs/>
          <w:i/>
        </w:rPr>
        <w:t xml:space="preserve">semantics</w:t>
      </w:r>
      <w:r>
        <w:t xml:space="preserve"> </w:t>
      </w:r>
      <w:r>
        <w:t xml:space="preserve">does, and that format is the optimizer’s choice under Theorem 4.5(a)’s safety clause. The falsifier is a workload class requiring a kernel change, which Section 9.11 audits.</w:t>
      </w:r>
    </w:p>
    <w:bookmarkEnd w:id="334"/>
    <w:bookmarkStart w:id="335" w:name="h.8-summary-of-what-is-claimed"/>
    <w:p>
      <w:pPr>
        <w:pStyle w:val="Heading2"/>
      </w:pPr>
      <w:r>
        <w:t xml:space="preserve">H.8 Summary of What Is Claimed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Status</w:t>
            </w:r>
          </w:p>
        </w:tc>
      </w:tr>
      <w:tr>
        <w:tc>
          <w:tcPr/>
          <w:p>
            <w:pPr>
              <w:pStyle w:val="Compact"/>
              <w:jc w:val="left"/>
            </w:pPr>
            <w:r>
              <w:t xml:space="preserve">Relational completeness</w:t>
            </w:r>
          </w:p>
        </w:tc>
        <w:tc>
          <w:tcPr/>
          <w:p>
            <w:pPr>
              <w:pStyle w:val="Compact"/>
              <w:jc w:val="left"/>
            </w:pPr>
            <w:r>
              <w:t xml:space="preserve">Proved (H.2)</w:t>
            </w:r>
          </w:p>
        </w:tc>
      </w:tr>
      <w:tr>
        <w:tc>
          <w:tcPr/>
          <w:p>
            <w:pPr>
              <w:pStyle w:val="Compact"/>
              <w:jc w:val="left"/>
            </w:pPr>
            <w:r>
              <w:t xml:space="preserve">Fixpoint completeness over the epoch-ordered base = PTIME</w:t>
            </w:r>
          </w:p>
        </w:tc>
        <w:tc>
          <w:tcPr/>
          <w:p>
            <w:pPr>
              <w:pStyle w:val="Compact"/>
              <w:jc w:val="left"/>
            </w:pPr>
            <w:r>
              <w:t xml:space="preserve">Proved by reduction to Immerman–Vardi, with the ordering hypothesis supplied by the data model (H.3)</w:t>
            </w:r>
          </w:p>
        </w:tc>
      </w:tr>
      <w:tr>
        <w:tc>
          <w:tcPr/>
          <w:p>
            <w:pPr>
              <w:pStyle w:val="Compact"/>
              <w:jc w:val="left"/>
            </w:pPr>
            <w:r>
              <w:t xml:space="preserve">SQL-Core translation, semantics-preserving</w:t>
            </w:r>
          </w:p>
        </w:tc>
        <w:tc>
          <w:tcPr/>
          <w:p>
            <w:pPr>
              <w:pStyle w:val="Compact"/>
              <w:jc w:val="left"/>
            </w:pPr>
            <w:r>
              <w:t xml:space="preserve">Constructed by structural induction, tested by golden-file equivalence (H.4)</w:t>
            </w:r>
          </w:p>
        </w:tc>
      </w:tr>
      <w:tr>
        <w:tc>
          <w:tcPr/>
          <w:p>
            <w:pPr>
              <w:pStyle w:val="Compact"/>
              <w:jc w:val="left"/>
            </w:pPr>
            <w:r>
              <w:t xml:space="preserve">Computable-query completeness of the declarative tier</w:t>
            </w:r>
          </w:p>
        </w:tc>
        <w:tc>
          <w:tcPr/>
          <w:p>
            <w:pPr>
              <w:pStyle w:val="Compact"/>
              <w:jc w:val="left"/>
            </w:pPr>
            <w:r>
              <w:rPr>
                <w:bCs/>
                <w:b/>
              </w:rPr>
              <w:t xml:space="preserve">Not claimed</w:t>
            </w:r>
            <w:r>
              <w:t xml:space="preserve">, deliberately (H.5)</w:t>
            </w:r>
          </w:p>
        </w:tc>
      </w:tr>
      <w:tr>
        <w:tc>
          <w:tcPr/>
          <w:p>
            <w:pPr>
              <w:pStyle w:val="Compact"/>
              <w:jc w:val="left"/>
            </w:pPr>
            <w:r>
              <w:t xml:space="preserve">Full SQL-standard compatibility including implementation-defined behaviour</w:t>
            </w:r>
          </w:p>
        </w:tc>
        <w:tc>
          <w:tcPr/>
          <w:p>
            <w:pPr>
              <w:pStyle w:val="Compact"/>
              <w:jc w:val="left"/>
            </w:pPr>
            <w:r>
              <w:rPr>
                <w:bCs/>
                <w:b/>
              </w:rPr>
              <w:t xml:space="preserve">Not claimed</w:t>
            </w:r>
            <w:r>
              <w:t xml:space="preserve">; out-of-fragment constructs fail loudly (H.4)</w:t>
            </w:r>
          </w:p>
        </w:tc>
      </w:tr>
      <w:tr>
        <w:tc>
          <w:tcPr/>
          <w:p>
            <w:pPr>
              <w:pStyle w:val="Compact"/>
              <w:jc w:val="left"/>
            </w:pPr>
            <w:r>
              <w:t xml:space="preserve">Workload-class coverage</w:t>
            </w:r>
          </w:p>
        </w:tc>
        <w:tc>
          <w:tcPr/>
          <w:p>
            <w:pPr>
              <w:pStyle w:val="Compact"/>
              <w:jc w:val="left"/>
            </w:pPr>
            <w:r>
              <w:t xml:space="preserve">Constructed and audited, not proved (H.7)</w:t>
            </w:r>
          </w:p>
        </w:tc>
      </w:tr>
    </w:tbl>
    <w:bookmarkEnd w:id="335"/>
    <w:bookmarkEnd w:id="336"/>
    <w:bookmarkStart w:id="346" w:name="X910976457b0ef08af857f9a15e5ec93e51f706e"/>
    <w:p>
      <w:pPr>
        <w:pStyle w:val="Heading1"/>
      </w:pPr>
      <w:r>
        <w:t xml:space="preserve">Appendix I. The Adaptive Materialization Optimizer: Algorithms and Analysis</w:t>
      </w:r>
    </w:p>
    <w:p>
      <w:pPr>
        <w:pStyle w:val="FirstParagraph"/>
      </w:pPr>
      <w:r>
        <w:t xml:space="preserve">This appendix gives Contribution 5 as implementable algorithms, with estimators, guarantees, and the offline procedure against which the online algorithm is graded.</w:t>
      </w:r>
    </w:p>
    <w:bookmarkStart w:id="337" w:name="i.1-the-decision-stated"/>
    <w:p>
      <w:pPr>
        <w:pStyle w:val="Heading2"/>
      </w:pPr>
      <w:r>
        <w:t xml:space="preserve">I.1 The Decision, Stated</w:t>
      </w:r>
    </w:p>
    <w:p>
      <w:pPr>
        <w:pStyle w:val="FirstParagraph"/>
      </w:pPr>
      <w:r>
        <w:t xml:space="preserve">For each (view V, key range R), choose a mode μ ∈ {absent, demand, full, spilled, tiered} minimizing expected total cost subject to (a) V’s consistency and freshness contract, (b) the global memory budget, and (c) pinning constraints.</w:t>
      </w:r>
    </w:p>
    <w:p>
      <w:pPr>
        <w:pStyle w:val="BodyText"/>
      </w:pPr>
      <w:r>
        <w:rPr>
          <w:bCs/>
          <w:b/>
        </w:rPr>
        <w:t xml:space="preserve">Why key</w:t>
      </w:r>
      <w:r>
        <w:rPr>
          <w:bCs/>
          <w:b/>
        </w:rPr>
        <w:t xml:space="preserve"> </w:t>
      </w:r>
      <w:r>
        <w:rPr>
          <w:iCs/>
          <w:i/>
          <w:bCs/>
          <w:b/>
        </w:rPr>
        <w:t xml:space="preserve">ranges</w:t>
      </w:r>
      <w:r>
        <w:rPr>
          <w:bCs/>
          <w:b/>
        </w:rPr>
        <w:t xml:space="preserve"> </w:t>
      </w:r>
      <w:r>
        <w:rPr>
          <w:bCs/>
          <w:b/>
        </w:rPr>
        <w:t xml:space="preserve">rather than keys.</w:t>
      </w:r>
      <w:r>
        <w:t xml:space="preserve"> </w:t>
      </w:r>
      <w:r>
        <w:t xml:space="preserve">Per-key decisions cost more to track than they save for cold keys, and per-view decisions are too coarse for a skewed distribution where a view’s hot head and cold tail want different modes. Ranges are formed by the key’s natural order (account identifier prefix, time bucket, hash bucket) and split or merged when their internal statistics diverge or converge — the same adaptive-refinement idea that adaptive indexing applies to physical layout, applied here to residency decisions.</w:t>
      </w:r>
    </w:p>
    <w:bookmarkEnd w:id="337"/>
    <w:bookmarkStart w:id="338" w:name="i.2-estimators"/>
    <w:p>
      <w:pPr>
        <w:pStyle w:val="Heading2"/>
      </w:pPr>
      <w:r>
        <w:t xml:space="preserve">I.2 Estimators</w:t>
      </w:r>
    </w:p>
    <w:p>
      <w:pPr>
        <w:pStyle w:val="FirstParagraph"/>
      </w:pPr>
      <w:r>
        <w:t xml:space="preserve">Per range R, maintained with exponentially weighted moving averages and periodic decay: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Update</w:t>
            </w:r>
          </w:p>
        </w:tc>
      </w:tr>
      <w:tr>
        <w:tc>
          <w:tcPr/>
          <w:p>
            <w:pPr>
              <w:pStyle w:val="Compact"/>
              <w:jc w:val="left"/>
            </w:pPr>
            <w:r>
              <w:t xml:space="preserve">λ_r(R)</w:t>
            </w:r>
          </w:p>
        </w:tc>
        <w:tc>
          <w:tcPr/>
          <w:p>
            <w:pPr>
              <w:pStyle w:val="Compact"/>
              <w:jc w:val="left"/>
            </w:pPr>
            <w:r>
              <w:t xml:space="preserve">Read arrival rate</w:t>
            </w:r>
          </w:p>
        </w:tc>
        <w:tc>
          <w:tcPr/>
          <w:p>
            <w:pPr>
              <w:pStyle w:val="Compact"/>
              <w:jc w:val="left"/>
            </w:pPr>
            <w:r>
              <w:t xml:space="preserve">EWMA over a sliding window</w:t>
            </w:r>
          </w:p>
        </w:tc>
      </w:tr>
      <w:tr>
        <w:tc>
          <w:tcPr/>
          <w:p>
            <w:pPr>
              <w:pStyle w:val="Compact"/>
              <w:jc w:val="left"/>
            </w:pPr>
            <w:r>
              <w:t xml:space="preserve">λ_w(R)</w:t>
            </w:r>
          </w:p>
        </w:tc>
        <w:tc>
          <w:tcPr/>
          <w:p>
            <w:pPr>
              <w:pStyle w:val="Compact"/>
              <w:jc w:val="left"/>
            </w:pPr>
            <w:r>
              <w:t xml:space="preserve">Write/update rate touching R</w:t>
            </w:r>
          </w:p>
        </w:tc>
        <w:tc>
          <w:tcPr/>
          <w:p>
            <w:pPr>
              <w:pStyle w:val="Compact"/>
              <w:jc w:val="left"/>
            </w:pPr>
            <w:r>
              <w:t xml:space="preserve">EWMA</w:t>
            </w:r>
          </w:p>
        </w:tc>
      </w:tr>
      <w:tr>
        <w:tc>
          <w:tcPr/>
          <w:p>
            <w:pPr>
              <w:pStyle w:val="Compact"/>
              <w:jc w:val="left"/>
            </w:pPr>
            <w:r>
              <w:t xml:space="preserve">ĉ_u(R)</w:t>
            </w:r>
          </w:p>
        </w:tc>
        <w:tc>
          <w:tcPr/>
          <w:p>
            <w:pPr>
              <w:pStyle w:val="Compact"/>
              <w:jc w:val="left"/>
            </w:pPr>
            <w:r>
              <w:t xml:space="preserve">Reconstruction cost (upquery path evaluation work)</w:t>
            </w:r>
          </w:p>
        </w:tc>
        <w:tc>
          <w:tcPr/>
          <w:p>
            <w:pPr>
              <w:pStyle w:val="Compact"/>
              <w:jc w:val="left"/>
            </w:pPr>
            <w:r>
              <w:t xml:space="preserve">EWMA of measured upqueries</w:t>
            </w:r>
          </w:p>
        </w:tc>
      </w:tr>
      <w:tr>
        <w:tc>
          <w:tcPr/>
          <w:p>
            <w:pPr>
              <w:pStyle w:val="Compact"/>
              <w:jc w:val="left"/>
            </w:pPr>
            <w:r>
              <w:t xml:space="preserve">L̂(R)</w:t>
            </w:r>
          </w:p>
        </w:tc>
        <w:tc>
          <w:tcPr/>
          <w:p>
            <w:pPr>
              <w:pStyle w:val="Compact"/>
              <w:jc w:val="left"/>
            </w:pPr>
            <w:r>
              <w:t xml:space="preserve">Reconstruction</w:t>
            </w:r>
            <w:r>
              <w:t xml:space="preserve"> </w:t>
            </w:r>
            <w:r>
              <w:rPr>
                <w:iCs/>
                <w:i/>
              </w:rPr>
              <w:t xml:space="preserve">latency</w:t>
            </w:r>
          </w:p>
        </w:tc>
        <w:tc>
          <w:tcPr/>
          <w:p>
            <w:pPr>
              <w:pStyle w:val="Compact"/>
              <w:jc w:val="left"/>
            </w:pPr>
            <w:r>
              <w:t xml:space="preserve">EWMA of measured upquery service time</w:t>
            </w:r>
          </w:p>
        </w:tc>
      </w:tr>
      <w:tr>
        <w:tc>
          <w:tcPr/>
          <w:p>
            <w:pPr>
              <w:pStyle w:val="Compact"/>
              <w:jc w:val="left"/>
            </w:pPr>
            <w:r>
              <w:rPr>
                <w:bCs/>
                <w:b/>
              </w:rPr>
              <w:t xml:space="preserve">Ẑ(R)</w:t>
            </w:r>
          </w:p>
        </w:tc>
        <w:tc>
          <w:tcPr/>
          <w:p>
            <w:pPr>
              <w:pStyle w:val="Compact"/>
              <w:jc w:val="left"/>
            </w:pPr>
            <w:r>
              <w:rPr>
                <w:bCs/>
                <w:b/>
              </w:rPr>
              <w:t xml:space="preserve">Delayed-hit ratio = L̂(R) · λ_r(R)</w:t>
            </w:r>
          </w:p>
        </w:tc>
        <w:tc>
          <w:tcPr/>
          <w:p>
            <w:pPr>
              <w:pStyle w:val="Compact"/>
              <w:jc w:val="left"/>
            </w:pPr>
            <w:r>
              <w:t xml:space="preserve">Derived</w:t>
            </w:r>
          </w:p>
        </w:tc>
      </w:tr>
      <w:tr>
        <w:tc>
          <w:tcPr/>
          <w:p>
            <w:pPr>
              <w:pStyle w:val="Compact"/>
              <w:jc w:val="left"/>
            </w:pPr>
            <w:r>
              <w:t xml:space="preserve">ĉ_a(R)</w:t>
            </w:r>
          </w:p>
        </w:tc>
        <w:tc>
          <w:tcPr/>
          <w:p>
            <w:pPr>
              <w:pStyle w:val="Compact"/>
              <w:jc w:val="left"/>
            </w:pPr>
            <w:r>
              <w:t xml:space="preserve">Per-epoch maintenance cost if materialized</w:t>
            </w:r>
          </w:p>
        </w:tc>
        <w:tc>
          <w:tcPr/>
          <w:p>
            <w:pPr>
              <w:pStyle w:val="Compact"/>
              <w:jc w:val="left"/>
            </w:pPr>
            <w:r>
              <w:t xml:space="preserve">EWMA of measured application</w:t>
            </w:r>
          </w:p>
        </w:tc>
      </w:tr>
      <w:tr>
        <w:tc>
          <w:tcPr/>
          <w:p>
            <w:pPr>
              <w:pStyle w:val="Compact"/>
              <w:jc w:val="left"/>
            </w:pPr>
            <w:r>
              <w:t xml:space="preserve">s(R)</w:t>
            </w:r>
          </w:p>
        </w:tc>
        <w:tc>
          <w:tcPr/>
          <w:p>
            <w:pPr>
              <w:pStyle w:val="Compact"/>
              <w:jc w:val="left"/>
            </w:pPr>
            <w:r>
              <w:t xml:space="preserve">Residency bytes</w:t>
            </w:r>
          </w:p>
        </w:tc>
        <w:tc>
          <w:tcPr/>
          <w:p>
            <w:pPr>
              <w:pStyle w:val="Compact"/>
              <w:jc w:val="left"/>
            </w:pPr>
            <w:r>
              <w:t xml:space="preserve">Measured</w:t>
            </w:r>
          </w:p>
        </w:tc>
      </w:tr>
      <w:tr>
        <w:tc>
          <w:tcPr/>
          <w:p>
            <w:pPr>
              <w:pStyle w:val="Compact"/>
              <w:jc w:val="left"/>
            </w:pPr>
            <w:r>
              <w:t xml:space="preserve">d̂(R)</w:t>
            </w:r>
          </w:p>
        </w:tc>
        <w:tc>
          <w:tcPr/>
          <w:p>
            <w:pPr>
              <w:pStyle w:val="Compact"/>
              <w:jc w:val="left"/>
            </w:pPr>
            <w:r>
              <w:t xml:space="preserve">Reuse-distance estimate</w:t>
            </w:r>
          </w:p>
        </w:tc>
        <w:tc>
          <w:tcPr/>
          <w:p>
            <w:pPr>
              <w:pStyle w:val="Compact"/>
              <w:jc w:val="left"/>
            </w:pPr>
            <w:r>
              <w:t xml:space="preserve">Sketch</w:t>
            </w:r>
          </w:p>
        </w:tc>
      </w:tr>
      <w:tr>
        <w:tc>
          <w:tcPr/>
          <w:p>
            <w:pPr>
              <w:pStyle w:val="Compact"/>
              <w:jc w:val="left"/>
            </w:pPr>
            <w:r>
              <w:t xml:space="preserve">Φ(ℓ)</w:t>
            </w:r>
          </w:p>
        </w:tc>
        <w:tc>
          <w:tcPr/>
          <w:p>
            <w:pPr>
              <w:pStyle w:val="Compact"/>
              <w:jc w:val="left"/>
            </w:pPr>
            <w:r>
              <w:t xml:space="preserve">Contract multiplier</w:t>
            </w:r>
          </w:p>
        </w:tc>
        <w:tc>
          <w:tcPr/>
          <w:p>
            <w:pPr>
              <w:pStyle w:val="Compact"/>
              <w:jc w:val="left"/>
            </w:pPr>
            <w:r>
              <w:t xml:space="preserve">From the view’s contract (§3.14)</w:t>
            </w:r>
          </w:p>
        </w:tc>
      </w:tr>
    </w:tbl>
    <w:p>
      <w:pPr>
        <w:pStyle w:val="BodyText"/>
      </w:pPr>
      <w:r>
        <w:t xml:space="preserve">Ẑ is the parameter the classical caching results omit and the delayed-hit literature identifies as decisive; it is measured directly rather than assumed, and it is reported with every experimental result (Section 5.5).</w:t>
      </w:r>
    </w:p>
    <w:bookmarkEnd w:id="338"/>
    <w:bookmarkStart w:id="339" w:name="X9748da76a101239a8a16eacb569a272e3bf2684"/>
    <w:p>
      <w:pPr>
        <w:pStyle w:val="Heading2"/>
      </w:pPr>
      <w:r>
        <w:t xml:space="preserve">I.3 Mode Selection: Rent-or-Buy with a Contract Multiplier</w:t>
      </w:r>
    </w:p>
    <w:p>
      <w:pPr>
        <w:pStyle w:val="SourceCode"/>
      </w:pPr>
      <w:r>
        <w:rPr>
          <w:rStyle w:val="VerbatimChar"/>
        </w:rPr>
        <w:t xml:space="preserve">on read-miss(R):</w:t>
      </w:r>
      <w:r>
        <w:br/>
      </w:r>
      <w:r>
        <w:rPr>
          <w:rStyle w:val="VerbatimChar"/>
        </w:rPr>
        <w:t xml:space="preserve">    spend[R] += ĉ_u(R) · (1 + Ẑ(R)) · Φ(ℓ_V)</w:t>
      </w:r>
      <w:r>
        <w:br/>
      </w:r>
      <w:r>
        <w:rPr>
          <w:rStyle w:val="VerbatimChar"/>
        </w:rPr>
        <w:t xml:space="preserve">    if spend[R] ≥ buy_cost(R):</w:t>
      </w:r>
      <w:r>
        <w:br/>
      </w:r>
      <w:r>
        <w:rPr>
          <w:rStyle w:val="VerbatimChar"/>
        </w:rPr>
        <w:t xml:space="preserve">        propose(R, full)                       # break-even rule</w:t>
      </w:r>
      <w:r>
        <w:br/>
      </w:r>
      <w:r>
        <w:rPr>
          <w:rStyle w:val="VerbatimChar"/>
        </w:rPr>
        <w:t xml:space="preserve">        spend[R] = 0</w:t>
      </w:r>
      <w:r>
        <w:br/>
      </w:r>
      <w:r>
        <w:br/>
      </w:r>
      <w:r>
        <w:rPr>
          <w:rStyle w:val="VerbatimChar"/>
        </w:rPr>
        <w:t xml:space="preserve">buy_cost(R) = ĉ_a(R) · horizon + s(R) · residency_price</w:t>
      </w:r>
      <w:r>
        <w:br/>
      </w:r>
      <w:r>
        <w:br/>
      </w:r>
      <w:r>
        <w:rPr>
          <w:rStyle w:val="VerbatimChar"/>
        </w:rPr>
        <w:t xml:space="preserve">on periodic review(R):</w:t>
      </w:r>
      <w:r>
        <w:br/>
      </w:r>
      <w:r>
        <w:rPr>
          <w:rStyle w:val="VerbatimChar"/>
        </w:rPr>
        <w:t xml:space="preserve">    if materialized(R) and utility(R) &lt; downgrade_threshold and dwell(R) ≥ min_dwell:</w:t>
      </w:r>
      <w:r>
        <w:br/>
      </w:r>
      <w:r>
        <w:rPr>
          <w:rStyle w:val="VerbatimChar"/>
        </w:rPr>
        <w:t xml:space="preserve">        propose(R, demand)</w:t>
      </w:r>
    </w:p>
    <w:p>
      <w:pPr>
        <w:pStyle w:val="FirstParagraph"/>
      </w:pPr>
      <w:r>
        <w:rPr>
          <w:bCs/>
          <w:b/>
        </w:rPr>
        <w:t xml:space="preserve">Guarantee (Theorem 4.5(d)).</w:t>
      </w:r>
      <w:r>
        <w:t xml:space="preserve"> </w:t>
      </w:r>
      <w:r>
        <w:t xml:space="preserve">With</w:t>
      </w:r>
      <w:r>
        <w:t xml:space="preserve"> </w:t>
      </w:r>
      <w:r>
        <w:rPr>
          <w:rStyle w:val="VerbatimChar"/>
        </w:rPr>
        <w:t xml:space="preserve">buy_cost</w:t>
      </w:r>
      <w:r>
        <w:t xml:space="preserve"> </w:t>
      </w:r>
      <w:r>
        <w:t xml:space="preserve">fixed and costs stationary, the deterministic break-even rule is 2-competitive against the offline optimum for the two-mode decision, and a randomized variant achieves a ratio approaching e/(e−1) ≈ 1.58, which is optimal for this class. The randomized variant is implemented behind a flag and compared in S7.</w:t>
      </w:r>
    </w:p>
    <w:p>
      <w:pPr>
        <w:pStyle w:val="BodyText"/>
      </w:pPr>
      <w:r>
        <w:rPr>
          <w:bCs/>
          <w:b/>
        </w:rPr>
        <w:t xml:space="preserve">Honest scope.</w:t>
      </w:r>
      <w:r>
        <w:t xml:space="preserve"> </w:t>
      </w:r>
      <w:r>
        <w:t xml:space="preserve">The guarantee is for the two-mode (demand versus full) decision under stationary costs. It does not survive non-stationarity, and it does not extend as stated to the five-mode lattice; I.6 says what does.</w:t>
      </w:r>
    </w:p>
    <w:bookmarkEnd w:id="339"/>
    <w:bookmarkStart w:id="340" w:name="Xee96a7a6fbdfd651820cd893cc296f19c90db4a"/>
    <w:p>
      <w:pPr>
        <w:pStyle w:val="Heading2"/>
      </w:pPr>
      <w:r>
        <w:t xml:space="preserve">I.4 Eviction Within</w:t>
      </w:r>
      <w:r>
        <w:t xml:space="preserve"> </w:t>
      </w:r>
      <w:r>
        <w:rPr>
          <w:rStyle w:val="VerbatimChar"/>
        </w:rPr>
        <w:t xml:space="preserve">demand</w:t>
      </w:r>
      <w:r>
        <w:t xml:space="preserve">: Cost-, Size- and Delay-Aware</w:t>
      </w:r>
    </w:p>
    <w:p>
      <w:pPr>
        <w:pStyle w:val="FirstParagraph"/>
      </w:pPr>
      <w:r>
        <w:t xml:space="preserve">Plain LRU is wrong here for two independent reasons: entries differ in reconstruction cost (upquery depth varies by circuit), and reconstruction takes time during which further requests queue.</w:t>
      </w:r>
    </w:p>
    <w:p>
      <w:pPr>
        <w:pStyle w:val="SourceCode"/>
      </w:pPr>
      <w:r>
        <w:rPr>
          <w:rStyle w:val="VerbatimChar"/>
        </w:rPr>
        <w:t xml:space="preserve"># Landlord-style credit, extended with the delayed-hit weighting</w:t>
      </w:r>
      <w:r>
        <w:br/>
      </w:r>
      <w:r>
        <w:rPr>
          <w:rStyle w:val="VerbatimChar"/>
        </w:rPr>
        <w:t xml:space="preserve">on admit(k):        credit[k] = ĉ_u(range(k)) · (1 + Ẑ(range(k))) · Φ(ℓ_V)</w:t>
      </w:r>
      <w:r>
        <w:br/>
      </w:r>
      <w:r>
        <w:rPr>
          <w:rStyle w:val="VerbatimChar"/>
        </w:rPr>
        <w:t xml:space="preserve">on pressure(δ):     for all resident k: credit[k] -= δ · s(k)</w:t>
      </w:r>
      <w:r>
        <w:br/>
      </w:r>
      <w:r>
        <w:rPr>
          <w:rStyle w:val="VerbatimChar"/>
        </w:rPr>
        <w:t xml:space="preserve">                    evict all k with credit[k] ≤ 0</w:t>
      </w:r>
      <w:r>
        <w:br/>
      </w:r>
      <w:r>
        <w:rPr>
          <w:rStyle w:val="VerbatimChar"/>
        </w:rPr>
        <w:t xml:space="preserve">on hit(k):          credit[k] = min(credit_max, ĉ_u · (1 + Ẑ) · Φ)   # refresh</w:t>
      </w:r>
    </w:p>
    <w:p>
      <w:pPr>
        <w:pStyle w:val="FirstParagraph"/>
      </w:pPr>
      <w:r>
        <w:rPr>
          <w:bCs/>
          <w:b/>
        </w:rPr>
        <w:t xml:space="preserve">Guarantee.</w:t>
      </w:r>
      <w:r>
        <w:t xml:space="preserve"> </w:t>
      </w:r>
      <w:r>
        <w:t xml:space="preserve">With uniform Ẑ, this is the file-caching discipline whose competitive bound is the resource-augmented k/(k−h+1) form — the correct generalization of the paging bound to heterogeneous size and retrieval cost. With non-uniform Ẑ the objective becomes aggregate delay, where the literature establishes that hit-rate-optimal policies (including the offline optimum for hit rate) are not latency-optimal, and reports a deterministic competitive lower bound of Ω(kZ) attributed to parallel work.</w:t>
      </w:r>
      <w:r>
        <w:t xml:space="preserve"> </w:t>
      </w:r>
      <w:r>
        <w:rPr>
          <w:bCs/>
          <w:b/>
        </w:rPr>
        <w:t xml:space="preserve">This thesis therefore claims no optimality in the delayed-hit regime</w:t>
      </w:r>
      <w:r>
        <w:t xml:space="preserve"> </w:t>
      </w:r>
      <w:r>
        <w:t xml:space="preserve">— only that a policy ignoring Ẑ is provably wrong, and that weighting by expected aggregate delay is the correct direction.</w:t>
      </w:r>
    </w:p>
    <w:bookmarkEnd w:id="340"/>
    <w:bookmarkStart w:id="341" w:name="i.5-spilled-and-tiered"/>
    <w:p>
      <w:pPr>
        <w:pStyle w:val="Heading2"/>
      </w:pPr>
      <w:r>
        <w:t xml:space="preserve">I.5 Spilled and Tiered</w:t>
      </w:r>
    </w:p>
    <w:p>
      <w:pPr>
        <w:pStyle w:val="FirstParagraph"/>
      </w:pPr>
      <w:r>
        <w:rPr>
          <w:rStyle w:val="VerbatimChar"/>
        </w:rPr>
        <w:t xml:space="preserve">spilled</w:t>
      </w:r>
      <w:r>
        <w:t xml:space="preserve"> </w:t>
      </w:r>
      <w:r>
        <w:t xml:space="preserve">and</w:t>
      </w:r>
      <w:r>
        <w:t xml:space="preserve"> </w:t>
      </w:r>
      <w:r>
        <w:rPr>
          <w:rStyle w:val="VerbatimChar"/>
        </w:rPr>
        <w:t xml:space="preserve">tiered</w:t>
      </w:r>
      <w:r>
        <w:t xml:space="preserve"> </w:t>
      </w:r>
      <w:r>
        <w:t xml:space="preserve">enter when a range’s residency cost is dominated by</w:t>
      </w:r>
      <w:r>
        <w:t xml:space="preserve"> </w:t>
      </w:r>
      <w:r>
        <w:rPr>
          <w:iCs/>
          <w:i/>
        </w:rPr>
        <w:t xml:space="preserve">size</w:t>
      </w:r>
      <w:r>
        <w:t xml:space="preserve"> </w:t>
      </w:r>
      <w:r>
        <w:t xml:space="preserve">rather than by maintenance:</w:t>
      </w:r>
    </w:p>
    <w:p>
      <w:pPr>
        <w:pStyle w:val="SourceCode"/>
      </w:pPr>
      <w:r>
        <w:rPr>
          <w:rStyle w:val="VerbatimChar"/>
        </w:rPr>
        <w:t xml:space="preserve">cost_demand(R) = λ_r(R) · miss(R) · ĉ_u(R) · (1 + Ẑ(R)) · Φ(ℓ)</w:t>
      </w:r>
      <w:r>
        <w:br/>
      </w:r>
      <w:r>
        <w:rPr>
          <w:rStyle w:val="VerbatimChar"/>
        </w:rPr>
        <w:t xml:space="preserve">cost_full(R)   = λ_w(R) · ĉ_a(R) + s(R) · residency_price</w:t>
      </w:r>
      <w:r>
        <w:br/>
      </w:r>
      <w:r>
        <w:rPr>
          <w:rStyle w:val="VerbatimChar"/>
        </w:rPr>
        <w:t xml:space="preserve">cost_spilled(R)= λ_w(R) · ĉ_a(R) + s(R) · storage_price + λ_r(R) · io_cost(R)</w:t>
      </w:r>
      <w:r>
        <w:br/>
      </w:r>
      <w:r>
        <w:rPr>
          <w:rStyle w:val="VerbatimChar"/>
        </w:rPr>
        <w:t xml:space="preserve">cost_tiered(R) = hot_share(R) · cost_full(R_hot) + (1 − hot_share(R)) · cost_spilled(R_cold)</w:t>
      </w:r>
      <w:r>
        <w:br/>
      </w:r>
      <w:r>
        <w:rPr>
          <w:rStyle w:val="VerbatimChar"/>
        </w:rPr>
        <w:t xml:space="preserve">choose argmin subject to contract feasibility</w:t>
      </w:r>
    </w:p>
    <w:p>
      <w:pPr>
        <w:pStyle w:val="FirstParagraph"/>
      </w:pPr>
      <w:r>
        <w:t xml:space="preserve">Feasibility is a hard filter, not a penalty term: a mode that cannot meet the view’s rung — for example</w:t>
      </w:r>
      <w:r>
        <w:t xml:space="preserve"> </w:t>
      </w:r>
      <w:r>
        <w:rPr>
          <w:rStyle w:val="VerbatimChar"/>
        </w:rPr>
        <w:t xml:space="preserve">spilled</w:t>
      </w:r>
      <w:r>
        <w:t xml:space="preserve"> </w:t>
      </w:r>
      <w:r>
        <w:t xml:space="preserve">where the I/O latency would breach an ℓ₅ authorization path’s budget — is removed from the candidate set before comparison. This is what makes Theorem 4.5(a)’s safety clause hold operationally as well as formally.</w:t>
      </w:r>
    </w:p>
    <w:bookmarkEnd w:id="341"/>
    <w:bookmarkStart w:id="342" w:name="X5956ebeedb4d2dbcf95a836c40a9ab61dcc5df5"/>
    <w:p>
      <w:pPr>
        <w:pStyle w:val="Heading2"/>
      </w:pPr>
      <w:r>
        <w:t xml:space="preserve">I.6 Hardness, and What Replaces the Classical Guarantee</w:t>
      </w:r>
    </w:p>
    <w:p>
      <w:pPr>
        <w:pStyle w:val="FirstParagraph"/>
      </w:pPr>
      <w:r>
        <w:rPr>
          <w:bCs/>
          <w:b/>
        </w:rPr>
        <w:t xml:space="preserve">Hardness.</w:t>
      </w:r>
      <w:r>
        <w:t xml:space="preserve"> </w:t>
      </w:r>
      <w:r>
        <w:t xml:space="preserve">The offline problem is NP-hard: restricted to two modes with unit residency and a linear per-read cost model it is view selection under a space budget, NP-complete by reduction from set cover.</w:t>
      </w:r>
    </w:p>
    <w:p>
      <w:pPr>
        <w:pStyle w:val="BodyText"/>
      </w:pPr>
      <w:r>
        <w:rPr>
          <w:bCs/>
          <w:b/>
        </w:rPr>
        <w:t xml:space="preserve">The negative result.</w:t>
      </w:r>
      <w:r>
        <w:t xml:space="preserve"> </w:t>
      </w:r>
      <w:r>
        <w:t xml:space="preserve">The classical greedy guarantee of (1 − 1/e) for view selection assumes a cost model in which answering a query costs the size of the view used. Partial materialization violates that assumption — cost depends on miss rate and reconstruction depth — so benefit is not submodular in general and the guarantee does not transfer. This is reported as a finding rather than elided; it is the most-cited guarantee in the view-selection literature and it does not survive the move to partial state.</w:t>
      </w:r>
    </w:p>
    <w:p>
      <w:pPr>
        <w:pStyle w:val="BodyText"/>
      </w:pPr>
      <w:r>
        <w:rPr>
          <w:bCs/>
          <w:b/>
        </w:rPr>
        <w:t xml:space="preserve">Two recoveries.</w:t>
      </w:r>
    </w:p>
    <w:p>
      <w:pPr>
        <w:numPr>
          <w:ilvl w:val="0"/>
          <w:numId w:val="1032"/>
        </w:numPr>
        <w:pStyle w:val="Compact"/>
      </w:pPr>
      <w:r>
        <w:rPr>
          <w:iCs/>
          <w:i/>
        </w:rPr>
        <w:t xml:space="preserve">Planning time.</w:t>
      </w:r>
      <w:r>
        <w:t xml:space="preserve"> </w:t>
      </w:r>
      <w:r>
        <w:t xml:space="preserve">With miss rates held fixed per range (estimated from a workload model rather than updated online), benefit is submodular again and greedy recovers the (1 − 1/e) bound. This is used to compute initial mode assignments at deploy time.</w:t>
      </w:r>
    </w:p>
    <w:p>
      <w:pPr>
        <w:numPr>
          <w:ilvl w:val="0"/>
          <w:numId w:val="1032"/>
        </w:numPr>
        <w:pStyle w:val="Compact"/>
      </w:pPr>
      <w:r>
        <w:rPr>
          <w:iCs/>
          <w:i/>
        </w:rPr>
        <w:t xml:space="preserve">Runtime.</w:t>
      </w:r>
      <w:r>
        <w:t xml:space="preserve"> </w:t>
      </w:r>
      <w:r>
        <w:t xml:space="preserve">The online per-range analysis of I.3 and I.4 replaces the global guarantee, trading a bound on the</w:t>
      </w:r>
      <w:r>
        <w:t xml:space="preserve"> </w:t>
      </w:r>
      <w:r>
        <w:rPr>
          <w:iCs/>
          <w:i/>
        </w:rPr>
        <w:t xml:space="preserve">assignment</w:t>
      </w:r>
      <w:r>
        <w:t xml:space="preserve"> </w:t>
      </w:r>
      <w:r>
        <w:t xml:space="preserve">for bounds on each</w:t>
      </w:r>
      <w:r>
        <w:t xml:space="preserve"> </w:t>
      </w:r>
      <w:r>
        <w:rPr>
          <w:iCs/>
          <w:i/>
        </w:rPr>
        <w:t xml:space="preserve">decision</w:t>
      </w:r>
      <w:r>
        <w:t xml:space="preserve">.</w:t>
      </w:r>
    </w:p>
    <w:bookmarkEnd w:id="342"/>
    <w:bookmarkStart w:id="343" w:name="X059015e3be7562fe752ecc4cc1494a26b6ee7e5"/>
    <w:p>
      <w:pPr>
        <w:pStyle w:val="Heading2"/>
      </w:pPr>
      <w:r>
        <w:t xml:space="preserve">I.7 Hysteresis, Thrash Avoidance, and Safety</w:t>
      </w:r>
    </w:p>
    <w:p>
      <w:pPr>
        <w:pStyle w:val="SourceCode"/>
      </w:pPr>
      <w:r>
        <w:rPr>
          <w:rStyle w:val="VerbatimChar"/>
        </w:rPr>
        <w:t xml:space="preserve">min_dwell(mode)             # minimum time in a mode before leaving it</w:t>
      </w:r>
      <w:r>
        <w:br/>
      </w:r>
      <w:r>
        <w:rPr>
          <w:rStyle w:val="VerbatimChar"/>
        </w:rPr>
        <w:t xml:space="preserve">sustained_signal_window     # a proposal must persist across the window to apply</w:t>
      </w:r>
      <w:r>
        <w:br/>
      </w:r>
      <w:r>
        <w:rPr>
          <w:rStyle w:val="VerbatimChar"/>
        </w:rPr>
        <w:t xml:space="preserve">budget_reserve              # headroom so promotion never forces immediate demotion</w:t>
      </w:r>
      <w:r>
        <w:br/>
      </w:r>
      <w:r>
        <w:rPr>
          <w:rStyle w:val="VerbatimChar"/>
        </w:rPr>
        <w:t xml:space="preserve">pinned ranges excluded</w:t>
      </w:r>
    </w:p>
    <w:p>
      <w:pPr>
        <w:pStyle w:val="FirstParagraph"/>
      </w:pPr>
      <w:r>
        <w:t xml:space="preserve">Three safety properties hold regardless of estimator quality:</w:t>
      </w:r>
    </w:p>
    <w:p>
      <w:pPr>
        <w:numPr>
          <w:ilvl w:val="0"/>
          <w:numId w:val="1033"/>
        </w:numPr>
        <w:pStyle w:val="Compact"/>
      </w:pPr>
      <w:r>
        <w:rPr>
          <w:bCs/>
          <w:b/>
        </w:rPr>
        <w:t xml:space="preserve">Semantic safety.</w:t>
      </w:r>
      <w:r>
        <w:t xml:space="preserve"> </w:t>
      </w:r>
      <w:r>
        <w:t xml:space="preserve">A mode change cannot change any answer (Theorem 4.5(a)) — proved once, so no individual heuristic needs a correctness argument.</w:t>
      </w:r>
    </w:p>
    <w:p>
      <w:pPr>
        <w:numPr>
          <w:ilvl w:val="0"/>
          <w:numId w:val="1033"/>
        </w:numPr>
        <w:pStyle w:val="Compact"/>
      </w:pPr>
      <w:r>
        <w:rPr>
          <w:bCs/>
          <w:b/>
        </w:rPr>
        <w:t xml:space="preserve">Contract safety.</w:t>
      </w:r>
      <w:r>
        <w:t xml:space="preserve"> </w:t>
      </w:r>
      <w:r>
        <w:t xml:space="preserve">Infeasible modes are filtered before comparison, so a bad estimate can cost money but cannot breach a contract.</w:t>
      </w:r>
    </w:p>
    <w:p>
      <w:pPr>
        <w:numPr>
          <w:ilvl w:val="0"/>
          <w:numId w:val="1033"/>
        </w:numPr>
        <w:pStyle w:val="Compact"/>
      </w:pPr>
      <w:r>
        <w:rPr>
          <w:bCs/>
          <w:b/>
        </w:rPr>
        <w:t xml:space="preserve">Explainability.</w:t>
      </w:r>
      <w:r>
        <w:t xml:space="preserve"> </w:t>
      </w:r>
      <w:r>
        <w:t xml:space="preserve">Every transition is logged with the estimator values that caused it, so a surprising decision is diagnosable. An adaptive component that cannot be interrogated is operationally unacceptable, whatever its average-case behaviour.</w:t>
      </w:r>
    </w:p>
    <w:bookmarkEnd w:id="343"/>
    <w:bookmarkStart w:id="344" w:name="i.8-the-offline-optimum-for-grading"/>
    <w:p>
      <w:pPr>
        <w:pStyle w:val="Heading2"/>
      </w:pPr>
      <w:r>
        <w:t xml:space="preserve">I.8 The Offline Optimum (for Grading)</w:t>
      </w:r>
    </w:p>
    <w:p>
      <w:pPr>
        <w:pStyle w:val="FirstParagraph"/>
      </w:pPr>
      <w:r>
        <w:t xml:space="preserve">S7 measures the online algorithm against an optimum computed offline over the recorded trace:</w:t>
      </w:r>
    </w:p>
    <w:p>
      <w:pPr>
        <w:pStyle w:val="SourceCode"/>
      </w:pPr>
      <w:r>
        <w:rPr>
          <w:rStyle w:val="VerbatimChar"/>
        </w:rPr>
        <w:t xml:space="preserve"># States: (mode assignment for each range at each decision epoch)</w:t>
      </w:r>
      <w:r>
        <w:br/>
      </w:r>
      <w:r>
        <w:rPr>
          <w:rStyle w:val="VerbatimChar"/>
        </w:rPr>
        <w:t xml:space="preserve"># Transitions: mode changes with their switching costs</w:t>
      </w:r>
      <w:r>
        <w:br/>
      </w:r>
      <w:r>
        <w:rPr>
          <w:rStyle w:val="VerbatimChar"/>
        </w:rPr>
        <w:t xml:space="preserve"># Cost: measured per-operation costs from the trace</w:t>
      </w:r>
      <w:r>
        <w:br/>
      </w:r>
      <w:r>
        <w:rPr>
          <w:rStyle w:val="VerbatimChar"/>
        </w:rPr>
        <w:t xml:space="preserve"># Solve by dynamic programming over epochs, per range, with a</w:t>
      </w:r>
      <w:r>
        <w:br/>
      </w:r>
      <w:r>
        <w:rPr>
          <w:rStyle w:val="VerbatimChar"/>
        </w:rPr>
        <w:t xml:space="preserve"># Lagrangian relaxation of the global budget coupling; sweep the</w:t>
      </w:r>
      <w:r>
        <w:br/>
      </w:r>
      <w:r>
        <w:rPr>
          <w:rStyle w:val="VerbatimChar"/>
        </w:rPr>
        <w:t xml:space="preserve"># multiplier to trace the budget-feasible frontier.</w:t>
      </w:r>
    </w:p>
    <w:p>
      <w:pPr>
        <w:pStyle w:val="FirstParagraph"/>
      </w:pPr>
      <w:r>
        <w:t xml:space="preserve">The relaxation is necessary because the budget couples ranges; the sweep gives a lower bound on achievable cost at each budget level, which is what the ratio in S7 is computed against. Where the relaxation gap is non-zero it is reported, so that a ratio is never presented as tighter than the bound supports.</w:t>
      </w:r>
    </w:p>
    <w:bookmarkEnd w:id="344"/>
    <w:bookmarkStart w:id="345" w:name="i.9-what-would-falsify-contribution-5"/>
    <w:p>
      <w:pPr>
        <w:pStyle w:val="Heading2"/>
      </w:pPr>
      <w:r>
        <w:t xml:space="preserve">I.9 What Would Falsify Contribution 5</w:t>
      </w:r>
    </w:p>
    <w:p>
      <w:pPr>
        <w:numPr>
          <w:ilvl w:val="0"/>
          <w:numId w:val="1034"/>
        </w:numPr>
        <w:pStyle w:val="Compact"/>
      </w:pPr>
      <w:r>
        <w:t xml:space="preserve">A fixed policy beating the optimizer across the whole workload suite would mean the estimators cost more than they save, reducing C5 to a planning-time heuristic (and this is stated in Section 11.3 as a mind-changing result).</w:t>
      </w:r>
    </w:p>
    <w:p>
      <w:pPr>
        <w:numPr>
          <w:ilvl w:val="0"/>
          <w:numId w:val="1034"/>
        </w:numPr>
        <w:pStyle w:val="Compact"/>
      </w:pPr>
      <w:r>
        <w:t xml:space="preserve">Mode thrashing under phase changes despite hysteresis would indicate the signal model is wrong, not merely mistuned.</w:t>
      </w:r>
    </w:p>
    <w:p>
      <w:pPr>
        <w:numPr>
          <w:ilvl w:val="0"/>
          <w:numId w:val="1034"/>
        </w:numPr>
        <w:pStyle w:val="Compact"/>
      </w:pPr>
      <w:r>
        <w:t xml:space="preserve">A measured competitive ratio outside the analytical bound in the</w:t>
      </w:r>
      <w:r>
        <w:t xml:space="preserve"> </w:t>
      </w:r>
      <w:r>
        <w:rPr>
          <w:iCs/>
          <w:i/>
        </w:rPr>
        <w:t xml:space="preserve">stationary, no-latency</w:t>
      </w:r>
      <w:r>
        <w:t xml:space="preserve"> </w:t>
      </w:r>
      <w:r>
        <w:t xml:space="preserve">regime would indicate an error in the analysis, since that is the regime where the classical results apply directly.</w:t>
      </w:r>
    </w:p>
    <w:p>
      <w:pPr>
        <w:numPr>
          <w:ilvl w:val="0"/>
          <w:numId w:val="1034"/>
        </w:numPr>
        <w:pStyle w:val="Compact"/>
      </w:pPr>
      <w:r>
        <w:t xml:space="preserve">An observable behaviour change across a mode transition would falsify Theorem 4.5(a) and would be the most serious failure in this appendix, since every other safety property rests on it.</w:t>
      </w:r>
    </w:p>
    <w:bookmarkEnd w:id="345"/>
    <w:bookmarkEnd w:id="346"/>
    <w:bookmarkStart w:id="362" w:name="X7cd604721901e437551ad70469c9e89d3af8969"/>
    <w:p>
      <w:pPr>
        <w:pStyle w:val="Heading1"/>
      </w:pPr>
      <w:r>
        <w:t xml:space="preserve">Appendix J. Adjudication: Competing Design Positions, Judged</w:t>
      </w:r>
    </w:p>
    <w:p>
      <w:pPr>
        <w:pStyle w:val="FirstParagraph"/>
      </w:pPr>
      <w:r>
        <w:t xml:space="preserve">This appendix exists because a thesis that silently absorbs every suggestion is not a thesis but a scrapbook. Each row below is a point on which two positions were held — an earlier draft’s and a later one’s, or a stated claim and what the evidence turned out to say. Each is decided, with the reason and the evidence, and the losing position is recorded rather than deleted.</w:t>
      </w:r>
    </w:p>
    <w:p>
      <w:pPr>
        <w:pStyle w:val="BodyText"/>
      </w:pPr>
      <w:r>
        <w:t xml:space="preserve">Verdicts are of four kinds:</w:t>
      </w:r>
      <w:r>
        <w:t xml:space="preserve"> </w:t>
      </w:r>
      <w:r>
        <w:rPr>
          <w:bCs/>
          <w:b/>
        </w:rPr>
        <w:t xml:space="preserve">A</w:t>
      </w:r>
      <w:r>
        <w:t xml:space="preserve"> </w:t>
      </w:r>
      <w:r>
        <w:t xml:space="preserve">(the position stated in the author’s own draft prevails),</w:t>
      </w:r>
      <w:r>
        <w:t xml:space="preserve"> </w:t>
      </w:r>
      <w:r>
        <w:rPr>
          <w:bCs/>
          <w:b/>
        </w:rPr>
        <w:t xml:space="preserve">B</w:t>
      </w:r>
      <w:r>
        <w:t xml:space="preserve"> </w:t>
      </w:r>
      <w:r>
        <w:t xml:space="preserve">(the alternative prevails),</w:t>
      </w:r>
      <w:r>
        <w:t xml:space="preserve"> </w:t>
      </w:r>
      <w:r>
        <w:rPr>
          <w:bCs/>
          <w:b/>
        </w:rPr>
        <w:t xml:space="preserve">Both wrong</w:t>
      </w:r>
      <w:r>
        <w:t xml:space="preserve"> </w:t>
      </w:r>
      <w:r>
        <w:t xml:space="preserve">(the evidence refutes both, and a third statement replaces them), and</w:t>
      </w:r>
      <w:r>
        <w:t xml:space="preserve"> </w:t>
      </w:r>
      <w:r>
        <w:rPr>
          <w:bCs/>
          <w:b/>
        </w:rPr>
        <w:t xml:space="preserve">Open</w:t>
      </w:r>
      <w:r>
        <w:t xml:space="preserve"> </w:t>
      </w:r>
      <w:r>
        <w:t xml:space="preserve">(genuinely undecided, with the experiment that would decide it).</w:t>
      </w:r>
    </w:p>
    <w:p>
      <w:r>
        <w:pict>
          <v:rect style="width:0;height:1.5pt" o:hralign="center" o:hrstd="t" o:hr="t"/>
        </w:pict>
      </w:r>
    </w:p>
    <w:bookmarkStart w:id="347" w:name="X2d32b3cb2be46f79aa73ba66f4ed1a05cd3b460"/>
    <w:p>
      <w:pPr>
        <w:pStyle w:val="Heading2"/>
      </w:pPr>
      <w:r>
        <w:t xml:space="preserve">J.1 Syntax lineage: SQL-first or Rust-first?</w:t>
      </w:r>
    </w:p>
    <w:p>
      <w:pPr>
        <w:pStyle w:val="FirstParagraph"/>
      </w:pPr>
      <w:r>
        <w:rPr>
          <w:bCs/>
          <w:b/>
        </w:rPr>
        <w:t xml:space="preserve">Position A (later draft).</w:t>
      </w:r>
      <w:r>
        <w:t xml:space="preserve"> </w:t>
      </w:r>
      <w:r>
        <w:t xml:space="preserve">Rule 1: reuse SQL syntax wherever SQL has a construct. Rule 2: fall back to Rust where SQL has none. Rule 3: invent only for what neither can express.</w:t>
      </w:r>
    </w:p>
    <w:p>
      <w:pPr>
        <w:pStyle w:val="BodyText"/>
      </w:pPr>
      <w:r>
        <w:rPr>
          <w:bCs/>
          <w:b/>
        </w:rPr>
        <w:t xml:space="preserve">Position B (earlier draft).</w:t>
      </w:r>
      <w:r>
        <w:t xml:space="preserve"> </w:t>
      </w:r>
      <w:r>
        <w:t xml:space="preserve">The inverse: Rust-first, SQL-fallback, novel-last.</w:t>
      </w:r>
    </w:p>
    <w:p>
      <w:pPr>
        <w:pStyle w:val="BodyText"/>
      </w:pPr>
      <w:r>
        <w:rPr>
          <w:bCs/>
          <w:b/>
        </w:rPr>
        <w:t xml:space="preserve">Verdict: A.</w:t>
      </w:r>
      <w:r>
        <w:t xml:space="preserve"> </w:t>
      </w:r>
      <w:r>
        <w:t xml:space="preserve">Three reasons, in increasing order of weight.</w:t>
      </w:r>
    </w:p>
    <w:p>
      <w:pPr>
        <w:pStyle w:val="BodyText"/>
      </w:pPr>
      <w:r>
        <w:t xml:space="preserve">First, positioning. A language that claims to be</w:t>
      </w:r>
      <w:r>
        <w:t xml:space="preserve"> </w:t>
      </w:r>
      <w:r>
        <w:rPr>
          <w:iCs/>
          <w:i/>
        </w:rPr>
        <w:t xml:space="preserve">a replacement for SQL</w:t>
      </w:r>
      <w:r>
        <w:t xml:space="preserve"> </w:t>
      </w:r>
      <w:r>
        <w:t xml:space="preserve">and then greets a SQL user with unfamiliar spelling for</w:t>
      </w:r>
      <w:r>
        <w:t xml:space="preserve"> </w:t>
      </w:r>
      <w:r>
        <w:rPr>
          <w:rStyle w:val="VerbatimChar"/>
        </w:rPr>
        <w:t xml:space="preserve">GROUP BY</w:t>
      </w:r>
      <w:r>
        <w:t xml:space="preserve"> </w:t>
      </w:r>
      <w:r>
        <w:t xml:space="preserve">has made an unforced adoption error. The population to be persuaded reads SQL.</w:t>
      </w:r>
    </w:p>
    <w:p>
      <w:pPr>
        <w:pStyle w:val="BodyText"/>
      </w:pPr>
      <w:r>
        <w:t xml:space="preserve">Second, the translation theorem. The generality claim now rests on a semantics-preserving compilation of a stated SQL fragment (§9.7, Appendix H), proved by structural induction. That proof is materially easier to state, check and maintain when the target’s vocabulary mirrors the source’s, because the induction becomes near-syntactic for the reused fragment and the novel cases are confined to the constructs SQL does not have. Rust-first would have made every clause a translation case.</w:t>
      </w:r>
    </w:p>
    <w:p>
      <w:pPr>
        <w:pStyle w:val="BodyText"/>
      </w:pPr>
      <w:r>
        <w:t xml:space="preserve">Third, the exception is what makes the rule honest. Position A’s rule carries a stated exception — a SQL spelling is not reused where it would sacrifice determinism or efficiency the engine depends on, so unbounded recursive CTEs are admitted only behind a guard and</w:t>
      </w:r>
      <w:r>
        <w:t xml:space="preserve"> </w:t>
      </w:r>
      <w:r>
        <w:rPr>
          <w:rStyle w:val="VerbatimChar"/>
        </w:rPr>
        <w:t xml:space="preserve">float</w:t>
      </w:r>
      <w:r>
        <w:t xml:space="preserve"> </w:t>
      </w:r>
      <w:r>
        <w:t xml:space="preserve">is not a legal money type. That exception is doing real work: it is where the language declines to inherit SQL’s permissiveness, and it makes</w:t>
      </w:r>
      <w:r>
        <w:t xml:space="preserve"> </w:t>
      </w:r>
      <w:r>
        <w:t xml:space="preserve">“</w:t>
      </w:r>
      <w:r>
        <w:t xml:space="preserve">SQL-first</w:t>
      </w:r>
      <w:r>
        <w:t xml:space="preserve">”</w:t>
      </w:r>
      <w:r>
        <w:t xml:space="preserve"> </w:t>
      </w:r>
      <w:r>
        <w:t xml:space="preserve">a discipline rather than a capitulation.</w:t>
      </w:r>
    </w:p>
    <w:p>
      <w:pPr>
        <w:pStyle w:val="BodyText"/>
      </w:pPr>
      <w:r>
        <w:t xml:space="preserve">What Position B was right about, and is retained: pipelined clause</w:t>
      </w:r>
      <w:r>
        <w:t xml:space="preserve"> </w:t>
      </w:r>
      <w:r>
        <w:rPr>
          <w:iCs/>
          <w:i/>
        </w:rPr>
        <w:t xml:space="preserve">order</w:t>
      </w:r>
      <w:r>
        <w:t xml:space="preserve">, so a query reads in evaluation order; Rust’s shape for the imperative tier, generics and attributes; and the rule that a novel construct never overloads an inherited keyword with changed meaning.</w:t>
      </w:r>
    </w:p>
    <w:p>
      <w:r>
        <w:pict>
          <v:rect style="width:0;height:1.5pt" o:hralign="center" o:hrstd="t" o:hr="t"/>
        </w:pict>
      </w:r>
    </w:p>
    <w:bookmarkEnd w:id="347"/>
    <w:bookmarkStart w:id="348" w:name="X7ef9f807adc18bb0fff35691223601af420200d"/>
    <w:p>
      <w:pPr>
        <w:pStyle w:val="Heading2"/>
      </w:pPr>
      <w:r>
        <w:t xml:space="preserve">J.2 How many named scientific contributions?</w:t>
      </w:r>
    </w:p>
    <w:p>
      <w:pPr>
        <w:pStyle w:val="FirstParagraph"/>
      </w:pPr>
      <w:r>
        <w:rPr>
          <w:bCs/>
          <w:b/>
        </w:rPr>
        <w:t xml:space="preserve">Position A.</w:t>
      </w:r>
      <w:r>
        <w:t xml:space="preserve"> </w:t>
      </w:r>
      <w:r>
        <w:t xml:space="preserve">Four: the versioned partial-state algebra with the reconstruction theorem (SC1), the Eviction–Consistency Frontier Theorem (SC2), the complexity theory of consistency under partial materialization (SC3), and the consistency-effect calculus with the soundness theorem (SC4).</w:t>
      </w:r>
    </w:p>
    <w:p>
      <w:pPr>
        <w:pStyle w:val="BodyText"/>
      </w:pPr>
      <w:r>
        <w:rPr>
          <w:bCs/>
          <w:b/>
        </w:rPr>
        <w:t xml:space="preserve">Position B.</w:t>
      </w:r>
      <w:r>
        <w:t xml:space="preserve"> </w:t>
      </w:r>
      <w:r>
        <w:t xml:space="preserve">Six: the four above, plus an adaptive materialization calculus with competitive guarantees, plus a generality result replacing the unprovable</w:t>
      </w:r>
      <w:r>
        <w:t xml:space="preserve"> </w:t>
      </w:r>
      <w:r>
        <w:t xml:space="preserve">“</w:t>
      </w:r>
      <w:r>
        <w:t xml:space="preserve">replaces SQL</w:t>
      </w:r>
      <w:r>
        <w:t xml:space="preserve">”</w:t>
      </w:r>
      <w:r>
        <w:t xml:space="preserve"> </w:t>
      </w:r>
      <w:r>
        <w:t xml:space="preserve">with provable statements.</w:t>
      </w:r>
    </w:p>
    <w:p>
      <w:pPr>
        <w:pStyle w:val="BodyText"/>
      </w:pPr>
      <w:r>
        <w:rPr>
          <w:bCs/>
          <w:b/>
        </w:rPr>
        <w:t xml:space="preserve">Verdict: B, extended to seven by experiment.</w:t>
      </w:r>
      <w:r>
        <w:t xml:space="preserve"> </w:t>
      </w:r>
      <w:r>
        <w:t xml:space="preserve">SC1–SC4 stand exactly as stated in Position A. Two are added because they answer questions SC1–SC4 raise but do not close: SC2 says</w:t>
      </w:r>
      <w:r>
        <w:t xml:space="preserve"> </w:t>
      </w:r>
      <w:r>
        <w:rPr>
          <w:iCs/>
          <w:i/>
        </w:rPr>
        <w:t xml:space="preserve">where</w:t>
      </w:r>
      <w:r>
        <w:t xml:space="preserve"> </w:t>
      </w:r>
      <w:r>
        <w:t xml:space="preserve">partiality stops paying, but nothing says</w:t>
      </w:r>
      <w:r>
        <w:t xml:space="preserve"> </w:t>
      </w:r>
      <w:r>
        <w:rPr>
          <w:iCs/>
          <w:i/>
        </w:rPr>
        <w:t xml:space="preserve">what the runtime should therefore do</w:t>
      </w:r>
      <w:r>
        <w:t xml:space="preserve"> </w:t>
      </w:r>
      <w:r>
        <w:t xml:space="preserve">— that is SC5, the mode calculus over {absent, demand, full, spilled, tiered} with its rent-or-buy and file-caching bounds, and §9.3.4’s measured interior optimum is direct evidence that a fixed policy is wrong. And the thesis’s own H7 asserts SQL-completeness, which is not a well-formed claim without a definition — that is SC6.</w:t>
      </w:r>
    </w:p>
    <w:p>
      <w:pPr>
        <w:pStyle w:val="BodyText"/>
      </w:pPr>
      <w:r>
        <w:t xml:space="preserve">A seventh was added by measurement rather than by argument.</w:t>
      </w:r>
      <w:r>
        <w:t xml:space="preserve"> </w:t>
      </w:r>
      <w:r>
        <w:rPr>
          <w:bCs/>
          <w:b/>
        </w:rPr>
        <w:t xml:space="preserve">SC7, the Bounded Reconstruction Theorem</w:t>
      </w:r>
      <w:r>
        <w:t xml:space="preserve">, states that reconstruction cost is bounded by the checkpoint interval rather than by history length. It exists because §9.4.1 falsified SC3’s history-independence claim twice, and the third experiment showed what mechanism restores it. It is the clearest case in this thesis of an experiment changing the theory rather than confirming it.</w:t>
      </w:r>
    </w:p>
    <w:p>
      <w:r>
        <w:pict>
          <v:rect style="width:0;height:1.5pt" o:hralign="center" o:hrstd="t" o:hr="t"/>
        </w:pict>
      </w:r>
    </w:p>
    <w:bookmarkEnd w:id="348"/>
    <w:bookmarkStart w:id="349" w:name="Xf20f7b8f356d5788b3ab1277f12dd48744b4b21"/>
    <w:p>
      <w:pPr>
        <w:pStyle w:val="Heading2"/>
      </w:pPr>
      <w:r>
        <w:t xml:space="preserve">J.3 How is SQL-completeness to be established?</w:t>
      </w:r>
    </w:p>
    <w:p>
      <w:pPr>
        <w:pStyle w:val="FirstParagraph"/>
      </w:pPr>
      <w:r>
        <w:rPr>
          <w:bCs/>
          <w:b/>
        </w:rPr>
        <w:t xml:space="preserve">Position A.</w:t>
      </w:r>
      <w:r>
        <w:t xml:space="preserve"> </w:t>
      </w:r>
      <w:r>
        <w:t xml:space="preserve">By a mechanical SQL→Niles lowering</w:t>
      </w:r>
      <w:r>
        <w:t xml:space="preserve"> </w:t>
      </w:r>
      <w:r>
        <w:rPr>
          <w:iCs/>
          <w:i/>
        </w:rPr>
        <w:t xml:space="preserve">and</w:t>
      </w:r>
      <w:r>
        <w:t xml:space="preserve"> </w:t>
      </w:r>
      <w:r>
        <w:t xml:space="preserve">by passing an industry SQL-conformance suite.</w:t>
      </w:r>
    </w:p>
    <w:p>
      <w:pPr>
        <w:pStyle w:val="BodyText"/>
      </w:pPr>
      <w:r>
        <w:rPr>
          <w:bCs/>
          <w:b/>
        </w:rPr>
        <w:t xml:space="preserve">Position B.</w:t>
      </w:r>
      <w:r>
        <w:t xml:space="preserve"> </w:t>
      </w:r>
      <w:r>
        <w:t xml:space="preserve">By a translation-completeness theorem over a stated fragment, plus feature-coverage and differential-testing corroboration.</w:t>
      </w:r>
    </w:p>
    <w:p>
      <w:pPr>
        <w:pStyle w:val="BodyText"/>
      </w:pPr>
      <w:r>
        <w:rPr>
          <w:bCs/>
          <w:b/>
        </w:rPr>
        <w:t xml:space="preserve">Verdict: B, and the evidence is decisive rather than merely persuasive.</w:t>
      </w:r>
      <w:r>
        <w:t xml:space="preserve"> </w:t>
      </w:r>
      <w:r>
        <w:t xml:space="preserve">The conformance-suite half of Position A is not available. The only officially-blessed SQL conformance suite ever produced targets SQL-92, was frozen on 31 December 1996, and the programme that validated against it was terminated on 1 July 1997. Its own user guide states that it</w:t>
      </w:r>
      <w:r>
        <w:t xml:space="preserve"> </w:t>
      </w:r>
      <w:r>
        <w:t xml:space="preserve">“</w:t>
      </w:r>
      <w:r>
        <w:t xml:space="preserve">would be incorrect for implementations to claim conformance … simply by virtue of correct performance of these tests.</w:t>
      </w:r>
      <w:r>
        <w:t xml:space="preserve">”</w:t>
      </w:r>
      <w:r>
        <w:t xml:space="preserve"> </w:t>
      </w:r>
      <w:r>
        <w:t xml:space="preserve">The modern alternative in common use is a</w:t>
      </w:r>
      <w:r>
        <w:t xml:space="preserve"> </w:t>
      </w:r>
      <w:r>
        <w:rPr>
          <w:iCs/>
          <w:i/>
        </w:rPr>
        <w:t xml:space="preserve">differential</w:t>
      </w:r>
      <w:r>
        <w:t xml:space="preserve"> </w:t>
      </w:r>
      <w:r>
        <w:t xml:space="preserve">tester that compares engines against one another rather than against the standard, and explicitly excludes transactional behaviour and concurrency from its scope. There is no authoritative, current, complete SQL:2016/2023 conformance corpus, and the standard’s licensing obstructs building one.</w:t>
      </w:r>
    </w:p>
    <w:p>
      <w:pPr>
        <w:pStyle w:val="BodyText"/>
      </w:pPr>
      <w:r>
        <w:t xml:space="preserve">This is a finding, not a quibble: a reviewer who knows this literature would have asked, and the thesis would have had no answer. The claim is restructured in §9.7 and Appendix H, with the translation theorem as the primary — and strictly stronger — argument, because it quantifies over all programs in the fragment rather than over a corpus.</w:t>
      </w:r>
    </w:p>
    <w:p>
      <w:r>
        <w:pict>
          <v:rect style="width:0;height:1.5pt" o:hralign="center" o:hrstd="t" o:hr="t"/>
        </w:pict>
      </w:r>
    </w:p>
    <w:bookmarkEnd w:id="349"/>
    <w:bookmarkStart w:id="350" w:name="j.4-rpo-0"/>
    <w:p>
      <w:pPr>
        <w:pStyle w:val="Heading2"/>
      </w:pPr>
      <w:r>
        <w:t xml:space="preserve">J.4</w:t>
      </w:r>
      <w:r>
        <w:t xml:space="preserve"> </w:t>
      </w:r>
      <w:r>
        <w:t xml:space="preserve">“</w:t>
      </w:r>
      <w:r>
        <w:t xml:space="preserve">RPO = 0</w:t>
      </w:r>
      <w:r>
        <w:t xml:space="preserve">”</w:t>
      </w:r>
    </w:p>
    <w:p>
      <w:pPr>
        <w:pStyle w:val="FirstParagraph"/>
      </w:pPr>
      <w:r>
        <w:rPr>
          <w:bCs/>
          <w:b/>
        </w:rPr>
        <w:t xml:space="preserve">Position A.</w:t>
      </w:r>
      <w:r>
        <w:t xml:space="preserve"> </w:t>
      </w:r>
      <w:r>
        <w:t xml:space="preserve">The ledger is fully durable, RPO ≈ 0 in some passages and RPO = 0 in others.</w:t>
      </w:r>
    </w:p>
    <w:p>
      <w:pPr>
        <w:pStyle w:val="BodyText"/>
      </w:pPr>
      <w:r>
        <w:rPr>
          <w:bCs/>
          <w:b/>
        </w:rPr>
        <w:t xml:space="preserve">Position B.</w:t>
      </w:r>
      <w:r>
        <w:t xml:space="preserve"> </w:t>
      </w:r>
      <w:r>
        <w:t xml:space="preserve">Durability claims must be scoped to a failure domain.</w:t>
      </w:r>
    </w:p>
    <w:p>
      <w:pPr>
        <w:pStyle w:val="BodyText"/>
      </w:pPr>
      <w:r>
        <w:rPr>
          <w:bCs/>
          <w:b/>
        </w:rPr>
        <w:t xml:space="preserve">Verdict: Both insufficiently precise; a third statement replaces them.</w:t>
      </w:r>
      <w:r>
        <w:t xml:space="preserve"> </w:t>
      </w:r>
      <w:r>
        <w:t xml:space="preserve">The authoritative definition is a</w:t>
      </w:r>
      <w:r>
        <w:t xml:space="preserve"> </w:t>
      </w:r>
      <w:r>
        <w:rPr>
          <w:iCs/>
          <w:i/>
        </w:rPr>
        <w:t xml:space="preserve">recovery point</w:t>
      </w:r>
      <w:r>
        <w:t xml:space="preserve">: how much data loss a process can tolerate. No standards document defines what RPO = 0 requires mechanically, so the requirement must be derived: zero tolerable loss means the acknowledged-durable point equals the committed point</w:t>
      </w:r>
      <w:r>
        <w:t xml:space="preserve"> </w:t>
      </w:r>
      <w:r>
        <w:rPr>
          <w:iCs/>
          <w:i/>
        </w:rPr>
        <w:t xml:space="preserve">across the failure domain in scope</w:t>
      </w:r>
      <w:r>
        <w:t xml:space="preserve">. A concrete production instance makes the shape clear — one commercial database achieves storage-level RPO zero by requiring four of six storage nodes to acknowledge before confirming a transaction, and its own vendor writes candidly that even that is scope-bounded against sufficiently correlated disasters.</w:t>
      </w:r>
    </w:p>
    <w:p>
      <w:pPr>
        <w:pStyle w:val="BodyText"/>
      </w:pPr>
      <w:r>
        <w:t xml:space="preserve">The thesis therefore states durability as a triple, and never as a bare number:</w:t>
      </w:r>
    </w:p>
    <w:p>
      <w:pPr>
        <w:numPr>
          <w:ilvl w:val="0"/>
          <w:numId w:val="1035"/>
        </w:numPr>
        <w:pStyle w:val="Compact"/>
      </w:pPr>
      <w:r>
        <w:rPr>
          <w:bCs/>
          <w:b/>
        </w:rPr>
        <w:t xml:space="preserve">RPO = 0 against process and OS crash</w:t>
      </w:r>
      <w:r>
        <w:t xml:space="preserve">, with fsync-before-acknowledge — and even this presumes the device honours flush, which consumer SSDs frequently do not, and presumes the system panics rather than retries on a flush error, since a retried</w:t>
      </w:r>
      <w:r>
        <w:t xml:space="preserve"> </w:t>
      </w:r>
      <w:r>
        <w:rPr>
          <w:rStyle w:val="VerbatimChar"/>
        </w:rPr>
        <w:t xml:space="preserve">fsync</w:t>
      </w:r>
      <w:r>
        <w:t xml:space="preserve"> </w:t>
      </w:r>
      <w:r>
        <w:t xml:space="preserve">can report success after the data has already been lost.</w:t>
      </w:r>
    </w:p>
    <w:p>
      <w:pPr>
        <w:numPr>
          <w:ilvl w:val="0"/>
          <w:numId w:val="1035"/>
        </w:numPr>
        <w:pStyle w:val="Compact"/>
      </w:pPr>
      <w:r>
        <w:rPr>
          <w:bCs/>
          <w:b/>
        </w:rPr>
        <w:t xml:space="preserve">RPO = 0 against single-node loss</w:t>
      </w:r>
      <w:r>
        <w:t xml:space="preserve"> </w:t>
      </w:r>
      <w:r>
        <w:t xml:space="preserve">only with synchronous quorum replication.</w:t>
      </w:r>
    </w:p>
    <w:p>
      <w:pPr>
        <w:numPr>
          <w:ilvl w:val="0"/>
          <w:numId w:val="1035"/>
        </w:numPr>
        <w:pStyle w:val="Compact"/>
      </w:pPr>
      <w:r>
        <w:rPr>
          <w:bCs/>
          <w:b/>
        </w:rPr>
        <w:t xml:space="preserve">RPO bounded by replication lag</w:t>
      </w:r>
      <w:r>
        <w:t xml:space="preserve"> </w:t>
      </w:r>
      <w:r>
        <w:t xml:space="preserve">otherwise.</w:t>
      </w:r>
    </w:p>
    <w:p>
      <w:pPr>
        <w:pStyle w:val="FirstParagraph"/>
      </w:pPr>
      <w:r>
        <w:t xml:space="preserve">An unqualified</w:t>
      </w:r>
      <w:r>
        <w:t xml:space="preserve"> </w:t>
      </w:r>
      <w:r>
        <w:t xml:space="preserve">“</w:t>
      </w:r>
      <w:r>
        <w:t xml:space="preserve">RPO = 0</w:t>
      </w:r>
      <w:r>
        <w:t xml:space="preserve">”</w:t>
      </w:r>
      <w:r>
        <w:t xml:space="preserve"> </w:t>
      </w:r>
      <w:r>
        <w:t xml:space="preserve">for a single-node design would be a correctness error in the thesis, not a marketing flourish.</w:t>
      </w:r>
    </w:p>
    <w:p>
      <w:r>
        <w:pict>
          <v:rect style="width:0;height:1.5pt" o:hralign="center" o:hrstd="t" o:hr="t"/>
        </w:pict>
      </w:r>
    </w:p>
    <w:bookmarkEnd w:id="350"/>
    <w:bookmarkStart w:id="351" w:name="j.5-the-skew-parameter"/>
    <w:p>
      <w:pPr>
        <w:pStyle w:val="Heading2"/>
      </w:pPr>
      <w:r>
        <w:t xml:space="preserve">J.5 The skew parameter</w:t>
      </w:r>
    </w:p>
    <w:p>
      <w:pPr>
        <w:pStyle w:val="FirstParagraph"/>
      </w:pPr>
      <w:r>
        <w:rPr>
          <w:bCs/>
          <w:b/>
        </w:rPr>
        <w:t xml:space="preserve">Position A.</w:t>
      </w:r>
      <w:r>
        <w:t xml:space="preserve"> </w:t>
      </w:r>
      <w:r>
        <w:t xml:space="preserve">“</w:t>
      </w:r>
      <w:r>
        <w:t xml:space="preserve">α (higher = more skew)</w:t>
      </w:r>
      <w:r>
        <w:t xml:space="preserve">”</w:t>
      </w:r>
      <w:r>
        <w:t xml:space="preserve">, used as the phase-diagram axis.</w:t>
      </w:r>
    </w:p>
    <w:p>
      <w:pPr>
        <w:pStyle w:val="BodyText"/>
      </w:pPr>
      <w:r>
        <w:rPr>
          <w:bCs/>
          <w:b/>
        </w:rPr>
        <w:t xml:space="preserve">Verdict: Position A is an error, and the correction matters.</w:t>
      </w:r>
      <w:r>
        <w:t xml:space="preserve"> </w:t>
      </w:r>
      <w:r>
        <w:t xml:space="preserve">In this literature α denotes at least three different quantities: a power-law density exponent, the Pareto</w:t>
      </w:r>
      <w:r>
        <w:t xml:space="preserve"> </w:t>
      </w:r>
      <w:r>
        <w:rPr>
          <w:iCs/>
          <w:i/>
        </w:rPr>
        <w:t xml:space="preserve">shape</w:t>
      </w:r>
      <w:r>
        <w:t xml:space="preserve"> </w:t>
      </w:r>
      <w:r>
        <w:t xml:space="preserve">parameter, and (loosely) a Zipf exponent. For the Zipf rank exponent, higher does mean more skew. For the Pareto shape parameter, higher means a</w:t>
      </w:r>
      <w:r>
        <w:t xml:space="preserve"> </w:t>
      </w:r>
      <w:r>
        <w:rPr>
          <w:iCs/>
          <w:i/>
        </w:rPr>
        <w:t xml:space="preserve">thinner</w:t>
      </w:r>
      <w:r>
        <w:t xml:space="preserve"> </w:t>
      </w:r>
      <w:r>
        <w:t xml:space="preserve">tail and</w:t>
      </w:r>
      <w:r>
        <w:t xml:space="preserve"> </w:t>
      </w:r>
      <w:r>
        <w:rPr>
          <w:iCs/>
          <w:i/>
        </w:rPr>
        <w:t xml:space="preserve">less</w:t>
      </w:r>
      <w:r>
        <w:t xml:space="preserve"> </w:t>
      </w:r>
      <w:r>
        <w:t xml:space="preserve">skew — the exact opposite. Since the thesis’s headline empirical object is a phase diagram parameterized by skew, an ambiguous axis is one a reader can read backwards.</w:t>
      </w:r>
    </w:p>
    <w:p>
      <w:pPr>
        <w:pStyle w:val="BodyText"/>
      </w:pPr>
      <w:r>
        <w:t xml:space="preserve">The thesis now uses</w:t>
      </w:r>
      <w:r>
        <w:t xml:space="preserve"> </w:t>
      </w:r>
      <w:r>
        <w:rPr>
          <w:bCs/>
          <w:b/>
        </w:rPr>
        <w:t xml:space="preserve">Zipf rank exponent</w:t>
      </w:r>
      <w:r>
        <w:rPr>
          <w:bCs/>
          <w:b/>
        </w:rPr>
        <w:t xml:space="preserve"> </w:t>
      </w:r>
      <w:r>
        <w:rPr>
          <w:iCs/>
          <w:i/>
          <w:bCs/>
          <w:b/>
        </w:rPr>
        <w:t xml:space="preserve">s</w:t>
      </w:r>
      <w:r>
        <w:t xml:space="preserve">, defines it on first use, and labels the axis with its direction. Chapter 9’s measured diagram is stated in those terms throughout.</w:t>
      </w:r>
    </w:p>
    <w:p>
      <w:r>
        <w:pict>
          <v:rect style="width:0;height:1.5pt" o:hralign="center" o:hrstd="t" o:hr="t"/>
        </w:pict>
      </w:r>
    </w:p>
    <w:bookmarkEnd w:id="351"/>
    <w:bookmarkStart w:id="352" w:name="X4921e337f485d7edb815711c5d8418243696d20"/>
    <w:p>
      <w:pPr>
        <w:pStyle w:val="Heading2"/>
      </w:pPr>
      <w:r>
        <w:t xml:space="preserve">J.6 Sign, side, and the representation of negative balances</w:t>
      </w:r>
    </w:p>
    <w:p>
      <w:pPr>
        <w:pStyle w:val="FirstParagraph"/>
      </w:pPr>
      <w:r>
        <w:rPr>
          <w:bCs/>
          <w:b/>
        </w:rPr>
        <w:t xml:space="preserve">Position A.</w:t>
      </w:r>
      <w:r>
        <w:t xml:space="preserve"> </w:t>
      </w:r>
      <w:r>
        <w:t xml:space="preserve">Flows are signed; stocks are magnitude-plus-side. A balance that would</w:t>
      </w:r>
      <w:r>
        <w:t xml:space="preserve"> </w:t>
      </w:r>
      <w:r>
        <w:t xml:space="preserve">“</w:t>
      </w:r>
      <w:r>
        <w:t xml:space="preserve">go negative</w:t>
      </w:r>
      <w:r>
        <w:t xml:space="preserve">”</w:t>
      </w:r>
      <w:r>
        <w:t xml:space="preserve"> </w:t>
      </w:r>
      <w:r>
        <w:t xml:space="preserve">is a positive magnitude that has changed side, i.e. migrated to the complementary account class. Non-negative money types therefore lose no expressiveness: they relocate negativity from the number to the account class.</w:t>
      </w:r>
    </w:p>
    <w:p>
      <w:pPr>
        <w:pStyle w:val="BodyText"/>
      </w:pPr>
      <w:r>
        <w:rPr>
          <w:bCs/>
          <w:b/>
        </w:rPr>
        <w:t xml:space="preserve">Verdict: A, and it is corroborated by production practice rather than merely internally coherent.</w:t>
      </w:r>
      <w:r>
        <w:t xml:space="preserve"> </w:t>
      </w:r>
      <w:r>
        <w:t xml:space="preserve">This was checked against a purpose-built ledger’s documented data model. That system stores four separate unsigned 128-bit integers — pending and posted debits, pending and posted credits — and</w:t>
      </w:r>
      <w:r>
        <w:t xml:space="preserve"> </w:t>
      </w:r>
      <w:r>
        <w:rPr>
          <w:bCs/>
          <w:b/>
        </w:rPr>
        <w:t xml:space="preserve">has no signed balance field at all</w:t>
      </w:r>
      <w:r>
        <w:t xml:space="preserve">. Net balance is computed by the application as debits − credits or credits − debits</w:t>
      </w:r>
      <w:r>
        <w:t xml:space="preserve"> </w:t>
      </w:r>
      <w:r>
        <w:rPr>
          <w:iCs/>
          <w:i/>
        </w:rPr>
        <w:t xml:space="preserve">according to the account’s type</w:t>
      </w:r>
      <w:r>
        <w:t xml:space="preserve">. Non-negativity is opt-in per account through flags whose very names encode the normal side (</w:t>
      </w:r>
      <w:r>
        <w:rPr>
          <w:rStyle w:val="VerbatimChar"/>
        </w:rPr>
        <w:t xml:space="preserve">debits_must_not_exceed_credits</w:t>
      </w:r>
      <w:r>
        <w:t xml:space="preserve">,</w:t>
      </w:r>
      <w:r>
        <w:t xml:space="preserve"> </w:t>
      </w:r>
      <w:r>
        <w:rPr>
          <w:rStyle w:val="VerbatimChar"/>
        </w:rPr>
        <w:t xml:space="preserve">credits_must_not_exceed_debits</w:t>
      </w:r>
      <w:r>
        <w:t xml:space="preserve">).</w:t>
      </w:r>
    </w:p>
    <w:p>
      <w:pPr>
        <w:pStyle w:val="BodyText"/>
      </w:pPr>
      <w:r>
        <w:t xml:space="preserve">That is Position A’s design, arrived at independently, in production, by a system whose entire purpose is financial correctness. The sign convention lives in the account’s type rather than in the sign of a number. It is unusual for a thesis design decision to have this quality of external corroboration, and the section should say so.</w:t>
      </w:r>
    </w:p>
    <w:p>
      <w:pPr>
        <w:pStyle w:val="BodyText"/>
      </w:pPr>
      <w:r>
        <w:t xml:space="preserve">One caveat is added: the claim that overdraft is</w:t>
      </w:r>
      <w:r>
        <w:t xml:space="preserve"> </w:t>
      </w:r>
      <w:r>
        <w:t xml:space="preserve">“</w:t>
      </w:r>
      <w:r>
        <w:t xml:space="preserve">a draw on a linked credit line</w:t>
      </w:r>
      <w:r>
        <w:t xml:space="preserve">”</w:t>
      </w:r>
      <w:r>
        <w:t xml:space="preserve"> </w:t>
      </w:r>
      <w:r>
        <w:t xml:space="preserve">was</w:t>
      </w:r>
      <w:r>
        <w:t xml:space="preserve"> </w:t>
      </w:r>
      <w:r>
        <w:rPr>
          <w:iCs/>
          <w:i/>
        </w:rPr>
        <w:t xml:space="preserve">not</w:t>
      </w:r>
      <w:r>
        <w:t xml:space="preserve"> </w:t>
      </w:r>
      <w:r>
        <w:t xml:space="preserve">found in that system’s documentation, so the thesis presents it as its own modelling choice rather than as attributed practice.</w:t>
      </w:r>
    </w:p>
    <w:p>
      <w:r>
        <w:pict>
          <v:rect style="width:0;height:1.5pt" o:hralign="center" o:hrstd="t" o:hr="t"/>
        </w:pict>
      </w:r>
    </w:p>
    <w:bookmarkEnd w:id="352"/>
    <w:bookmarkStart w:id="353" w:name="X23d12d1ff1c90874777f1eeeb88f56da8e0b64f"/>
    <w:p>
      <w:pPr>
        <w:pStyle w:val="Heading2"/>
      </w:pPr>
      <w:r>
        <w:t xml:space="preserve">J.7 Does the conservation-of-money suite establish strict serializability?</w:t>
      </w:r>
    </w:p>
    <w:p>
      <w:pPr>
        <w:pStyle w:val="FirstParagraph"/>
      </w:pPr>
      <w:r>
        <w:rPr>
          <w:bCs/>
          <w:b/>
        </w:rPr>
        <w:t xml:space="preserve">Position A (implicit in both drafts).</w:t>
      </w:r>
      <w:r>
        <w:t xml:space="preserve"> </w:t>
      </w:r>
      <w:r>
        <w:t xml:space="preserve">The Jepsen-style bank test is the correctness centrepiece; passing it under concurrency, eviction and recovery is the headline correctness result.</w:t>
      </w:r>
    </w:p>
    <w:p>
      <w:pPr>
        <w:pStyle w:val="BodyText"/>
      </w:pPr>
      <w:r>
        <w:rPr>
          <w:bCs/>
          <w:b/>
        </w:rPr>
        <w:t xml:space="preserve">Verdict: Both drafts overclaimed, and there is a published counterexample.</w:t>
      </w:r>
      <w:r>
        <w:t xml:space="preserve"> </w:t>
      </w:r>
      <w:r>
        <w:t xml:space="preserve">In a Jepsen analysis of a distributed SQL database,</w:t>
      </w:r>
      <w:r>
        <w:t xml:space="preserve"> </w:t>
      </w:r>
      <w:r>
        <w:t xml:space="preserve">“</w:t>
      </w:r>
      <w:r>
        <w:t xml:space="preserve">bank tests (both within a single table and between multiple tables) passed consistently</w:t>
      </w:r>
      <w:r>
        <w:t xml:space="preserve">”</w:t>
      </w:r>
      <w:r>
        <w:t xml:space="preserve"> </w:t>
      </w:r>
      <w:r>
        <w:rPr>
          <w:iCs/>
          <w:i/>
        </w:rPr>
        <w:t xml:space="preserve">while</w:t>
      </w:r>
      <w:r>
        <w:t xml:space="preserve"> </w:t>
      </w:r>
      <w:r>
        <w:t xml:space="preserve">a causal-reverse anomaly demonstrated that the system provided serializability but</w:t>
      </w:r>
      <w:r>
        <w:t xml:space="preserve"> </w:t>
      </w:r>
      <w:r>
        <w:rPr>
          <w:bCs/>
          <w:b/>
        </w:rPr>
        <w:t xml:space="preserve">not</w:t>
      </w:r>
      <w:r>
        <w:t xml:space="preserve"> </w:t>
      </w:r>
      <w:r>
        <w:t xml:space="preserve">strict serializability. Conservation of money is therefore strictly weaker than the top rung of the ladder, and a passing suite cannot be evidence for it.</w:t>
      </w:r>
    </w:p>
    <w:p>
      <w:pPr>
        <w:pStyle w:val="BodyText"/>
      </w:pPr>
      <w:r>
        <w:t xml:space="preserve">Two consequences, both adopted. The correctness programme gains a second instrument: black-box anomaly inference over recorded histories, which infers a dependency graph in Adya’s formalism and detects the cycles that define the anomalies, and which is</w:t>
      </w:r>
      <w:r>
        <w:t xml:space="preserve"> </w:t>
      </w:r>
      <w:r>
        <w:rPr>
          <w:iCs/>
          <w:i/>
        </w:rPr>
        <w:t xml:space="preserve">sound</w:t>
      </w:r>
      <w:r>
        <w:t xml:space="preserve"> </w:t>
      </w:r>
      <w:r>
        <w:t xml:space="preserve">— a reported anomaly is present in every interpretation of the observation. And the thesis gains an argument it did not previously make: that instrument’s power depends on</w:t>
      </w:r>
      <w:r>
        <w:t xml:space="preserve"> </w:t>
      </w:r>
      <w:r>
        <w:rPr>
          <w:iCs/>
          <w:i/>
        </w:rPr>
        <w:t xml:space="preserve">traceability</w:t>
      </w:r>
      <w:r>
        <w:t xml:space="preserve">, the property that a complete version history can be recovered by reading, for which append-only structures are the canonical case.</w:t>
      </w:r>
      <w:r>
        <w:t xml:space="preserve"> </w:t>
      </w:r>
      <w:r>
        <w:rPr>
          <w:bCs/>
          <w:b/>
        </w:rPr>
        <w:t xml:space="preserve">An append-only, hash-chained ledger is unusually amenable to black-box verification, and that is a positive argument for the architecture</w:t>
      </w:r>
      <w:r>
        <w:t xml:space="preserve"> </w:t>
      </w:r>
      <w:r>
        <w:t xml:space="preserve">(§9.2.2).</w:t>
      </w:r>
    </w:p>
    <w:p>
      <w:pPr>
        <w:pStyle w:val="BodyText"/>
      </w:pPr>
      <w:r>
        <w:t xml:space="preserve">It is also worth recording what Jepsen itself says about its own epistemic status:</w:t>
      </w:r>
      <w:r>
        <w:t xml:space="preserve"> </w:t>
      </w:r>
      <w:r>
        <w:t xml:space="preserve">“</w:t>
      </w:r>
      <w:r>
        <w:t xml:space="preserve">we can prove the presence of bugs, but not their absence.</w:t>
      </w:r>
      <w:r>
        <w:t xml:space="preserve">”</w:t>
      </w:r>
    </w:p>
    <w:p>
      <w:r>
        <w:pict>
          <v:rect style="width:0;height:1.5pt" o:hralign="center" o:hrstd="t" o:hr="t"/>
        </w:pict>
      </w:r>
    </w:p>
    <w:bookmarkEnd w:id="353"/>
    <w:bookmarkStart w:id="354" w:name="Xe4f6121c8d8977d57aca2c9508196f2912df1d5"/>
    <w:p>
      <w:pPr>
        <w:pStyle w:val="Heading2"/>
      </w:pPr>
      <w:r>
        <w:t xml:space="preserve">J.8 Do per-view consistency contracts compose?</w:t>
      </w:r>
    </w:p>
    <w:p>
      <w:pPr>
        <w:pStyle w:val="FirstParagraph"/>
      </w:pPr>
      <w:r>
        <w:rPr>
          <w:bCs/>
          <w:b/>
        </w:rPr>
        <w:t xml:space="preserve">Position A.</w:t>
      </w:r>
      <w:r>
        <w:t xml:space="preserve"> </w:t>
      </w:r>
      <w:r>
        <w:t xml:space="preserve">Theorem 3.1: if a view is well-typed at effect</w:t>
      </w:r>
      <w:r>
        <w:t xml:space="preserve"> </w:t>
      </w:r>
      <w:r>
        <w:rPr>
          <w:iCs/>
          <w:i/>
        </w:rPr>
        <w:t xml:space="preserve">L</w:t>
      </w:r>
      <w:r>
        <w:t xml:space="preserve"> </w:t>
      </w:r>
      <w:r>
        <w:t xml:space="preserve">and served at a frontier satisfying φ_L, then every parent is observed at an effect no weaker than</w:t>
      </w:r>
      <w:r>
        <w:t xml:space="preserve"> </w:t>
      </w:r>
      <w:r>
        <w:rPr>
          <w:iCs/>
          <w:i/>
        </w:rPr>
        <w:t xml:space="preserve">L</w:t>
      </w:r>
      <w:r>
        <w:t xml:space="preserve">; hence composition cannot violate a contract.</w:t>
      </w:r>
    </w:p>
    <w:p>
      <w:pPr>
        <w:pStyle w:val="BodyText"/>
      </w:pPr>
      <w:r>
        <w:rPr>
          <w:bCs/>
          <w:b/>
        </w:rPr>
        <w:t xml:space="preserve">Verdict: A holds as stated, but requires a caveat it did not carry, and the caveat is load-bearing.</w:t>
      </w:r>
      <w:r>
        <w:t xml:space="preserve"> </w:t>
      </w:r>
      <w:r>
        <w:t xml:space="preserve">Theorem 3.1 is about</w:t>
      </w:r>
      <w:r>
        <w:t xml:space="preserve"> </w:t>
      </w:r>
      <w:r>
        <w:rPr>
          <w:iCs/>
          <w:i/>
        </w:rPr>
        <w:t xml:space="preserve">effect demands</w:t>
      </w:r>
      <w:r>
        <w:t xml:space="preserve"> </w:t>
      </w:r>
      <w:r>
        <w:t xml:space="preserve">propagating through a dataflow, and in that scope it is correct. It must not be read as the stronger claim that per-view strict serializability composes into</w:t>
      </w:r>
      <w:r>
        <w:t xml:space="preserve"> </w:t>
      </w:r>
      <w:r>
        <w:rPr>
          <w:iCs/>
          <w:i/>
        </w:rPr>
        <w:t xml:space="preserve">global</w:t>
      </w:r>
      <w:r>
        <w:t xml:space="preserve"> </w:t>
      </w:r>
      <w:r>
        <w:t xml:space="preserve">strict serializability, because that stronger claim is false in general: linearizability is a local property — a system is linearizable if each object is — but</w:t>
      </w:r>
      <w:r>
        <w:t xml:space="preserve"> </w:t>
      </w:r>
      <w:r>
        <w:rPr>
          <w:bCs/>
          <w:b/>
        </w:rPr>
        <w:t xml:space="preserve">neither serializability nor strict serializability is local</w:t>
      </w:r>
      <w:r>
        <w:t xml:space="preserve">. Composing two individually strictly-serializable views does not, without further argument, yield a strictly-serializable whole.</w:t>
      </w:r>
    </w:p>
    <w:p>
      <w:pPr>
        <w:pStyle w:val="BodyText"/>
      </w:pPr>
      <w:r>
        <w:t xml:space="preserve">What rescues the design is not the effect system but the</w:t>
      </w:r>
      <w:r>
        <w:t xml:space="preserve"> </w:t>
      </w:r>
      <w:r>
        <w:rPr>
          <w:iCs/>
          <w:i/>
        </w:rPr>
        <w:t xml:space="preserve">single visibility timeline</w:t>
      </w:r>
      <w:r>
        <w:t xml:space="preserve">: because every view is anchored to the same totally ordered epoch sequence, a multi-view read at a common anchor is a read of one global state, which is exactly the X-CONSIST predicate. The composition argument therefore runs through the shared timeline, not through the type system. Chapter 3 now says this explicitly, and Theorem 3.1’s scope is stated as effect propagation rather than as global consistency composition. This is the kind of gap a viva finds.</w:t>
      </w:r>
    </w:p>
    <w:p>
      <w:r>
        <w:pict>
          <v:rect style="width:0;height:1.5pt" o:hralign="center" o:hrstd="t" o:hr="t"/>
        </w:pict>
      </w:r>
    </w:p>
    <w:bookmarkEnd w:id="354"/>
    <w:bookmarkStart w:id="355" w:name="j.9-partiality-pays-on-skew"/>
    <w:p>
      <w:pPr>
        <w:pStyle w:val="Heading2"/>
      </w:pPr>
      <w:r>
        <w:t xml:space="preserve">J.9</w:t>
      </w:r>
      <w:r>
        <w:t xml:space="preserve"> </w:t>
      </w:r>
      <w:r>
        <w:t xml:space="preserve">“</w:t>
      </w:r>
      <w:r>
        <w:t xml:space="preserve">Partiality pays on skew</w:t>
      </w:r>
      <w:r>
        <w:t xml:space="preserve">”</w:t>
      </w:r>
    </w:p>
    <w:p>
      <w:pPr>
        <w:pStyle w:val="FirstParagraph"/>
      </w:pPr>
      <w:r>
        <w:rPr>
          <w:bCs/>
          <w:b/>
        </w:rPr>
        <w:t xml:space="preserve">Position A and B alike.</w:t>
      </w:r>
      <w:r>
        <w:t xml:space="preserve"> </w:t>
      </w:r>
      <w:r>
        <w:t xml:space="preserve">Demand materialization’s advantage grows with skew.</w:t>
      </w:r>
    </w:p>
    <w:p>
      <w:pPr>
        <w:pStyle w:val="BodyText"/>
      </w:pPr>
      <w:r>
        <w:rPr>
          <w:bCs/>
          <w:b/>
        </w:rPr>
        <w:t xml:space="preserve">Verdict: Both wrong; refuted by measurement (§9.3.4).</w:t>
      </w:r>
      <w:r>
        <w:t xml:space="preserve"> </w:t>
      </w:r>
      <w:r>
        <w:t xml:space="preserve">As skew rises, full materialization touches fewer distinct keys, so</w:t>
      </w:r>
      <w:r>
        <w:t xml:space="preserve"> </w:t>
      </w:r>
      <w:r>
        <w:rPr>
          <w:iCs/>
          <w:i/>
        </w:rPr>
        <w:t xml:space="preserve">its</w:t>
      </w:r>
      <w:r>
        <w:t xml:space="preserve"> </w:t>
      </w:r>
      <w:r>
        <w:t xml:space="preserve">footprint shrinks too — measured resident-entry-epochs for full materialization fell from 17.6 M at</w:t>
      </w:r>
      <w:r>
        <w:t xml:space="preserve"> </w:t>
      </w:r>
      <w:r>
        <w:rPr>
          <w:iCs/>
          <w:i/>
        </w:rPr>
        <w:t xml:space="preserve">s</w:t>
      </w:r>
      <w:r>
        <w:t xml:space="preserve"> </w:t>
      </w:r>
      <w:r>
        <w:t xml:space="preserve">= 0.5 to 3.9 M at</w:t>
      </w:r>
      <w:r>
        <w:t xml:space="preserve"> </w:t>
      </w:r>
      <w:r>
        <w:rPr>
          <w:iCs/>
          <w:i/>
        </w:rPr>
        <w:t xml:space="preserve">s</w:t>
      </w:r>
      <w:r>
        <w:t xml:space="preserve"> </w:t>
      </w:r>
      <w:r>
        <w:t xml:space="preserve">= 1.3, while partial’s stayed near 1.45 M. The ratio therefore moves</w:t>
      </w:r>
      <w:r>
        <w:t xml:space="preserve"> </w:t>
      </w:r>
      <w:r>
        <w:rPr>
          <w:bCs/>
          <w:b/>
        </w:rPr>
        <w:t xml:space="preserve">against</w:t>
      </w:r>
      <w:r>
        <w:t xml:space="preserve"> </w:t>
      </w:r>
      <w:r>
        <w:t xml:space="preserve">partial as skew rises (12:1 → 2.7:1). Skew simultaneously reduces partial’s reconstruction penalty, so the two effects oppose one another.</w:t>
      </w:r>
    </w:p>
    <w:p>
      <w:pPr>
        <w:pStyle w:val="BodyText"/>
      </w:pPr>
      <w:r>
        <w:t xml:space="preserve">Replacement claim, supported by the data:</w:t>
      </w:r>
      <w:r>
        <w:t xml:space="preserve"> </w:t>
      </w:r>
      <w:r>
        <w:rPr>
          <w:iCs/>
          <w:i/>
        </w:rPr>
        <w:t xml:space="preserve">partial materialization pays when memory is expensive relative to reconstruction; the optimum budget is interior; and skew determines the shape of the trade rather than its direction.</w:t>
      </w:r>
    </w:p>
    <w:p>
      <w:pPr>
        <w:pStyle w:val="BodyText"/>
      </w:pPr>
      <w:r>
        <w:t xml:space="preserve">This is the single most useful thing measurement did for this thesis, because the refuted claim was intuitive, was stated in both drafts, and would have been repeated in a defence.</w:t>
      </w:r>
    </w:p>
    <w:p>
      <w:r>
        <w:pict>
          <v:rect style="width:0;height:1.5pt" o:hralign="center" o:hrstd="t" o:hr="t"/>
        </w:pict>
      </w:r>
    </w:p>
    <w:bookmarkEnd w:id="355"/>
    <w:bookmarkStart w:id="356" w:name="Xbbb7276cafc8683f3791903b11954044d75f722"/>
    <w:p>
      <w:pPr>
        <w:pStyle w:val="Heading2"/>
      </w:pPr>
      <w:r>
        <w:t xml:space="preserve">J.10 Is the cost of consistency history-shaped?</w:t>
      </w:r>
    </w:p>
    <w:p>
      <w:pPr>
        <w:pStyle w:val="FirstParagraph"/>
      </w:pPr>
      <w:r>
        <w:rPr>
          <w:bCs/>
          <w:b/>
        </w:rPr>
        <w:t xml:space="preserve">Position A and B alike.</w:t>
      </w:r>
      <w:r>
        <w:t xml:space="preserve"> </w:t>
      </w:r>
      <w:r>
        <w:t xml:space="preserve">No — it is workload-shaped (fan-out × churn), not history-shaped.</w:t>
      </w:r>
    </w:p>
    <w:p>
      <w:pPr>
        <w:pStyle w:val="BodyText"/>
      </w:pPr>
      <w:r>
        <w:rPr>
          <w:bCs/>
          <w:b/>
        </w:rPr>
        <w:t xml:space="preserve">Verdict: Both wrong as stated; restored under a mechanism neither draft had (§9.4.1).</w:t>
      </w:r>
      <w:r>
        <w:t xml:space="preserve"> </w:t>
      </w:r>
      <w:r>
        <w:t xml:space="preserve">Reconstruction cost from the raw log grew linearly with history when the key space was fixed (124.5 → 8,008.9 base rows as writes grew 64×), and still grew when the key space was grown in proportion (210.4 → 3,303.7), because a Zipf-hot key keeps a roughly constant</w:t>
      </w:r>
      <w:r>
        <w:t xml:space="preserve"> </w:t>
      </w:r>
      <w:r>
        <w:rPr>
          <w:iCs/>
          <w:i/>
        </w:rPr>
        <w:t xml:space="preserve">share</w:t>
      </w:r>
      <w:r>
        <w:t xml:space="preserve"> </w:t>
      </w:r>
      <w:r>
        <w:t xml:space="preserve">of a growing traffic total. Per-key anchor indices — which the earlier draft credited with history-independence — deliver an 80–112× constant-factor reduction and no change in growth.</w:t>
      </w:r>
    </w:p>
    <w:p>
      <w:pPr>
        <w:pStyle w:val="BodyText"/>
      </w:pPr>
      <w:r>
        <w:t xml:space="preserve">Per-key checkpointing restores the property: at interval C = 16, cost was flat at ≈ 8.5 base rows across a 64× increase in history, against a predicted C/2 + 1 = 9. The claim now reads:</w:t>
      </w:r>
      <w:r>
        <w:t xml:space="preserve"> </w:t>
      </w:r>
      <w:r>
        <w:rPr>
          <w:bCs/>
          <w:b/>
        </w:rPr>
        <w:t xml:space="preserve">reconstruction cost is bounded by the checkpoint interval, not by history length</w:t>
      </w:r>
      <w:r>
        <w:t xml:space="preserve"> </w:t>
      </w:r>
      <w:r>
        <w:t xml:space="preserve">— a</w:t>
      </w:r>
      <w:r>
        <w:t xml:space="preserve"> </w:t>
      </w:r>
      <w:r>
        <w:rPr>
          <w:iCs/>
          <w:i/>
        </w:rPr>
        <w:t xml:space="preserve">design obligation</w:t>
      </w:r>
      <w:r>
        <w:t xml:space="preserve"> </w:t>
      </w:r>
      <w:r>
        <w:t xml:space="preserve">rather than an emergent property, promoted to SC7.</w:t>
      </w:r>
    </w:p>
    <w:p>
      <w:r>
        <w:pict>
          <v:rect style="width:0;height:1.5pt" o:hralign="center" o:hrstd="t" o:hr="t"/>
        </w:pict>
      </w:r>
    </w:p>
    <w:bookmarkEnd w:id="356"/>
    <w:bookmarkStart w:id="357" w:name="j.11-hot-account-contention"/>
    <w:p>
      <w:pPr>
        <w:pStyle w:val="Heading2"/>
      </w:pPr>
      <w:r>
        <w:t xml:space="preserve">J.11 Hot-account contention</w:t>
      </w:r>
    </w:p>
    <w:p>
      <w:pPr>
        <w:pStyle w:val="FirstParagraph"/>
      </w:pPr>
      <w:r>
        <w:rPr>
          <w:bCs/>
          <w:b/>
        </w:rPr>
        <w:t xml:space="preserve">Position A.</w:t>
      </w:r>
      <w:r>
        <w:t xml:space="preserve"> </w:t>
      </w:r>
      <w:r>
        <w:t xml:space="preserve">Hot accounts are the defining write-path difficulty; the ledger must sustain hot-account throughput.</w:t>
      </w:r>
    </w:p>
    <w:p>
      <w:pPr>
        <w:pStyle w:val="BodyText"/>
      </w:pPr>
      <w:r>
        <w:rPr>
          <w:bCs/>
          <w:b/>
        </w:rPr>
        <w:t xml:space="preserve">Verdict: A is right about the problem and the thesis cannot yet contribute evidence about it.</w:t>
      </w:r>
      <w:r>
        <w:t xml:space="preserve"> </w:t>
      </w:r>
      <w:r>
        <w:t xml:space="preserve">The prototype is single-threaded, so its flat hot-share column (§9.4.4) measures the absence of an experiment, not the absence of a problem. That is stated as a non-result.</w:t>
      </w:r>
    </w:p>
    <w:p>
      <w:pPr>
        <w:pStyle w:val="BodyText"/>
      </w:pPr>
      <w:r>
        <w:t xml:space="preserve">The external evidence is strong and is adopted in place of a claim of the thesis’s own. Two independent production write-ups, on different stacks, report that the shared settlement or omnibus account is a</w:t>
      </w:r>
      <w:r>
        <w:t xml:space="preserve"> </w:t>
      </w:r>
      <w:r>
        <w:rPr>
          <w:iCs/>
          <w:i/>
        </w:rPr>
        <w:t xml:space="preserve">structural</w:t>
      </w:r>
      <w:r>
        <w:t xml:space="preserve"> </w:t>
      </w:r>
      <w:r>
        <w:t xml:space="preserve">hot key in double-entry systems — every transaction touches it — and both chose to relax synchrony on the hot side rather than shard the account: one reports a per-account ceiling of 3–4 update operations per second raised to roughly 30 by 250 ms batching windows, and explicitly rejected sharding as complicating the single-balance concept; the other routes hot-account entries to an asynchronous path with a 60-second application bound and recommends that hot accounts receive only asynchronous entries.</w:t>
      </w:r>
    </w:p>
    <w:p>
      <w:pPr>
        <w:pStyle w:val="BodyText"/>
      </w:pPr>
      <w:r>
        <w:t xml:space="preserve">This is unusually good support for the thesis’s central architectural claim, and it is worth stating plainly:</w:t>
      </w:r>
      <w:r>
        <w:t xml:space="preserve"> </w:t>
      </w:r>
      <w:r>
        <w:rPr>
          <w:bCs/>
          <w:b/>
        </w:rPr>
        <w:t xml:space="preserve">real ledgers already run the hot leg at bounded staleness and the cold leg at strong consistency — they simply do it ad hoc and untyped.</w:t>
      </w:r>
      <w:r>
        <w:t xml:space="preserve"> </w:t>
      </w:r>
      <w:r>
        <w:t xml:space="preserve">A system that makes that split declarable and gives the staleness bound a formal meaning is addressing a documented, quantified production problem rather than a hypothetical one.</w:t>
      </w:r>
    </w:p>
    <w:p>
      <w:r>
        <w:pict>
          <v:rect style="width:0;height:1.5pt" o:hralign="center" o:hrstd="t" o:hr="t"/>
        </w:pict>
      </w:r>
    </w:p>
    <w:bookmarkEnd w:id="357"/>
    <w:bookmarkStart w:id="358" w:name="X9f0167b776c9f5d005927eed5d5faaa4ee23baf"/>
    <w:p>
      <w:pPr>
        <w:pStyle w:val="Heading2"/>
      </w:pPr>
      <w:r>
        <w:t xml:space="preserve">J.12 Non-convexity of the achievable consistency region (H1)</w:t>
      </w:r>
    </w:p>
    <w:p>
      <w:pPr>
        <w:pStyle w:val="FirstParagraph"/>
      </w:pPr>
      <w:r>
        <w:rPr>
          <w:bCs/>
          <w:b/>
        </w:rPr>
        <w:t xml:space="preserve">Position A.</w:t>
      </w:r>
      <w:r>
        <w:t xml:space="preserve"> </w:t>
      </w:r>
      <w:r>
        <w:t xml:space="preserve">The achievable-consistency region under partial state is non-convex: snapshot reads aligned to epoch boundaries are cheaper to reach than intermediate guarantees that are not.</w:t>
      </w:r>
    </w:p>
    <w:p>
      <w:pPr>
        <w:pStyle w:val="BodyText"/>
      </w:pPr>
      <w:r>
        <w:rPr>
          <w:bCs/>
          <w:b/>
        </w:rPr>
        <w:t xml:space="preserve">Verdict: Open.</w:t>
      </w:r>
      <w:r>
        <w:t xml:space="preserve"> </w:t>
      </w:r>
      <w:r>
        <w:t xml:space="preserve">§9.4.3 measured cost per rung and found it lands almost entirely on maintenance frequency, scaling as roughly 1/k in the staleness allowance — which is smooth, not obviously non-convex. But that experiment varied staleness, not the</w:t>
      </w:r>
      <w:r>
        <w:t xml:space="preserve"> </w:t>
      </w:r>
      <w:r>
        <w:rPr>
          <w:iCs/>
          <w:i/>
        </w:rPr>
        <w:t xml:space="preserve">alignment</w:t>
      </w:r>
      <w:r>
        <w:t xml:space="preserve"> </w:t>
      </w:r>
      <w:r>
        <w:t xml:space="preserve">of a read to an epoch boundary, which is what H1 is actually about. The hypothesis is therefore untested rather than unsupported.</w:t>
      </w:r>
    </w:p>
    <w:p>
      <w:pPr>
        <w:pStyle w:val="BodyText"/>
      </w:pPr>
      <w:r>
        <w:t xml:space="preserve">The experiment that would decide it: hold the rung fixed and vary whether a multi-key read’s demanded anchor coincides with a sealed epoch, measuring coordination work in each case. If H1 holds, the cost curve has a discontinuity at the boundary. The variable is stated in Chapter 1 accordingly.</w:t>
      </w:r>
    </w:p>
    <w:p>
      <w:r>
        <w:pict>
          <v:rect style="width:0;height:1.5pt" o:hralign="center" o:hrstd="t" o:hr="t"/>
        </w:pict>
      </w:r>
    </w:p>
    <w:bookmarkEnd w:id="358"/>
    <w:bookmarkStart w:id="359" w:name="j.13-naming"/>
    <w:p>
      <w:pPr>
        <w:pStyle w:val="Heading2"/>
      </w:pPr>
      <w:r>
        <w:t xml:space="preserve">J.13 Naming</w:t>
      </w:r>
    </w:p>
    <w:p>
      <w:pPr>
        <w:pStyle w:val="FirstParagraph"/>
      </w:pPr>
      <w:r>
        <w:rPr>
          <w:bCs/>
          <w:b/>
        </w:rPr>
        <w:t xml:space="preserve">Position A.</w:t>
      </w:r>
      <w:r>
        <w:t xml:space="preserve"> </w:t>
      </w:r>
      <w:r>
        <w:t xml:space="preserve">Kaskata / KaskataFlow, after an earlier Upbasin / UpbasinFlow.</w:t>
      </w:r>
    </w:p>
    <w:p>
      <w:pPr>
        <w:pStyle w:val="BodyText"/>
      </w:pPr>
      <w:r>
        <w:rPr>
          <w:bCs/>
          <w:b/>
        </w:rPr>
        <w:t xml:space="preserve">Position B.</w:t>
      </w:r>
      <w:r>
        <w:t xml:space="preserve"> </w:t>
      </w:r>
      <w:r>
        <w:t xml:space="preserve">Niles / Nilestream.</w:t>
      </w:r>
    </w:p>
    <w:p>
      <w:pPr>
        <w:pStyle w:val="BodyText"/>
      </w:pPr>
      <w:r>
        <w:rPr>
          <w:bCs/>
          <w:b/>
        </w:rPr>
        <w:t xml:space="preserve">Verdict: B, by the author’s instruction.</w:t>
      </w:r>
      <w:r>
        <w:t xml:space="preserve"> </w:t>
      </w:r>
      <w:r>
        <w:t xml:space="preserve">The thesis, prototype and artifacts use</w:t>
      </w:r>
      <w:r>
        <w:t xml:space="preserve"> </w:t>
      </w:r>
      <w:r>
        <w:rPr>
          <w:bCs/>
          <w:b/>
        </w:rPr>
        <w:t xml:space="preserve">Niles</w:t>
      </w:r>
      <w:r>
        <w:t xml:space="preserve"> </w:t>
      </w:r>
      <w:r>
        <w:t xml:space="preserve">for the language and</w:t>
      </w:r>
      <w:r>
        <w:t xml:space="preserve"> </w:t>
      </w:r>
      <w:r>
        <w:rPr>
          <w:bCs/>
          <w:b/>
        </w:rPr>
        <w:t xml:space="preserve">Nilestream</w:t>
      </w:r>
      <w:r>
        <w:t xml:space="preserve"> </w:t>
      </w:r>
      <w:r>
        <w:t xml:space="preserve">for the system throughout. The renaming is mechanical and reversible: no claim, theorem or measurement depends on it.</w:t>
      </w:r>
    </w:p>
    <w:p>
      <w:r>
        <w:pict>
          <v:rect style="width:0;height:1.5pt" o:hralign="center" o:hrstd="t" o:hr="t"/>
        </w:pict>
      </w:r>
    </w:p>
    <w:bookmarkEnd w:id="359"/>
    <w:bookmarkStart w:id="360" w:name="j.14-smaller-corrections-carried-forward"/>
    <w:p>
      <w:pPr>
        <w:pStyle w:val="Heading2"/>
      </w:pPr>
      <w:r>
        <w:t xml:space="preserve">J.14 Smaller corrections carried forward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Correction</w:t>
            </w:r>
          </w:p>
        </w:tc>
        <w:tc>
          <w:tcPr/>
          <w:p>
            <w:pPr>
              <w:pStyle w:val="Compact"/>
              <w:jc w:val="left"/>
            </w:pPr>
            <w:r>
              <w:t xml:space="preserve">Evidence</w:t>
            </w:r>
          </w:p>
        </w:tc>
      </w:tr>
      <w:tr>
        <w:tc>
          <w:tcPr/>
          <w:p>
            <w:pPr>
              <w:pStyle w:val="Compact"/>
              <w:jc w:val="left"/>
            </w:pPr>
            <w:r>
              <w:t xml:space="preserve">Self-hosting bootstrap</w:t>
            </w:r>
          </w:p>
        </w:tc>
        <w:tc>
          <w:tcPr/>
          <w:p>
            <w:pPr>
              <w:pStyle w:val="Compact"/>
              <w:jc w:val="left"/>
            </w:pPr>
            <w:r>
              <w:t xml:space="preserve">A bit-identical stage-2/stage-3 build proves the compiler is a</w:t>
            </w:r>
            <w:r>
              <w:t xml:space="preserve"> </w:t>
            </w:r>
            <w:r>
              <w:rPr>
                <w:bCs/>
                <w:b/>
              </w:rPr>
              <w:t xml:space="preserve">fixed point</w:t>
            </w:r>
            <w:r>
              <w:t xml:space="preserve">, not that it is trustworthy — a self-reproducing trojan</w:t>
            </w:r>
            <w:r>
              <w:t xml:space="preserve"> </w:t>
            </w:r>
            <w:r>
              <w:rPr>
                <w:iCs/>
                <w:i/>
              </w:rPr>
              <w:t xml:space="preserve">is</w:t>
            </w:r>
            <w:r>
              <w:t xml:space="preserve"> </w:t>
            </w:r>
            <w:r>
              <w:t xml:space="preserve">a fixed point. Detecting that needs diverse double-compiling with an independently sourced parent; reproducibility is its precondition, not its substitute.</w:t>
            </w:r>
          </w:p>
        </w:tc>
        <w:tc>
          <w:tcPr/>
          <w:p>
            <w:pPr>
              <w:pStyle w:val="Compact"/>
              <w:jc w:val="left"/>
            </w:pPr>
            <w:r>
              <w:t xml:space="preserve">The trusting-trust literature; the corresponding toolchain’s own guide presents the extra stage as an optional breakage check and claims nothing more.</w:t>
            </w:r>
          </w:p>
        </w:tc>
      </w:tr>
      <w:tr>
        <w:tc>
          <w:tcPr/>
          <w:p>
            <w:pPr>
              <w:pStyle w:val="Compact"/>
              <w:jc w:val="left"/>
            </w:pPr>
            <w:r>
              <w:t xml:space="preserve">Confidentiality labels</w:t>
            </w:r>
          </w:p>
        </w:tc>
        <w:tc>
          <w:tcPr/>
          <w:p>
            <w:pPr>
              <w:pStyle w:val="Compact"/>
              <w:jc w:val="left"/>
            </w:pPr>
            <w:r>
              <w:t xml:space="preserve">Restricted to</w:t>
            </w:r>
            <w:r>
              <w:t xml:space="preserve"> </w:t>
            </w:r>
            <w:r>
              <w:rPr>
                <w:bCs/>
                <w:b/>
              </w:rPr>
              <w:t xml:space="preserve">static</w:t>
            </w:r>
            <w:r>
              <w:t xml:space="preserve"> </w:t>
            </w:r>
            <w:r>
              <w:t xml:space="preserve">labels.</w:t>
            </w:r>
          </w:p>
        </w:tc>
        <w:tc>
          <w:tcPr/>
          <w:p>
            <w:pPr>
              <w:pStyle w:val="Compact"/>
              <w:jc w:val="left"/>
            </w:pPr>
            <w:r>
              <w:t xml:space="preserve">No non-interference results exist for the dynamic-label fragment of the information-flow literature; a guarantee that cannot be proved is not claimed.</w:t>
            </w:r>
          </w:p>
        </w:tc>
      </w:tr>
      <w:tr>
        <w:tc>
          <w:tcPr/>
          <w:p>
            <w:pPr>
              <w:pStyle w:val="Compact"/>
              <w:jc w:val="left"/>
            </w:pPr>
            <w:r>
              <w:t xml:space="preserve">WebAssembly determinism</w:t>
            </w:r>
          </w:p>
        </w:tc>
        <w:tc>
          <w:tcPr/>
          <w:p>
            <w:pPr>
              <w:pStyle w:val="Compact"/>
              <w:jc w:val="left"/>
            </w:pPr>
            <w:r>
              <w:t xml:space="preserve">Not assumed — three named sources of implementation-dependent behaviour (NaN payloads, resource exhaustion, host functions) are closed off explicitly.</w:t>
            </w:r>
          </w:p>
        </w:tc>
        <w:tc>
          <w:tcPr/>
          <w:p>
            <w:pPr>
              <w:pStyle w:val="Compact"/>
              <w:jc w:val="left"/>
            </w:pPr>
            <w:r>
              <w:t xml:space="preserve">The WebAssembly specification’s own statement.</w:t>
            </w:r>
          </w:p>
        </w:tc>
      </w:tr>
      <w:tr>
        <w:tc>
          <w:tcPr/>
          <w:p>
            <w:pPr>
              <w:pStyle w:val="Compact"/>
              <w:jc w:val="left"/>
            </w:pPr>
            <w:r>
              <w:t xml:space="preserve">Tamper-evidence</w:t>
            </w:r>
          </w:p>
        </w:tc>
        <w:tc>
          <w:tcPr/>
          <w:p>
            <w:pPr>
              <w:pStyle w:val="Compact"/>
              <w:jc w:val="left"/>
            </w:pPr>
            <w:r>
              <w:t xml:space="preserve">Detection</w:t>
            </w:r>
            <w:r>
              <w:t xml:space="preserve"> </w:t>
            </w:r>
            <w:r>
              <w:rPr>
                <w:bCs/>
                <w:b/>
              </w:rPr>
              <w:t xml:space="preserve">relative to a retained digest</w:t>
            </w:r>
            <w:r>
              <w:t xml:space="preserve">, by a party who checks — not prevention.</w:t>
            </w:r>
          </w:p>
        </w:tc>
        <w:tc>
          <w:tcPr/>
          <w:p>
            <w:pPr>
              <w:pStyle w:val="Compact"/>
              <w:jc w:val="left"/>
            </w:pPr>
            <w:r>
              <w:t xml:space="preserve">Certificate Transparency states this outright; the analogous commercial ledger scopes its verification the same way.</w:t>
            </w:r>
          </w:p>
        </w:tc>
      </w:tr>
      <w:tr>
        <w:tc>
          <w:tcPr/>
          <w:p>
            <w:pPr>
              <w:pStyle w:val="Compact"/>
              <w:jc w:val="left"/>
            </w:pPr>
            <w:r>
              <w:t xml:space="preserve">Consistency-ladder advertising</w:t>
            </w:r>
          </w:p>
        </w:tc>
        <w:tc>
          <w:tcPr/>
          <w:p>
            <w:pPr>
              <w:pStyle w:val="Compact"/>
              <w:jc w:val="left"/>
            </w:pPr>
            <w:r>
              <w:t xml:space="preserve">A ladder can be advertised with five rungs and have four.</w:t>
            </w:r>
          </w:p>
        </w:tc>
        <w:tc>
          <w:tcPr/>
          <w:p>
            <w:pPr>
              <w:pStyle w:val="Compact"/>
              <w:jc w:val="left"/>
            </w:pPr>
            <w:r>
              <w:t xml:space="preserve">A published TLA+ specification of a commercial database’s five consistency levels found two indistinguishable to a client, and bounded staleness unbounded under strongly-consistent writes.</w:t>
            </w:r>
          </w:p>
        </w:tc>
      </w:tr>
      <w:tr>
        <w:tc>
          <w:tcPr/>
          <w:p>
            <w:pPr>
              <w:pStyle w:val="Compact"/>
              <w:jc w:val="left"/>
            </w:pPr>
            <w:r>
              <w:t xml:space="preserve">TPC-derived results</w:t>
            </w:r>
          </w:p>
        </w:tc>
        <w:tc>
          <w:tcPr/>
          <w:p>
            <w:pPr>
              <w:pStyle w:val="Compact"/>
              <w:jc w:val="left"/>
            </w:pPr>
            <w:r>
              <w:t xml:space="preserve">Any TPC-style workload run here is unaudited and will be reported as</w:t>
            </w:r>
            <w:r>
              <w:t xml:space="preserve"> </w:t>
            </w:r>
            <w:r>
              <w:t xml:space="preserve">“</w:t>
            </w:r>
            <w:r>
              <w:t xml:space="preserve">TPC-C-derived</w:t>
            </w:r>
            <w:r>
              <w:t xml:space="preserve">”</w:t>
            </w:r>
            <w:r>
              <w:t xml:space="preserve">, never as</w:t>
            </w:r>
            <w:r>
              <w:t xml:space="preserve"> </w:t>
            </w:r>
            <w:r>
              <w:rPr>
                <w:rStyle w:val="VerbatimChar"/>
              </w:rPr>
              <w:t xml:space="preserve">tpmC</w:t>
            </w:r>
            <w:r>
              <w:t xml:space="preserve">.</w:t>
            </w:r>
          </w:p>
        </w:tc>
        <w:tc>
          <w:tcPr/>
          <w:p>
            <w:pPr>
              <w:pStyle w:val="Compact"/>
              <w:jc w:val="left"/>
            </w:pPr>
            <w:r>
              <w:t xml:space="preserve">TPC comparability and audit rules.</w:t>
            </w:r>
          </w:p>
        </w:tc>
      </w:tr>
      <w:tr>
        <w:tc>
          <w:tcPr/>
          <w:p>
            <w:pPr>
              <w:pStyle w:val="Compact"/>
              <w:jc w:val="left"/>
            </w:pPr>
            <w:r>
              <w:t xml:space="preserve">Vendor throughput figures</w:t>
            </w:r>
          </w:p>
        </w:tc>
        <w:tc>
          <w:tcPr/>
          <w:p>
            <w:pPr>
              <w:pStyle w:val="Compact"/>
              <w:jc w:val="left"/>
            </w:pPr>
            <w:r>
              <w:t xml:space="preserve">Excluded as baselines where methodology, isolation level and durability setting are undisclosed.</w:t>
            </w:r>
          </w:p>
        </w:tc>
        <w:tc>
          <w:tcPr/>
          <w:p>
            <w:pPr>
              <w:pStyle w:val="Compact"/>
              <w:jc w:val="left"/>
            </w:pPr>
            <w:r>
              <w:t xml:space="preserve">A widely-cited core-banking figure of 150,080 transactions per second discloses none of these.</w:t>
            </w:r>
          </w:p>
        </w:tc>
      </w:tr>
    </w:tbl>
    <w:p>
      <w:r>
        <w:pict>
          <v:rect style="width:0;height:1.5pt" o:hralign="center" o:hrstd="t" o:hr="t"/>
        </w:pict>
      </w:r>
    </w:p>
    <w:bookmarkEnd w:id="360"/>
    <w:bookmarkStart w:id="361" w:name="j.15-what-the-adjudication-changed"/>
    <w:p>
      <w:pPr>
        <w:pStyle w:val="Heading2"/>
      </w:pPr>
      <w:r>
        <w:t xml:space="preserve">J.15 What the adjudication changed</w:t>
      </w:r>
    </w:p>
    <w:p>
      <w:pPr>
        <w:pStyle w:val="FirstParagraph"/>
      </w:pPr>
      <w:r>
        <w:t xml:space="preserve">Of the positions examined: three were decided in favour of the later draft (J.1, J.6, and J.11’s problem statement), three in favour of the earlier draft (J.2, J.3, J.5), four found</w:t>
      </w:r>
      <w:r>
        <w:t xml:space="preserve"> </w:t>
      </w:r>
      <w:r>
        <w:rPr>
          <w:bCs/>
          <w:b/>
        </w:rPr>
        <w:t xml:space="preserve">both</w:t>
      </w:r>
      <w:r>
        <w:t xml:space="preserve"> </w:t>
      </w:r>
      <w:r>
        <w:t xml:space="preserve">positions wrong and replaced them (J.4, J.7, J.9, J.10), one was sharpened with a caveat that changes what it may be used for (J.8), one remains open with its deciding experiment named (J.12), and one was settled by preference (J.13).</w:t>
      </w:r>
    </w:p>
    <w:p>
      <w:pPr>
        <w:pStyle w:val="BodyText"/>
      </w:pPr>
      <w:r>
        <w:t xml:space="preserve">The four</w:t>
      </w:r>
      <w:r>
        <w:t xml:space="preserve"> </w:t>
      </w:r>
      <w:r>
        <w:t xml:space="preserve">“</w:t>
      </w:r>
      <w:r>
        <w:t xml:space="preserve">both wrong</w:t>
      </w:r>
      <w:r>
        <w:t xml:space="preserve">”</w:t>
      </w:r>
      <w:r>
        <w:t xml:space="preserve"> </w:t>
      </w:r>
      <w:r>
        <w:t xml:space="preserve">rows are the ones worth dwelling on. Two of them (J.9, J.10) were overturned by experiments run for this revision, and both had been asserted confidently in every prior draft. Neither would have survived a defence. That is the argument for building the prototype at all: not that it proved the thesis, but that it disproved parts of it early and cheaply, and in one case handed back the mechanism (checkpointing) that makes the claim true.</w:t>
      </w:r>
    </w:p>
    <w:bookmarkEnd w:id="361"/>
    <w:bookmarkEnd w:id="362"/>
    <w:bookmarkStart w:id="370" w:name="Xf25972f650a0f5e0828b5b5e639ea7da1ab380b"/>
    <w:p>
      <w:pPr>
        <w:pStyle w:val="Heading1"/>
      </w:pPr>
      <w:r>
        <w:t xml:space="preserve">Appendix K. The Research Prototype and How to Reproduce Chapter 9</w:t>
      </w:r>
    </w:p>
    <w:p>
      <w:pPr>
        <w:pStyle w:val="FirstParagraph"/>
      </w:pPr>
      <w:r>
        <w:t xml:space="preserve">Chapter 9’s measured results come from a prototype built for this thesis. This appendix states what it is, what it deliberately is not, how it is instrumented, and the exact commands that regenerate every number.</w:t>
      </w:r>
    </w:p>
    <w:bookmarkStart w:id="363" w:name="k.1-what-the-prototype-is"/>
    <w:p>
      <w:pPr>
        <w:pStyle w:val="Heading2"/>
      </w:pPr>
      <w:r>
        <w:t xml:space="preserve">K.1 What the prototype is</w:t>
      </w:r>
    </w:p>
    <w:p>
      <w:pPr>
        <w:pStyle w:val="FirstParagraph"/>
      </w:pPr>
      <w:r>
        <w:t xml:space="preserve">A single-node, in-memory, single-threaded Rust program of roughly 900 lines, in two crates:</w:t>
      </w:r>
    </w:p>
    <w:p>
      <w:pPr>
        <w:numPr>
          <w:ilvl w:val="0"/>
          <w:numId w:val="1036"/>
        </w:numPr>
        <w:pStyle w:val="Compact"/>
      </w:pPr>
      <w:r>
        <w:rPr>
          <w:rStyle w:val="VerbatimChar"/>
          <w:bCs/>
          <w:b/>
        </w:rPr>
        <w:t xml:space="preserve">proto-engine</w:t>
      </w:r>
      <w:r>
        <w:t xml:space="preserve"> </w:t>
      </w:r>
      <w:r>
        <w:t xml:space="preserve">— the mechanisms: an append-only, epoch-ordered, hash-chained ledger with a per-currency zero-sum commit rule and idempotent admission; per-key</w:t>
      </w:r>
      <w:r>
        <w:t xml:space="preserve"> </w:t>
      </w:r>
      <w:r>
        <w:rPr>
          <w:bCs/>
          <w:b/>
        </w:rPr>
        <w:t xml:space="preserve">anchor indices</w:t>
      </w:r>
      <w:r>
        <w:t xml:space="preserve">; per-key</w:t>
      </w:r>
      <w:r>
        <w:t xml:space="preserve"> </w:t>
      </w:r>
      <w:r>
        <w:rPr>
          <w:bCs/>
          <w:b/>
        </w:rPr>
        <w:t xml:space="preserve">checkpoints</w:t>
      </w:r>
      <w:r>
        <w:t xml:space="preserve">; a partial view over the</w:t>
      </w:r>
      <w:r>
        <w:t xml:space="preserve"> </w:t>
      </w:r>
      <w:r>
        <w:rPr>
          <w:bCs/>
          <w:b/>
        </w:rPr>
        <w:t xml:space="preserve">absence lattice</w:t>
      </w:r>
      <w:r>
        <w:t xml:space="preserve"> </w:t>
      </w:r>
      <w:r>
        <w:t xml:space="preserve">with anchored upqueries and three eviction policies; a full-materialization mode; a Zipf workload generator; and a counted-work cost model.</w:t>
      </w:r>
    </w:p>
    <w:p>
      <w:pPr>
        <w:numPr>
          <w:ilvl w:val="0"/>
          <w:numId w:val="1036"/>
        </w:numPr>
        <w:pStyle w:val="Compact"/>
      </w:pPr>
      <w:r>
        <w:rPr>
          <w:rStyle w:val="VerbatimChar"/>
          <w:bCs/>
          <w:b/>
        </w:rPr>
        <w:t xml:space="preserve">experiments</w:t>
      </w:r>
      <w:r>
        <w:t xml:space="preserve"> </w:t>
      </w:r>
      <w:r>
        <w:t xml:space="preserve">— the harness: ten experiments, each emitting a CSV artifact and a console summary.</w:t>
      </w:r>
    </w:p>
    <w:p>
      <w:pPr>
        <w:pStyle w:val="FirstParagraph"/>
      </w:pPr>
      <w:r>
        <w:t xml:space="preserve">The whole of it compiles with no</w:t>
      </w:r>
      <w:r>
        <w:t xml:space="preserve"> </w:t>
      </w:r>
      <w:r>
        <w:rPr>
          <w:rStyle w:val="VerbatimChar"/>
        </w:rPr>
        <w:t xml:space="preserve">unsafe</w:t>
      </w:r>
      <w:r>
        <w:t xml:space="preserve"> </w:t>
      </w:r>
      <w:r>
        <w:t xml:space="preserve">blocks.</w:t>
      </w:r>
    </w:p>
    <w:bookmarkEnd w:id="363"/>
    <w:bookmarkStart w:id="364" w:name="k.2-what-it-deliberately-is-not"/>
    <w:p>
      <w:pPr>
        <w:pStyle w:val="Heading2"/>
      </w:pPr>
      <w:r>
        <w:t xml:space="preserve">K.2 What it deliberately is not</w:t>
      </w:r>
    </w:p>
    <w:p>
      <w:pPr>
        <w:pStyle w:val="FirstParagraph"/>
      </w:pPr>
      <w:r>
        <w:t xml:space="preserve">Stated as a list, because every item is a claim the prototype cannot support: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Absent</w:t>
            </w:r>
          </w:p>
        </w:tc>
        <w:tc>
          <w:tcPr/>
          <w:p>
            <w:pPr>
              <w:pStyle w:val="Compact"/>
              <w:jc w:val="left"/>
            </w:pPr>
            <w:r>
              <w:t xml:space="preserve">Consequence for claims</w:t>
            </w:r>
          </w:p>
        </w:tc>
      </w:tr>
      <w:tr>
        <w:tc>
          <w:tcPr/>
          <w:p>
            <w:pPr>
              <w:pStyle w:val="Compact"/>
              <w:jc w:val="left"/>
            </w:pPr>
            <w:r>
              <w:t xml:space="preserve">Durability (</w:t>
            </w:r>
            <w:r>
              <w:rPr>
                <w:rStyle w:val="VerbatimChar"/>
              </w:rPr>
              <w:t xml:space="preserve">fsync</w:t>
            </w:r>
            <w:r>
              <w:t xml:space="preserve">, WAL)</w:t>
            </w:r>
          </w:p>
        </w:tc>
        <w:tc>
          <w:tcPr/>
          <w:p>
            <w:pPr>
              <w:pStyle w:val="Compact"/>
              <w:jc w:val="left"/>
            </w:pPr>
            <w:r>
              <w:t xml:space="preserve">No durability or recovery-time claim; §9.4.4’s write-path numbers are mechanism cost only</w:t>
            </w:r>
          </w:p>
        </w:tc>
      </w:tr>
      <w:tr>
        <w:tc>
          <w:tcPr/>
          <w:p>
            <w:pPr>
              <w:pStyle w:val="Compact"/>
              <w:jc w:val="left"/>
            </w:pPr>
            <w:r>
              <w:t xml:space="preserve">Concurrency</w:t>
            </w:r>
          </w:p>
        </w:tc>
        <w:tc>
          <w:tcPr/>
          <w:p>
            <w:pPr>
              <w:pStyle w:val="Compact"/>
              <w:jc w:val="left"/>
            </w:pPr>
            <w:r>
              <w:t xml:space="preserve">No contention result (§9.4.4 is a stated non-result); no isolation-level claim</w:t>
            </w:r>
          </w:p>
        </w:tc>
      </w:tr>
      <w:tr>
        <w:tc>
          <w:tcPr/>
          <w:p>
            <w:pPr>
              <w:pStyle w:val="Compact"/>
              <w:jc w:val="left"/>
            </w:pPr>
            <w:r>
              <w:t xml:space="preserve">Consensus / replication</w:t>
            </w:r>
          </w:p>
        </w:tc>
        <w:tc>
          <w:tcPr/>
          <w:p>
            <w:pPr>
              <w:pStyle w:val="Compact"/>
              <w:jc w:val="left"/>
            </w:pPr>
            <w:r>
              <w:t xml:space="preserve">No distributed claim</w:t>
            </w:r>
          </w:p>
        </w:tc>
      </w:tr>
      <w:tr>
        <w:tc>
          <w:tcPr/>
          <w:p>
            <w:pPr>
              <w:pStyle w:val="Compact"/>
              <w:jc w:val="left"/>
            </w:pPr>
            <w:r>
              <w:t xml:space="preserve">Query planner, SQL surface, compiler</w:t>
            </w:r>
          </w:p>
        </w:tc>
        <w:tc>
          <w:tcPr/>
          <w:p>
            <w:pPr>
              <w:pStyle w:val="Compact"/>
              <w:jc w:val="left"/>
            </w:pPr>
            <w:r>
              <w:t xml:space="preserve">No language or generality claim</w:t>
            </w:r>
          </w:p>
        </w:tc>
      </w:tr>
      <w:tr>
        <w:tc>
          <w:tcPr/>
          <w:p>
            <w:pPr>
              <w:pStyle w:val="Compact"/>
              <w:jc w:val="left"/>
            </w:pPr>
            <w:r>
              <w:t xml:space="preserve">Joins and general aggregation</w:t>
            </w:r>
          </w:p>
        </w:tc>
        <w:tc>
          <w:tcPr/>
          <w:p>
            <w:pPr>
              <w:pStyle w:val="Compact"/>
              <w:jc w:val="left"/>
            </w:pPr>
            <w:r>
              <w:t xml:space="preserve">Only per-key sums and rollups; a join-heavy view family may behave differently</w:t>
            </w:r>
          </w:p>
        </w:tc>
      </w:tr>
      <w:tr>
        <w:tc>
          <w:tcPr/>
          <w:p>
            <w:pPr>
              <w:pStyle w:val="Compact"/>
              <w:jc w:val="left"/>
            </w:pPr>
            <w:r>
              <w:t xml:space="preserve">Real workload traces</w:t>
            </w:r>
          </w:p>
        </w:tc>
        <w:tc>
          <w:tcPr/>
          <w:p>
            <w:pPr>
              <w:pStyle w:val="Compact"/>
              <w:jc w:val="left"/>
            </w:pPr>
            <w:r>
              <w:t xml:space="preserve">Synthetic Zipf only</w:t>
            </w:r>
          </w:p>
        </w:tc>
      </w:tr>
    </w:tbl>
    <w:p>
      <w:pPr>
        <w:pStyle w:val="BodyText"/>
      </w:pPr>
      <w:r>
        <w:t xml:space="preserve">It is not Nilestream. It is the smallest artifact that makes Nilestream’s mechanisms measurable, and it is presented as such.</w:t>
      </w:r>
    </w:p>
    <w:bookmarkEnd w:id="364"/>
    <w:bookmarkStart w:id="365" w:name="k.3-the-measurement-discipline"/>
    <w:p>
      <w:pPr>
        <w:pStyle w:val="Heading2"/>
      </w:pPr>
      <w:r>
        <w:t xml:space="preserve">K.3 The measurement discipline</w:t>
      </w:r>
    </w:p>
    <w:p>
      <w:pPr>
        <w:pStyle w:val="FirstParagraph"/>
      </w:pPr>
      <w:r>
        <w:rPr>
          <w:bCs/>
          <w:b/>
        </w:rPr>
        <w:t xml:space="preserve">Counted work is the primary unit.</w:t>
      </w:r>
      <w:r>
        <w:t xml:space="preserve"> </w:t>
      </w:r>
      <w:r>
        <w:t xml:space="preserve">Base rows read, deltas applied, resident-entry-epochs, upqueries issued. These are properties of the algorithms and the workload, so a reader on different hardware reproduces the same numbers. This is what allows a phase diagram measured on a shared two-vCPU virtual machine to mean something.</w:t>
      </w:r>
    </w:p>
    <w:p>
      <w:pPr>
        <w:pStyle w:val="BodyText"/>
      </w:pPr>
      <w:r>
        <w:rPr>
          <w:bCs/>
          <w:b/>
        </w:rPr>
        <w:t xml:space="preserve">Wall-clock appears once</w:t>
      </w:r>
      <w:r>
        <w:t xml:space="preserve">, in §9.4.4, labelled with the platform and its limits.</w:t>
      </w:r>
    </w:p>
    <w:p>
      <w:pPr>
        <w:pStyle w:val="BodyText"/>
      </w:pPr>
      <w:r>
        <w:rPr>
          <w:bCs/>
          <w:b/>
        </w:rPr>
        <w:t xml:space="preserve">Memory is reported at the logical layer only.</w:t>
      </w:r>
      <w:r>
        <w:t xml:space="preserve"> </w:t>
      </w:r>
      <w:r>
        <w:t xml:space="preserve">The prototype reports resident</w:t>
      </w:r>
      <w:r>
        <w:t xml:space="preserve"> </w:t>
      </w:r>
      <w:r>
        <w:rPr>
          <w:iCs/>
          <w:i/>
        </w:rPr>
        <w:t xml:space="preserve">entries</w:t>
      </w:r>
      <w:r>
        <w:t xml:space="preserve"> </w:t>
      </w:r>
      <w:r>
        <w:t xml:space="preserve">and logical bytes, never process resident-set size. The three layers — application-requested bytes, allocator-resident bytes, and process RSS — measure different things, and the allocator’s own documentation makes the inequality chain explicit (</w:t>
      </w:r>
      <w:r>
        <w:rPr>
          <w:rStyle w:val="VerbatimChar"/>
        </w:rPr>
        <w:t xml:space="preserve">allocated ≤ active ≤ resident ≤ mapped</w:t>
      </w:r>
      <w:r>
        <w:t xml:space="preserve">, where resident includes metadata and unused dirty pages). Reporting a saving measured at the logical layer as though it were an RSS saving would credit the design with the allocator’s behaviour; the thesis states which layer it means.</w:t>
      </w:r>
    </w:p>
    <w:p>
      <w:pPr>
        <w:pStyle w:val="BodyText"/>
      </w:pPr>
      <w:r>
        <w:rPr>
          <w:bCs/>
          <w:b/>
        </w:rPr>
        <w:t xml:space="preserve">Five seeds, medians with ranges.</w:t>
      </w:r>
      <w:r>
        <w:t xml:space="preserve"> </w:t>
      </w:r>
      <w:r>
        <w:t xml:space="preserve">No result rests on one run. The generator is a stated linear congruential generator, so seeds reproduce exactly rather than approximately.</w:t>
      </w:r>
    </w:p>
    <w:p>
      <w:pPr>
        <w:pStyle w:val="BodyText"/>
      </w:pPr>
      <w:r>
        <w:rPr>
          <w:bCs/>
          <w:b/>
        </w:rPr>
        <w:t xml:space="preserve">Baselines that are not the system itself.</w:t>
      </w:r>
      <w:r>
        <w:t xml:space="preserve"> </w:t>
      </w:r>
      <w:r>
        <w:t xml:space="preserve">Partial materialization is always compared against full materialization on the identical workload and seed; eviction is compared against LRU</w:t>
      </w:r>
      <w:r>
        <w:t xml:space="preserve"> </w:t>
      </w:r>
      <w:r>
        <w:rPr>
          <w:iCs/>
          <w:i/>
        </w:rPr>
        <w:t xml:space="preserve">and</w:t>
      </w:r>
      <w:r>
        <w:t xml:space="preserve"> </w:t>
      </w:r>
      <w:r>
        <w:t xml:space="preserve">against the randomized policy that the original partial-state system used. Comparing a system only against itself is a named benchmarking error, and so is presenting a microbenchmark as a system result — the second is answered by scoping (K.2) rather than by the measurement.</w:t>
      </w:r>
    </w:p>
    <w:bookmarkEnd w:id="365"/>
    <w:bookmarkStart w:id="366" w:name="k.4-the-experiments"/>
    <w:p>
      <w:pPr>
        <w:pStyle w:val="Heading2"/>
      </w:pPr>
      <w:r>
        <w:t xml:space="preserve">K.4 The experiments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Question</w:t>
            </w:r>
          </w:p>
        </w:tc>
        <w:tc>
          <w:tcPr/>
          <w:p>
            <w:pPr>
              <w:pStyle w:val="Compact"/>
              <w:jc w:val="left"/>
            </w:pPr>
            <w:r>
              <w:t xml:space="preserve">Primary output</w:t>
            </w:r>
          </w:p>
        </w:tc>
      </w:tr>
      <w:tr>
        <w:tc>
          <w:tcPr/>
          <w:p>
            <w:pPr>
              <w:pStyle w:val="Compact"/>
              <w:jc w:val="left"/>
            </w:pPr>
            <w:r>
              <w:t xml:space="preserve">E1</w:t>
            </w:r>
          </w:p>
        </w:tc>
        <w:tc>
          <w:tcPr/>
          <w:p>
            <w:pPr>
              <w:pStyle w:val="Compact"/>
              <w:jc w:val="left"/>
            </w:pPr>
            <w:r>
              <w:t xml:space="preserve">Does evict-then-reconstruct equal never-evict, under adversarial interleaving?</w:t>
            </w:r>
          </w:p>
        </w:tc>
        <w:tc>
          <w:tcPr/>
          <w:p>
            <w:pPr>
              <w:pStyle w:val="Compact"/>
              <w:jc w:val="left"/>
            </w:pPr>
            <w:r>
              <w:t xml:space="preserve">Divergences, conservation, rebuild mismatches, miss≠0, idempotency, tamper</w:t>
            </w:r>
          </w:p>
        </w:tc>
      </w:tr>
      <w:tr>
        <w:tc>
          <w:tcPr/>
          <w:p>
            <w:pPr>
              <w:pStyle w:val="Compact"/>
              <w:jc w:val="left"/>
            </w:pPr>
            <w:r>
              <w:t xml:space="preserve">E2</w:t>
            </w:r>
          </w:p>
        </w:tc>
        <w:tc>
          <w:tcPr/>
          <w:p>
            <w:pPr>
              <w:pStyle w:val="Compact"/>
              <w:jc w:val="left"/>
            </w:pPr>
            <w:r>
              <w:t xml:space="preserve">Are integration and differentiation mutually inverse on epoch-indexed Z-sets?</w:t>
            </w:r>
          </w:p>
        </w:tc>
        <w:tc>
          <w:tcPr/>
          <w:p>
            <w:pPr>
              <w:pStyle w:val="Compact"/>
              <w:jc w:val="left"/>
            </w:pPr>
            <w:r>
              <w:t xml:space="preserve">Epoch-by-epoch canonical Z-set comparisons</w:t>
            </w:r>
          </w:p>
        </w:tc>
      </w:tr>
      <w:tr>
        <w:tc>
          <w:tcPr/>
          <w:p>
            <w:pPr>
              <w:pStyle w:val="Compact"/>
              <w:jc w:val="left"/>
            </w:pPr>
            <w:r>
              <w:t xml:space="preserve">E3</w:t>
            </w:r>
          </w:p>
        </w:tc>
        <w:tc>
          <w:tcPr/>
          <w:p>
            <w:pPr>
              <w:pStyle w:val="Compact"/>
              <w:jc w:val="left"/>
            </w:pPr>
            <w:r>
              <w:t xml:space="preserve">How does resident state compare, partial vs full, across skew?</w:t>
            </w:r>
          </w:p>
        </w:tc>
        <w:tc>
          <w:tcPr/>
          <w:p>
            <w:pPr>
              <w:pStyle w:val="Compact"/>
              <w:jc w:val="left"/>
            </w:pPr>
            <w:r>
              <w:t xml:space="preserve">Resident ratio, hit rate</w:t>
            </w:r>
          </w:p>
        </w:tc>
      </w:tr>
      <w:tr>
        <w:tc>
          <w:tcPr/>
          <w:p>
            <w:pPr>
              <w:pStyle w:val="Compact"/>
              <w:jc w:val="left"/>
            </w:pPr>
            <w:r>
              <w:t xml:space="preserve">E4</w:t>
            </w:r>
          </w:p>
        </w:tc>
        <w:tc>
          <w:tcPr/>
          <w:p>
            <w:pPr>
              <w:pStyle w:val="Compact"/>
              <w:jc w:val="left"/>
            </w:pPr>
            <w:r>
              <w:t xml:space="preserve">Where is the break-even between partial and full?</w:t>
            </w:r>
          </w:p>
        </w:tc>
        <w:tc>
          <w:tcPr/>
          <w:p>
            <w:pPr>
              <w:pStyle w:val="Compact"/>
              <w:jc w:val="left"/>
            </w:pPr>
            <w:r>
              <w:t xml:space="preserve">Cost ratio over (skew × budget), swept over memory price</w:t>
            </w:r>
          </w:p>
        </w:tc>
      </w:tr>
      <w:tr>
        <w:tc>
          <w:tcPr/>
          <w:p>
            <w:pPr>
              <w:pStyle w:val="Compact"/>
              <w:jc w:val="left"/>
            </w:pPr>
            <w:r>
              <w:t xml:space="preserve">E5</w:t>
            </w:r>
          </w:p>
        </w:tc>
        <w:tc>
          <w:tcPr/>
          <w:p>
            <w:pPr>
              <w:pStyle w:val="Compact"/>
              <w:jc w:val="left"/>
            </w:pPr>
            <w:r>
              <w:t xml:space="preserve">Does reconstruction cost depend on history length?</w:t>
            </w:r>
          </w:p>
        </w:tc>
        <w:tc>
          <w:tcPr/>
          <w:p>
            <w:pPr>
              <w:pStyle w:val="Compact"/>
              <w:jc w:val="left"/>
            </w:pPr>
            <w:r>
              <w:t xml:space="preserve">Base rows per reconstruction vs. ledger length; indexed vs. unindexed</w:t>
            </w:r>
          </w:p>
        </w:tc>
      </w:tr>
      <w:tr>
        <w:tc>
          <w:tcPr/>
          <w:p>
            <w:pPr>
              <w:pStyle w:val="Compact"/>
              <w:jc w:val="left"/>
            </w:pPr>
            <w:r>
              <w:t xml:space="preserve">E6</w:t>
            </w:r>
          </w:p>
        </w:tc>
        <w:tc>
          <w:tcPr/>
          <w:p>
            <w:pPr>
              <w:pStyle w:val="Compact"/>
              <w:jc w:val="left"/>
            </w:pPr>
            <w:r>
              <w:t xml:space="preserve">Which eviction policy wins under reconstruction latency?</w:t>
            </w:r>
          </w:p>
        </w:tc>
        <w:tc>
          <w:tcPr/>
          <w:p>
            <w:pPr>
              <w:pStyle w:val="Compact"/>
              <w:jc w:val="left"/>
            </w:pPr>
            <w:r>
              <w:t xml:space="preserve">Misses, base rows, aggregate delay for three policies</w:t>
            </w:r>
          </w:p>
        </w:tc>
      </w:tr>
      <w:tr>
        <w:tc>
          <w:tcPr/>
          <w:p>
            <w:pPr>
              <w:pStyle w:val="Compact"/>
              <w:jc w:val="left"/>
            </w:pPr>
            <w:r>
              <w:t xml:space="preserve">E7</w:t>
            </w:r>
          </w:p>
        </w:tc>
        <w:tc>
          <w:tcPr/>
          <w:p>
            <w:pPr>
              <w:pStyle w:val="Compact"/>
              <w:jc w:val="left"/>
            </w:pPr>
            <w:r>
              <w:t xml:space="preserve">What do the commit rule and hash chain cost?</w:t>
            </w:r>
          </w:p>
        </w:tc>
        <w:tc>
          <w:tcPr/>
          <w:p>
            <w:pPr>
              <w:pStyle w:val="Compact"/>
              <w:jc w:val="left"/>
            </w:pPr>
            <w:r>
              <w:t xml:space="preserve">Postings/sec, chained vs unchained (wall-clock)</w:t>
            </w:r>
          </w:p>
        </w:tc>
      </w:tr>
      <w:tr>
        <w:tc>
          <w:tcPr/>
          <w:p>
            <w:pPr>
              <w:pStyle w:val="Compact"/>
              <w:jc w:val="left"/>
            </w:pPr>
            <w:r>
              <w:t xml:space="preserve">E8</w:t>
            </w:r>
          </w:p>
        </w:tc>
        <w:tc>
          <w:tcPr/>
          <w:p>
            <w:pPr>
              <w:pStyle w:val="Compact"/>
              <w:jc w:val="left"/>
            </w:pPr>
            <w:r>
              <w:t xml:space="preserve">What does each consistency rung cost?</w:t>
            </w:r>
          </w:p>
        </w:tc>
        <w:tc>
          <w:tcPr/>
          <w:p>
            <w:pPr>
              <w:pStyle w:val="Compact"/>
              <w:jc w:val="left"/>
            </w:pPr>
            <w:r>
              <w:t xml:space="preserve">Misses, base rows, deltas applied, apply invocations</w:t>
            </w:r>
          </w:p>
        </w:tc>
      </w:tr>
      <w:tr>
        <w:tc>
          <w:tcPr/>
          <w:p>
            <w:pPr>
              <w:pStyle w:val="Compact"/>
              <w:jc w:val="left"/>
            </w:pPr>
            <w:r>
              <w:t xml:space="preserve">E9</w:t>
            </w:r>
          </w:p>
        </w:tc>
        <w:tc>
          <w:tcPr/>
          <w:p>
            <w:pPr>
              <w:pStyle w:val="Compact"/>
              <w:jc w:val="left"/>
            </w:pPr>
            <w:r>
              <w:t xml:space="preserve">Does growing the key space restore history-independence?</w:t>
            </w:r>
          </w:p>
        </w:tc>
        <w:tc>
          <w:tcPr/>
          <w:p>
            <w:pPr>
              <w:pStyle w:val="Compact"/>
              <w:jc w:val="left"/>
            </w:pPr>
            <w:r>
              <w:t xml:space="preserve">Cost vs. history at fixed per-key ratio</w:t>
            </w:r>
          </w:p>
        </w:tc>
      </w:tr>
      <w:tr>
        <w:tc>
          <w:tcPr/>
          <w:p>
            <w:pPr>
              <w:pStyle w:val="Compact"/>
              <w:jc w:val="left"/>
            </w:pPr>
            <w:r>
              <w:t xml:space="preserve">E10</w:t>
            </w:r>
          </w:p>
        </w:tc>
        <w:tc>
          <w:tcPr/>
          <w:p>
            <w:pPr>
              <w:pStyle w:val="Compact"/>
              <w:jc w:val="left"/>
            </w:pPr>
            <w:r>
              <w:t xml:space="preserve">Do per-key checkpoints bound reconstruction cost?</w:t>
            </w:r>
          </w:p>
        </w:tc>
        <w:tc>
          <w:tcPr/>
          <w:p>
            <w:pPr>
              <w:pStyle w:val="Compact"/>
              <w:jc w:val="left"/>
            </w:pPr>
            <w:r>
              <w:t xml:space="preserve">Cost vs. history for checkpoint intervals 256/64/16</w:t>
            </w:r>
          </w:p>
        </w:tc>
      </w:tr>
    </w:tbl>
    <w:p>
      <w:pPr>
        <w:pStyle w:val="BodyText"/>
      </w:pPr>
      <w:r>
        <w:t xml:space="preserve">E9 and E10 exist because E5 refuted a claim; E10 exists because E9 refuted its most plausible defence. That chain — claim, falsification, defence, falsification, mechanism, confirmation — is the appendix’s main methodological point.</w:t>
      </w:r>
    </w:p>
    <w:bookmarkEnd w:id="366"/>
    <w:bookmarkStart w:id="367" w:name="k.5-reproducing-chapter-9"/>
    <w:p>
      <w:pPr>
        <w:pStyle w:val="Heading2"/>
      </w:pPr>
      <w:r>
        <w:t xml:space="preserve">K.5 Reproducing Chapter 9</w:t>
      </w:r>
    </w:p>
    <w:p>
      <w:pPr>
        <w:pStyle w:val="SourceCode"/>
      </w:pPr>
      <w:r>
        <w:rPr>
          <w:rStyle w:val="ExtensionTok"/>
        </w:rPr>
        <w:t xml:space="preserve">cargo</w:t>
      </w:r>
      <w:r>
        <w:rPr>
          <w:rStyle w:val="NormalTok"/>
        </w:rPr>
        <w:t xml:space="preserve"> build </w:t>
      </w:r>
      <w:r>
        <w:rPr>
          <w:rStyle w:val="AttributeTok"/>
        </w:rPr>
        <w:t xml:space="preserve">--release</w:t>
      </w:r>
      <w:r>
        <w:rPr>
          <w:rStyle w:val="NormalTok"/>
        </w:rPr>
        <w:t xml:space="preserve"> </w:t>
      </w:r>
      <w:r>
        <w:rPr>
          <w:rStyle w:val="AttributeTok"/>
        </w:rPr>
        <w:t xml:space="preserve">-p</w:t>
      </w:r>
      <w:r>
        <w:rPr>
          <w:rStyle w:val="NormalTok"/>
        </w:rPr>
        <w:t xml:space="preserve"> experiments</w:t>
      </w:r>
      <w:r>
        <w:br/>
      </w:r>
      <w:r>
        <w:br/>
      </w:r>
      <w:r>
        <w:rPr>
          <w:rStyle w:val="ExtensionTok"/>
        </w:rPr>
        <w:t xml:space="preserve">./target/release/experiments</w:t>
      </w:r>
      <w:r>
        <w:rPr>
          <w:rStyle w:val="NormalTok"/>
        </w:rPr>
        <w:t xml:space="preserve"> e1 e2      </w:t>
      </w:r>
      <w:r>
        <w:rPr>
          <w:rStyle w:val="CommentTok"/>
        </w:rPr>
        <w:t xml:space="preserve"># correctness + duality      (~1 s)</w:t>
      </w:r>
      <w:r>
        <w:br/>
      </w:r>
      <w:r>
        <w:rPr>
          <w:rStyle w:val="ExtensionTok"/>
        </w:rPr>
        <w:t xml:space="preserve">./target/release/experiments</w:t>
      </w:r>
      <w:r>
        <w:rPr>
          <w:rStyle w:val="NormalTok"/>
        </w:rPr>
        <w:t xml:space="preserve"> e3         </w:t>
      </w:r>
      <w:r>
        <w:rPr>
          <w:rStyle w:val="CommentTok"/>
        </w:rPr>
        <w:t xml:space="preserve"># memory vs skew             (~75 s)</w:t>
      </w:r>
      <w:r>
        <w:br/>
      </w:r>
      <w:r>
        <w:rPr>
          <w:rStyle w:val="ExtensionTok"/>
        </w:rPr>
        <w:t xml:space="preserve">./target/release/experiments</w:t>
      </w:r>
      <w:r>
        <w:rPr>
          <w:rStyle w:val="NormalTok"/>
        </w:rPr>
        <w:t xml:space="preserve"> e4         </w:t>
      </w:r>
      <w:r>
        <w:rPr>
          <w:rStyle w:val="CommentTok"/>
        </w:rPr>
        <w:t xml:space="preserve"># phase diagram              (~100 s)</w:t>
      </w:r>
      <w:r>
        <w:br/>
      </w:r>
      <w:r>
        <w:rPr>
          <w:rStyle w:val="ExtensionTok"/>
        </w:rPr>
        <w:t xml:space="preserve">./target/release/experiments</w:t>
      </w:r>
      <w:r>
        <w:rPr>
          <w:rStyle w:val="NormalTok"/>
        </w:rPr>
        <w:t xml:space="preserve"> e5 e6      </w:t>
      </w:r>
      <w:r>
        <w:rPr>
          <w:rStyle w:val="CommentTok"/>
        </w:rPr>
        <w:t xml:space="preserve"># history + policies         (~110 s)</w:t>
      </w:r>
      <w:r>
        <w:br/>
      </w:r>
      <w:r>
        <w:rPr>
          <w:rStyle w:val="ExtensionTok"/>
        </w:rPr>
        <w:t xml:space="preserve">./target/release/experiments</w:t>
      </w:r>
      <w:r>
        <w:rPr>
          <w:rStyle w:val="NormalTok"/>
        </w:rPr>
        <w:t xml:space="preserve"> e7 e8      </w:t>
      </w:r>
      <w:r>
        <w:rPr>
          <w:rStyle w:val="CommentTok"/>
        </w:rPr>
        <w:t xml:space="preserve"># write path + rungs         (~100 s)</w:t>
      </w:r>
      <w:r>
        <w:br/>
      </w:r>
      <w:r>
        <w:rPr>
          <w:rStyle w:val="ExtensionTok"/>
        </w:rPr>
        <w:t xml:space="preserve">./target/release/experiments</w:t>
      </w:r>
      <w:r>
        <w:rPr>
          <w:rStyle w:val="NormalTok"/>
        </w:rPr>
        <w:t xml:space="preserve"> e9         </w:t>
      </w:r>
      <w:r>
        <w:rPr>
          <w:rStyle w:val="CommentTok"/>
        </w:rPr>
        <w:t xml:space="preserve"># refined history test       (~70 s)</w:t>
      </w:r>
      <w:r>
        <w:br/>
      </w:r>
      <w:r>
        <w:rPr>
          <w:rStyle w:val="ExtensionTok"/>
        </w:rPr>
        <w:t xml:space="preserve">./target/release/experiments</w:t>
      </w:r>
      <w:r>
        <w:rPr>
          <w:rStyle w:val="NormalTok"/>
        </w:rPr>
        <w:t xml:space="preserve"> e10        </w:t>
      </w:r>
      <w:r>
        <w:rPr>
          <w:rStyle w:val="CommentTok"/>
        </w:rPr>
        <w:t xml:space="preserve"># checkpoints                (~115 s)</w:t>
      </w:r>
      <w:r>
        <w:br/>
      </w:r>
      <w:r>
        <w:br/>
      </w:r>
      <w:r>
        <w:rPr>
          <w:rStyle w:val="ExtensionTok"/>
        </w:rPr>
        <w:t xml:space="preserve">./target/release/experiments</w:t>
      </w:r>
      <w:r>
        <w:rPr>
          <w:rStyle w:val="NormalTok"/>
        </w:rPr>
        <w:t xml:space="preserve"> all        </w:t>
      </w:r>
      <w:r>
        <w:rPr>
          <w:rStyle w:val="CommentTok"/>
        </w:rPr>
        <w:t xml:space="preserve"># everything</w:t>
      </w:r>
    </w:p>
    <w:p>
      <w:pPr>
        <w:pStyle w:val="FirstParagraph"/>
      </w:pPr>
      <w:r>
        <w:t xml:space="preserve">Artifacts land in</w:t>
      </w:r>
      <w:r>
        <w:t xml:space="preserve"> </w:t>
      </w:r>
      <w:r>
        <w:rPr>
          <w:rStyle w:val="VerbatimChar"/>
        </w:rPr>
        <w:t xml:space="preserve">results/</w:t>
      </w:r>
      <w:r>
        <w:t xml:space="preserve"> </w:t>
      </w:r>
      <w:r>
        <w:t xml:space="preserve">as CSV, one per experiment, plus console transcripts. Chapter 9’s tables are transcriptions of those files. Timings are for the platform in §9.1.2; the counted-work numbers do not depend on it, and a reader should obtain the same values on any machine.</w:t>
      </w:r>
    </w:p>
    <w:bookmarkEnd w:id="367"/>
    <w:bookmarkStart w:id="368" w:name="Xa881ad594f753f6f26791e0b6c69e4a196aef24"/>
    <w:p>
      <w:pPr>
        <w:pStyle w:val="Heading2"/>
      </w:pPr>
      <w:r>
        <w:t xml:space="preserve">K.6 Instrumentation notes, including one that changed a result</w:t>
      </w:r>
    </w:p>
    <w:p>
      <w:pPr>
        <w:pStyle w:val="FirstParagraph"/>
      </w:pPr>
      <w:r>
        <w:rPr>
          <w:bCs/>
          <w:b/>
        </w:rPr>
        <w:t xml:space="preserve">Counting reconstruction work.</w:t>
      </w:r>
      <w:r>
        <w:t xml:space="preserve"> </w:t>
      </w:r>
      <w:r>
        <w:t xml:space="preserve">The ledger increments a</w:t>
      </w:r>
      <w:r>
        <w:t xml:space="preserve"> </w:t>
      </w:r>
      <w:r>
        <w:rPr>
          <w:rStyle w:val="VerbatimChar"/>
        </w:rPr>
        <w:t xml:space="preserve">rows_touched</w:t>
      </w:r>
      <w:r>
        <w:t xml:space="preserve"> </w:t>
      </w:r>
      <w:r>
        <w:t xml:space="preserve">counter by exactly the number of base rows a reconstruction reads, including the checkpoint row when one is used. The view attributes that delta to the read that caused it.</w:t>
      </w:r>
    </w:p>
    <w:p>
      <w:pPr>
        <w:pStyle w:val="BodyText"/>
      </w:pPr>
      <w:r>
        <w:rPr>
          <w:bCs/>
          <w:b/>
        </w:rPr>
        <w:t xml:space="preserve">Resident-entry-epochs, not peak residency.</w:t>
      </w:r>
      <w:r>
        <w:t xml:space="preserve"> </w:t>
      </w:r>
      <w:r>
        <w:t xml:space="preserve">The memory term accumulates the resident count once per applied epoch, giving the integral of residency over time. An earlier version charged</w:t>
      </w:r>
      <w:r>
        <w:t xml:space="preserve"> </w:t>
      </w:r>
      <w:r>
        <w:rPr>
          <w:iCs/>
          <w:i/>
        </w:rPr>
        <w:t xml:space="preserve">peak</w:t>
      </w:r>
      <w:r>
        <w:t xml:space="preserve"> </w:t>
      </w:r>
      <w:r>
        <w:t xml:space="preserve">residency for the whole run, which overstated the cost of a strategy whose footprint grows gradually — that is, of full materialization — and produced a phase diagram in which partial materialization won every cell. The correction is described in §9.3.1 and is recorded here because a cost model that encodes its own conclusion is easy to write and hard to notice.</w:t>
      </w:r>
    </w:p>
    <w:p>
      <w:pPr>
        <w:pStyle w:val="BodyText"/>
      </w:pPr>
      <w:r>
        <w:rPr>
          <w:bCs/>
          <w:b/>
        </w:rPr>
        <w:t xml:space="preserve">Deriving anchors rather than rewriting them.</w:t>
      </w:r>
      <w:r>
        <w:t xml:space="preserve"> </w:t>
      </w:r>
      <w:r>
        <w:t xml:space="preserve">Applying an epoch touches only entries that receive a delta; a resident entry that receives none is certified through the view’s applied frontier by construction, and its effective anchor is computed on read. Rewriting every resident entry per epoch would have made maintenance proportional to residency and would have measured the harness rather than the design.</w:t>
      </w:r>
    </w:p>
    <w:p>
      <w:pPr>
        <w:pStyle w:val="BodyText"/>
      </w:pPr>
      <w:r>
        <w:rPr>
          <w:bCs/>
          <w:b/>
        </w:rPr>
        <w:t xml:space="preserve">The E8 null.</w:t>
      </w:r>
      <w:r>
        <w:t xml:space="preserve"> </w:t>
      </w:r>
      <w:r>
        <w:t xml:space="preserve">The first version of the consistency-rung experiment measured only misses and hit rate, and found no difference between rungs at all. The null was traced to instrumenting the read path when the rung’s cost falls on the maintenance path; adding the applied-delta and apply-invocation counters revealed a 66× difference. §9.4.3 reports both the null and the diagnosis, because the sequence is where the finding actually came from.</w:t>
      </w:r>
    </w:p>
    <w:bookmarkEnd w:id="368"/>
    <w:bookmarkStart w:id="369" w:name="k.7-honest-gaps-in-the-instrument"/>
    <w:p>
      <w:pPr>
        <w:pStyle w:val="Heading2"/>
      </w:pPr>
      <w:r>
        <w:t xml:space="preserve">K.7 Honest gaps in the instrument</w:t>
      </w:r>
    </w:p>
    <w:p>
      <w:pPr>
        <w:numPr>
          <w:ilvl w:val="0"/>
          <w:numId w:val="1037"/>
        </w:numPr>
        <w:pStyle w:val="Compact"/>
      </w:pPr>
      <w:r>
        <w:rPr>
          <w:bCs/>
          <w:b/>
        </w:rPr>
        <w:t xml:space="preserve">Contention is unmeasurable here.</w:t>
      </w:r>
      <w:r>
        <w:t xml:space="preserve"> </w:t>
      </w:r>
      <w:r>
        <w:t xml:space="preserve">Single-threaded execution means the hot-share sweep in §9.4.4 varies a parameter that cannot affect the outcome. Reported as a non-result rather than as evidence of an absence of contention.</w:t>
      </w:r>
    </w:p>
    <w:p>
      <w:pPr>
        <w:numPr>
          <w:ilvl w:val="0"/>
          <w:numId w:val="1037"/>
        </w:numPr>
        <w:pStyle w:val="Compact"/>
      </w:pPr>
      <w:r>
        <w:rPr>
          <w:bCs/>
          <w:b/>
        </w:rPr>
        <w:t xml:space="preserve">The delayed-hit term is analytic.</w:t>
      </w:r>
      <w:r>
        <w:t xml:space="preserve"> </w:t>
      </w:r>
      <w:r>
        <w:t xml:space="preserve">E6 charges each reconstruction for the requests expected to queue behind it, computed from a service time and an arrival rate; it does not simulate a queue. Labelled as a model, not a measurement.</w:t>
      </w:r>
    </w:p>
    <w:p>
      <w:pPr>
        <w:numPr>
          <w:ilvl w:val="0"/>
          <w:numId w:val="1037"/>
        </w:numPr>
        <w:pStyle w:val="Compact"/>
      </w:pPr>
      <w:r>
        <w:rPr>
          <w:bCs/>
          <w:b/>
        </w:rPr>
        <w:t xml:space="preserve">Only two view shapes.</w:t>
      </w:r>
      <w:r>
        <w:t xml:space="preserve"> </w:t>
      </w:r>
      <w:r>
        <w:t xml:space="preserve">Per-key sums and grouped rollups. Upquery paths for joins — where the partial-state literature’s hardest problems live — are not exercised.</w:t>
      </w:r>
    </w:p>
    <w:p>
      <w:pPr>
        <w:numPr>
          <w:ilvl w:val="0"/>
          <w:numId w:val="1037"/>
        </w:numPr>
        <w:pStyle w:val="Compact"/>
      </w:pPr>
      <w:r>
        <w:rPr>
          <w:bCs/>
          <w:b/>
        </w:rPr>
        <w:t xml:space="preserve">No fault injection against durable state</w:t>
      </w:r>
      <w:r>
        <w:t xml:space="preserve">, because there is no durable state.</w:t>
      </w:r>
    </w:p>
    <w:p>
      <w:pPr>
        <w:pStyle w:val="FirstParagraph"/>
      </w:pPr>
      <w:r>
        <w:t xml:space="preserve">Each gap maps to an experiment in §9.9 and to a phase of the programme in Chapter 8.</w:t>
      </w:r>
    </w:p>
    <w:bookmarkEnd w:id="369"/>
    <w:bookmarkEnd w:id="370"/>
    <w:bookmarkStart w:id="387" w:name="references"/>
    <w:p>
      <w:pPr>
        <w:pStyle w:val="Heading1"/>
      </w:pPr>
      <w:r>
        <w:t xml:space="preserve">References</w:t>
      </w:r>
    </w:p>
    <w:p>
      <w:pPr>
        <w:pStyle w:val="FirstParagraph"/>
      </w:pPr>
      <w:r>
        <w:rPr>
          <w:iCs/>
          <w:i/>
        </w:rPr>
        <w:t xml:space="preserve">Bibliographic details were verified against primary sources (publisher pages, official proceedings, standards catalogues, or the documents themselves) during preparation. Where a page range or secondary detail could not be confirmed at source, it is omitted rather than estimated. Online sources are dated by access.</w:t>
      </w:r>
    </w:p>
    <w:bookmarkStart w:id="371" w:name="X8b705472cd5317971598bbbddb09ea721f22e6d"/>
    <w:p>
      <w:pPr>
        <w:pStyle w:val="Heading2"/>
      </w:pPr>
      <w:r>
        <w:t xml:space="preserve">Foundations of the Relational Model and Expressive Power</w:t>
      </w:r>
    </w:p>
    <w:p>
      <w:pPr>
        <w:pStyle w:val="FirstParagraph"/>
      </w:pPr>
      <w:r>
        <w:t xml:space="preserve">[1] E. F. Codd,</w:t>
      </w:r>
      <w:r>
        <w:t xml:space="preserve"> </w:t>
      </w:r>
      <w:r>
        <w:t xml:space="preserve">“</w:t>
      </w:r>
      <w:r>
        <w:t xml:space="preserve">A relational model of data for large shared data banks,</w:t>
      </w:r>
      <w:r>
        <w:t xml:space="preserve">”</w:t>
      </w:r>
      <w:r>
        <w:t xml:space="preserve"> </w:t>
      </w:r>
      <w:r>
        <w:rPr>
          <w:iCs/>
          <w:i/>
        </w:rPr>
        <w:t xml:space="preserve">Communications of the ACM</w:t>
      </w:r>
      <w:r>
        <w:t xml:space="preserve">, vol. 13, no. 6, pp. 377–387, Jun. 1970, doi: 10.1145/362384.362685.</w:t>
      </w:r>
    </w:p>
    <w:p>
      <w:pPr>
        <w:pStyle w:val="BodyText"/>
      </w:pPr>
      <w:r>
        <w:t xml:space="preserve">[2] E. F. Codd,</w:t>
      </w:r>
      <w:r>
        <w:t xml:space="preserve"> </w:t>
      </w:r>
      <w:r>
        <w:t xml:space="preserve">“</w:t>
      </w:r>
      <w:r>
        <w:t xml:space="preserve">Relational completeness of data base sublanguages,</w:t>
      </w:r>
      <w:r>
        <w:t xml:space="preserve">”</w:t>
      </w:r>
      <w:r>
        <w:t xml:space="preserve"> </w:t>
      </w:r>
      <w:r>
        <w:t xml:space="preserve">IBM Research Report RJ987, IBM Research Laboratory, San Jose, CA, USA, Mar. 6, 1972.</w:t>
      </w:r>
    </w:p>
    <w:p>
      <w:pPr>
        <w:pStyle w:val="BodyText"/>
      </w:pPr>
      <w:r>
        <w:t xml:space="preserve">[3] S. Abiteboul, R. Hull, and V. Vianu,</w:t>
      </w:r>
      <w:r>
        <w:t xml:space="preserve"> </w:t>
      </w:r>
      <w:r>
        <w:rPr>
          <w:iCs/>
          <w:i/>
        </w:rPr>
        <w:t xml:space="preserve">Foundations of Databases</w:t>
      </w:r>
      <w:r>
        <w:t xml:space="preserve">. Reading, MA, USA: Addison-Wesley, 1995.</w:t>
      </w:r>
    </w:p>
    <w:p>
      <w:pPr>
        <w:pStyle w:val="BodyText"/>
      </w:pPr>
      <w:r>
        <w:t xml:space="preserve">[4] A. V. Aho and J. D. Ullman,</w:t>
      </w:r>
      <w:r>
        <w:t xml:space="preserve"> </w:t>
      </w:r>
      <w:r>
        <w:t xml:space="preserve">“</w:t>
      </w:r>
      <w:r>
        <w:t xml:space="preserve">The universality of data retrieval languages,</w:t>
      </w:r>
      <w:r>
        <w:t xml:space="preserve">”</w:t>
      </w:r>
      <w:r>
        <w:t xml:space="preserve"> </w:t>
      </w:r>
      <w:r>
        <w:t xml:space="preserve">in</w:t>
      </w:r>
      <w:r>
        <w:t xml:space="preserve"> </w:t>
      </w:r>
      <w:r>
        <w:rPr>
          <w:iCs/>
          <w:i/>
        </w:rPr>
        <w:t xml:space="preserve">Proc. 6th ACM SIGACT-SIGPLAN Symp. Principles of Programming Languages (POPL ’79)</w:t>
      </w:r>
      <w:r>
        <w:t xml:space="preserve">, 1979, pp. 110–120, doi: 10.1145/567752.567763.</w:t>
      </w:r>
    </w:p>
    <w:p>
      <w:pPr>
        <w:pStyle w:val="BodyText"/>
      </w:pPr>
      <w:r>
        <w:t xml:space="preserve">[5] N. Immerman,</w:t>
      </w:r>
      <w:r>
        <w:t xml:space="preserve"> </w:t>
      </w:r>
      <w:r>
        <w:t xml:space="preserve">“</w:t>
      </w:r>
      <w:r>
        <w:t xml:space="preserve">Relational queries computable in polynomial time,</w:t>
      </w:r>
      <w:r>
        <w:t xml:space="preserve">”</w:t>
      </w:r>
      <w:r>
        <w:t xml:space="preserve"> </w:t>
      </w:r>
      <w:r>
        <w:rPr>
          <w:iCs/>
          <w:i/>
        </w:rPr>
        <w:t xml:space="preserve">Information and Control</w:t>
      </w:r>
      <w:r>
        <w:t xml:space="preserve">, vol. 68, no. 1–3, pp. 86–104, 1986, doi: 10.1016/S0019-9958(86)80029-8.</w:t>
      </w:r>
    </w:p>
    <w:p>
      <w:pPr>
        <w:pStyle w:val="BodyText"/>
      </w:pPr>
      <w:r>
        <w:t xml:space="preserve">[6] N. Immerman,</w:t>
      </w:r>
      <w:r>
        <w:t xml:space="preserve"> </w:t>
      </w:r>
      <w:r>
        <w:t xml:space="preserve">“</w:t>
      </w:r>
      <w:r>
        <w:t xml:space="preserve">Relational queries computable in polynomial time (extended abstract),</w:t>
      </w:r>
      <w:r>
        <w:t xml:space="preserve">”</w:t>
      </w:r>
      <w:r>
        <w:t xml:space="preserve"> </w:t>
      </w:r>
      <w:r>
        <w:t xml:space="preserve">in</w:t>
      </w:r>
      <w:r>
        <w:t xml:space="preserve"> </w:t>
      </w:r>
      <w:r>
        <w:rPr>
          <w:iCs/>
          <w:i/>
        </w:rPr>
        <w:t xml:space="preserve">Proc. 14th ACM Symp. Theory of Computing (STOC ’82)</w:t>
      </w:r>
      <w:r>
        <w:t xml:space="preserve">, 1982, doi: 10.1145/800070.802187.</w:t>
      </w:r>
    </w:p>
    <w:p>
      <w:pPr>
        <w:pStyle w:val="BodyText"/>
      </w:pPr>
      <w:r>
        <w:t xml:space="preserve">[7] M. Y. Vardi,</w:t>
      </w:r>
      <w:r>
        <w:t xml:space="preserve"> </w:t>
      </w:r>
      <w:r>
        <w:t xml:space="preserve">“</w:t>
      </w:r>
      <w:r>
        <w:t xml:space="preserve">The complexity of relational query languages (extended abstract),</w:t>
      </w:r>
      <w:r>
        <w:t xml:space="preserve">”</w:t>
      </w:r>
      <w:r>
        <w:t xml:space="preserve"> </w:t>
      </w:r>
      <w:r>
        <w:t xml:space="preserve">in</w:t>
      </w:r>
      <w:r>
        <w:t xml:space="preserve"> </w:t>
      </w:r>
      <w:r>
        <w:rPr>
          <w:iCs/>
          <w:i/>
        </w:rPr>
        <w:t xml:space="preserve">Proc. 14th ACM Symp. Theory of Computing (STOC ’82)</w:t>
      </w:r>
      <w:r>
        <w:t xml:space="preserve">, 1982, pp. 137–146, doi: 10.1145/800070.802186.</w:t>
      </w:r>
    </w:p>
    <w:p>
      <w:pPr>
        <w:pStyle w:val="BodyText"/>
      </w:pPr>
      <w:r>
        <w:t xml:space="preserve">[8] A. K. Chandra and D. Harel,</w:t>
      </w:r>
      <w:r>
        <w:t xml:space="preserve"> </w:t>
      </w:r>
      <w:r>
        <w:t xml:space="preserve">“</w:t>
      </w:r>
      <w:r>
        <w:t xml:space="preserve">Computable queries for relational data bases,</w:t>
      </w:r>
      <w:r>
        <w:t xml:space="preserve">”</w:t>
      </w:r>
      <w:r>
        <w:t xml:space="preserve"> </w:t>
      </w:r>
      <w:r>
        <w:rPr>
          <w:iCs/>
          <w:i/>
        </w:rPr>
        <w:t xml:space="preserve">Journal of Computer and System Sciences</w:t>
      </w:r>
      <w:r>
        <w:t xml:space="preserve">, vol. 21, no. 2, pp. 156–178, 1980, doi: 10.1016/0022-0000(80)90032-X.</w:t>
      </w:r>
    </w:p>
    <w:p>
      <w:pPr>
        <w:pStyle w:val="BodyText"/>
      </w:pPr>
      <w:r>
        <w:t xml:space="preserve">[9] S. Ceri, G. Gottlob, and L. Tanca,</w:t>
      </w:r>
      <w:r>
        <w:t xml:space="preserve"> </w:t>
      </w:r>
      <w:r>
        <w:t xml:space="preserve">“</w:t>
      </w:r>
      <w:r>
        <w:t xml:space="preserve">What you always wanted to know about Datalog (and never dared to ask),</w:t>
      </w:r>
      <w:r>
        <w:t xml:space="preserve">”</w:t>
      </w:r>
      <w:r>
        <w:t xml:space="preserve"> </w:t>
      </w:r>
      <w:r>
        <w:rPr>
          <w:iCs/>
          <w:i/>
        </w:rPr>
        <w:t xml:space="preserve">IEEE Transactions on Knowledge and Data Engineering</w:t>
      </w:r>
      <w:r>
        <w:t xml:space="preserve">, vol. 1, no. 1, pp. 146–166, 1989, doi: 10.1109/69.43410.</w:t>
      </w:r>
    </w:p>
    <w:bookmarkEnd w:id="371"/>
    <w:bookmarkStart w:id="372" w:name="standards"/>
    <w:p>
      <w:pPr>
        <w:pStyle w:val="Heading2"/>
      </w:pPr>
      <w:r>
        <w:t xml:space="preserve">Standards</w:t>
      </w:r>
    </w:p>
    <w:p>
      <w:pPr>
        <w:pStyle w:val="FirstParagraph"/>
      </w:pPr>
      <w:r>
        <w:t xml:space="preserve">[10] ISO/IEC 9075-2:2011,</w:t>
      </w:r>
      <w:r>
        <w:t xml:space="preserve"> </w:t>
      </w:r>
      <w:r>
        <w:rPr>
          <w:iCs/>
          <w:i/>
        </w:rPr>
        <w:t xml:space="preserve">Information technology — Database languages — SQL — Part 2: Foundation (SQL/Foundation)</w:t>
      </w:r>
      <w:r>
        <w:t xml:space="preserve">, ISO/IEC, Geneva, Switzerland, 2011.</w:t>
      </w:r>
    </w:p>
    <w:p>
      <w:pPr>
        <w:pStyle w:val="BodyText"/>
      </w:pPr>
      <w:r>
        <w:t xml:space="preserve">[11] K. Kulkarni and J.-E. Michels,</w:t>
      </w:r>
      <w:r>
        <w:t xml:space="preserve"> </w:t>
      </w:r>
      <w:r>
        <w:t xml:space="preserve">“</w:t>
      </w:r>
      <w:r>
        <w:t xml:space="preserve">Temporal features in SQL:2011,</w:t>
      </w:r>
      <w:r>
        <w:t xml:space="preserve">”</w:t>
      </w:r>
      <w:r>
        <w:t xml:space="preserve"> </w:t>
      </w:r>
      <w:r>
        <w:rPr>
          <w:iCs/>
          <w:i/>
        </w:rPr>
        <w:t xml:space="preserve">ACM SIGMOD Record</w:t>
      </w:r>
      <w:r>
        <w:t xml:space="preserve">, vol. 41, no. 3, pp. 34–43, Sep. 2012, doi: 10.1145/2380776.2380786.</w:t>
      </w:r>
    </w:p>
    <w:p>
      <w:pPr>
        <w:pStyle w:val="BodyText"/>
      </w:pPr>
      <w:r>
        <w:t xml:space="preserve">[12] J. Michels, K. Hare, K. Kulkarni, C. Zuzarte, Z. H. Liu, B. Hammerschmidt, and F. Zemke,</w:t>
      </w:r>
      <w:r>
        <w:t xml:space="preserve"> </w:t>
      </w:r>
      <w:r>
        <w:t xml:space="preserve">“</w:t>
      </w:r>
      <w:r>
        <w:t xml:space="preserve">The new and improved SQL:2016 standard,</w:t>
      </w:r>
      <w:r>
        <w:t xml:space="preserve">”</w:t>
      </w:r>
      <w:r>
        <w:t xml:space="preserve"> </w:t>
      </w:r>
      <w:r>
        <w:rPr>
          <w:iCs/>
          <w:i/>
        </w:rPr>
        <w:t xml:space="preserve">ACM SIGMOD Record</w:t>
      </w:r>
      <w:r>
        <w:t xml:space="preserve">, vol. 47, no. 2, pp. 51–60, Jun. 2018.</w:t>
      </w:r>
    </w:p>
    <w:p>
      <w:pPr>
        <w:pStyle w:val="BodyText"/>
      </w:pPr>
      <w:r>
        <w:t xml:space="preserve">[13] ISO/IEC 9075-16:2023,</w:t>
      </w:r>
      <w:r>
        <w:t xml:space="preserve"> </w:t>
      </w:r>
      <w:r>
        <w:rPr>
          <w:iCs/>
          <w:i/>
        </w:rPr>
        <w:t xml:space="preserve">Information technology — Database languages SQL — Part 16: Property Graph Queries (SQL/PGQ)</w:t>
      </w:r>
      <w:r>
        <w:t xml:space="preserve">, 1st ed., ISO/IEC, Geneva, Switzerland, Jun. 2023.</w:t>
      </w:r>
    </w:p>
    <w:p>
      <w:pPr>
        <w:pStyle w:val="BodyText"/>
      </w:pPr>
      <w:r>
        <w:t xml:space="preserve">[14] ISO/IEC 39075:2024,</w:t>
      </w:r>
      <w:r>
        <w:t xml:space="preserve"> </w:t>
      </w:r>
      <w:r>
        <w:rPr>
          <w:iCs/>
          <w:i/>
        </w:rPr>
        <w:t xml:space="preserve">Information technology — Database languages — GQL</w:t>
      </w:r>
      <w:r>
        <w:t xml:space="preserve">, 1st ed., ISO/IEC, Geneva, Switzerland, 2024.</w:t>
      </w:r>
    </w:p>
    <w:p>
      <w:pPr>
        <w:pStyle w:val="BodyText"/>
      </w:pPr>
      <w:r>
        <w:t xml:space="preserve">[15] ISO 4217:2015,</w:t>
      </w:r>
      <w:r>
        <w:t xml:space="preserve"> </w:t>
      </w:r>
      <w:r>
        <w:rPr>
          <w:iCs/>
          <w:i/>
        </w:rPr>
        <w:t xml:space="preserve">Codes for the representation of currencies</w:t>
      </w:r>
      <w:r>
        <w:t xml:space="preserve">, ISO, Geneva, Switzerland, 2015.</w:t>
      </w:r>
    </w:p>
    <w:p>
      <w:pPr>
        <w:pStyle w:val="BodyText"/>
      </w:pPr>
      <w:r>
        <w:t xml:space="preserve">[16] SIX Group,</w:t>
      </w:r>
      <w:r>
        <w:t xml:space="preserve"> </w:t>
      </w:r>
      <w:r>
        <w:t xml:space="preserve">“</w:t>
      </w:r>
      <w:r>
        <w:t xml:space="preserve">ISO 4217 currency codes — List One,</w:t>
      </w:r>
      <w:r>
        <w:t xml:space="preserve">”</w:t>
      </w:r>
      <w:r>
        <w:t xml:space="preserve"> </w:t>
      </w:r>
      <w:r>
        <w:t xml:space="preserve">Maintenance Agency for ISO 4217. [Online]. Available: https://www.six-group.com/en/products-services/financial-information/data-standards.html</w:t>
      </w:r>
    </w:p>
    <w:p>
      <w:pPr>
        <w:pStyle w:val="BodyText"/>
      </w:pPr>
      <w:r>
        <w:t xml:space="preserve">[17] IEEE Std 754-2019,</w:t>
      </w:r>
      <w:r>
        <w:t xml:space="preserve"> </w:t>
      </w:r>
      <w:r>
        <w:rPr>
          <w:iCs/>
          <w:i/>
        </w:rPr>
        <w:t xml:space="preserve">IEEE Standard for Floating-Point Arithmetic</w:t>
      </w:r>
      <w:r>
        <w:t xml:space="preserve">, IEEE, Jul. 2019, doi: 10.1109/IEEESTD.2019.8766229.</w:t>
      </w:r>
    </w:p>
    <w:p>
      <w:pPr>
        <w:pStyle w:val="BodyText"/>
      </w:pPr>
      <w:r>
        <w:t xml:space="preserve">[18] ISO 20022-1:2013,</w:t>
      </w:r>
      <w:r>
        <w:t xml:space="preserve"> </w:t>
      </w:r>
      <w:r>
        <w:rPr>
          <w:iCs/>
          <w:i/>
        </w:rPr>
        <w:t xml:space="preserve">Financial services — Universal financial industry message scheme — Part 1: Metamodel</w:t>
      </w:r>
      <w:r>
        <w:t xml:space="preserve">, ISO, Geneva, Switzerland, 2013.</w:t>
      </w:r>
    </w:p>
    <w:p>
      <w:pPr>
        <w:pStyle w:val="BodyText"/>
      </w:pPr>
      <w:r>
        <w:t xml:space="preserve">[19] ISO 8583:2023,</w:t>
      </w:r>
      <w:r>
        <w:t xml:space="preserve"> </w:t>
      </w:r>
      <w:r>
        <w:rPr>
          <w:iCs/>
          <w:i/>
        </w:rPr>
        <w:t xml:space="preserve">Financial-transaction-card-originated messages — Interchange message specifications</w:t>
      </w:r>
      <w:r>
        <w:t xml:space="preserve">, 3rd ed., ISO, Geneva, Switzerland, Jul. 2023.</w:t>
      </w:r>
    </w:p>
    <w:bookmarkEnd w:id="372"/>
    <w:bookmarkStart w:id="373" w:name="Xd82535e53fad884de5a28a1edf3f4acdaf365cf"/>
    <w:p>
      <w:pPr>
        <w:pStyle w:val="Heading2"/>
      </w:pPr>
      <w:r>
        <w:t xml:space="preserve">Streams, Dataflow, and Incremental View Maintenance</w:t>
      </w:r>
    </w:p>
    <w:p>
      <w:pPr>
        <w:pStyle w:val="FirstParagraph"/>
      </w:pPr>
      <w:r>
        <w:t xml:space="preserve">[20] A. Arasu, S. Babu, and J. Widom,</w:t>
      </w:r>
      <w:r>
        <w:t xml:space="preserve"> </w:t>
      </w:r>
      <w:r>
        <w:t xml:space="preserve">“</w:t>
      </w:r>
      <w:r>
        <w:t xml:space="preserve">The CQL continuous query language: semantic foundations and query execution,</w:t>
      </w:r>
      <w:r>
        <w:t xml:space="preserve">”</w:t>
      </w:r>
      <w:r>
        <w:t xml:space="preserve"> </w:t>
      </w:r>
      <w:r>
        <w:rPr>
          <w:iCs/>
          <w:i/>
        </w:rPr>
        <w:t xml:space="preserve">The VLDB Journal</w:t>
      </w:r>
      <w:r>
        <w:t xml:space="preserve">, vol. 15, no. 2, pp. 121–142, 2006, doi: 10.1007/s00778-004-0147-z.</w:t>
      </w:r>
    </w:p>
    <w:p>
      <w:pPr>
        <w:pStyle w:val="BodyText"/>
      </w:pPr>
      <w:r>
        <w:t xml:space="preserve">[21] A. Arasu, S. Babu, and J. Widom,</w:t>
      </w:r>
      <w:r>
        <w:t xml:space="preserve"> </w:t>
      </w:r>
      <w:r>
        <w:t xml:space="preserve">“</w:t>
      </w:r>
      <w:r>
        <w:t xml:space="preserve">CQL: A language for continuous queries over streams and relations,</w:t>
      </w:r>
      <w:r>
        <w:t xml:space="preserve">”</w:t>
      </w:r>
      <w:r>
        <w:t xml:space="preserve"> </w:t>
      </w:r>
      <w:r>
        <w:t xml:space="preserve">in</w:t>
      </w:r>
      <w:r>
        <w:t xml:space="preserve"> </w:t>
      </w:r>
      <w:r>
        <w:rPr>
          <w:iCs/>
          <w:i/>
        </w:rPr>
        <w:t xml:space="preserve">Database Programming Languages (DBPL 2003)</w:t>
      </w:r>
      <w:r>
        <w:t xml:space="preserve">, LNCS vol. 2921, Berlin, Germany: Springer, 2004, pp. 1–19, doi: 10.1007/978-3-540-24607-7_1.</w:t>
      </w:r>
    </w:p>
    <w:p>
      <w:pPr>
        <w:pStyle w:val="BodyText"/>
      </w:pPr>
      <w:r>
        <w:t xml:space="preserve">[22] M. Budiu, T. Chajed, F. McSherry, L. Ryzhyk, and V. Tannen,</w:t>
      </w:r>
      <w:r>
        <w:t xml:space="preserve"> </w:t>
      </w:r>
      <w:r>
        <w:t xml:space="preserve">“</w:t>
      </w:r>
      <w:r>
        <w:t xml:space="preserve">DBSP: Automatic incremental view maintenance for rich query languages,</w:t>
      </w:r>
      <w:r>
        <w:t xml:space="preserve">”</w:t>
      </w:r>
      <w:r>
        <w:t xml:space="preserve"> </w:t>
      </w:r>
      <w:r>
        <w:rPr>
          <w:iCs/>
          <w:i/>
        </w:rPr>
        <w:t xml:space="preserve">Proc. VLDB Endowment</w:t>
      </w:r>
      <w:r>
        <w:t xml:space="preserve">, vol. 16, no. 7, pp. 1601–1614, 2023, doi: 10.14778/3587136.3587137.</w:t>
      </w:r>
    </w:p>
    <w:p>
      <w:pPr>
        <w:pStyle w:val="BodyText"/>
      </w:pPr>
      <w:r>
        <w:t xml:space="preserve">[23] M. Budiu, T. Chajed, F. McSherry, L. Ryzhyk, and V. Tannen,</w:t>
      </w:r>
      <w:r>
        <w:t xml:space="preserve"> </w:t>
      </w:r>
      <w:r>
        <w:t xml:space="preserve">“</w:t>
      </w:r>
      <w:r>
        <w:t xml:space="preserve">DBSP: Incremental computation on streams and its applications to databases,</w:t>
      </w:r>
      <w:r>
        <w:t xml:space="preserve">”</w:t>
      </w:r>
      <w:r>
        <w:t xml:space="preserve"> </w:t>
      </w:r>
      <w:r>
        <w:rPr>
          <w:iCs/>
          <w:i/>
        </w:rPr>
        <w:t xml:space="preserve">ACM SIGMOD Record</w:t>
      </w:r>
      <w:r>
        <w:t xml:space="preserve">, vol. 53, no. 1, 2024, doi: 10.1145/3665252.3665271.</w:t>
      </w:r>
    </w:p>
    <w:p>
      <w:pPr>
        <w:pStyle w:val="BodyText"/>
      </w:pPr>
      <w:r>
        <w:t xml:space="preserve">[24] M. Budiu et al.,</w:t>
      </w:r>
      <w:r>
        <w:t xml:space="preserve"> </w:t>
      </w:r>
      <w:r>
        <w:t xml:space="preserve">“</w:t>
      </w:r>
      <w:r>
        <w:t xml:space="preserve">DBSP: Automatic incremental view maintenance for rich query languages,</w:t>
      </w:r>
      <w:r>
        <w:t xml:space="preserve">”</w:t>
      </w:r>
      <w:r>
        <w:t xml:space="preserve"> </w:t>
      </w:r>
      <w:r>
        <w:rPr>
          <w:iCs/>
          <w:i/>
        </w:rPr>
        <w:t xml:space="preserve">The VLDB Journal</w:t>
      </w:r>
      <w:r>
        <w:t xml:space="preserve">, vol. 34, art. 39, 2025, doi: 10.1007/s00778-025-00922-y.</w:t>
      </w:r>
    </w:p>
    <w:p>
      <w:pPr>
        <w:pStyle w:val="BodyText"/>
      </w:pPr>
      <w:r>
        <w:t xml:space="preserve">[25] D. G. Murray, F. McSherry, R. Isaacs, M. Isard, P. Barham, and M. Abadi,</w:t>
      </w:r>
      <w:r>
        <w:t xml:space="preserve"> </w:t>
      </w:r>
      <w:r>
        <w:t xml:space="preserve">“</w:t>
      </w:r>
      <w:r>
        <w:t xml:space="preserve">Naiad: A timely dataflow system,</w:t>
      </w:r>
      <w:r>
        <w:t xml:space="preserve">”</w:t>
      </w:r>
      <w:r>
        <w:t xml:space="preserve"> </w:t>
      </w:r>
      <w:r>
        <w:t xml:space="preserve">in</w:t>
      </w:r>
      <w:r>
        <w:t xml:space="preserve"> </w:t>
      </w:r>
      <w:r>
        <w:rPr>
          <w:iCs/>
          <w:i/>
        </w:rPr>
        <w:t xml:space="preserve">Proc. ACM Symp. Operating Systems Principles (SOSP ’13)</w:t>
      </w:r>
      <w:r>
        <w:t xml:space="preserve">, Farmington, PA, USA, 2013, pp. 439–455, doi: 10.1145/2517349.2522738.</w:t>
      </w:r>
    </w:p>
    <w:p>
      <w:pPr>
        <w:pStyle w:val="BodyText"/>
      </w:pPr>
      <w:r>
        <w:t xml:space="preserve">[26] F. McSherry, D. G. Murray, R. Isaacs, and M. Isard,</w:t>
      </w:r>
      <w:r>
        <w:t xml:space="preserve"> </w:t>
      </w:r>
      <w:r>
        <w:t xml:space="preserve">“</w:t>
      </w:r>
      <w:r>
        <w:t xml:space="preserve">Differential dataflow,</w:t>
      </w:r>
      <w:r>
        <w:t xml:space="preserve">”</w:t>
      </w:r>
      <w:r>
        <w:t xml:space="preserve"> </w:t>
      </w:r>
      <w:r>
        <w:t xml:space="preserve">in</w:t>
      </w:r>
      <w:r>
        <w:t xml:space="preserve"> </w:t>
      </w:r>
      <w:r>
        <w:rPr>
          <w:iCs/>
          <w:i/>
        </w:rPr>
        <w:t xml:space="preserve">Proc. 6th Biennial Conf. Innovative Data Systems Research (CIDR ’13)</w:t>
      </w:r>
      <w:r>
        <w:t xml:space="preserve">, Asilomar, CA, USA, 2013.</w:t>
      </w:r>
    </w:p>
    <w:p>
      <w:pPr>
        <w:pStyle w:val="BodyText"/>
      </w:pPr>
      <w:r>
        <w:t xml:space="preserve">[27] F. McSherry, A. Lattuada, M. Schwarzkopf, and T. Roscoe,</w:t>
      </w:r>
      <w:r>
        <w:t xml:space="preserve"> </w:t>
      </w:r>
      <w:r>
        <w:t xml:space="preserve">“</w:t>
      </w:r>
      <w:r>
        <w:t xml:space="preserve">Shared arrangements: Practical inter-query sharing for streaming dataflows,</w:t>
      </w:r>
      <w:r>
        <w:t xml:space="preserve">”</w:t>
      </w:r>
      <w:r>
        <w:t xml:space="preserve"> </w:t>
      </w:r>
      <w:r>
        <w:rPr>
          <w:iCs/>
          <w:i/>
        </w:rPr>
        <w:t xml:space="preserve">Proc. VLDB Endowment</w:t>
      </w:r>
      <w:r>
        <w:t xml:space="preserve">, vol. 13, no. 10, pp. 1793–1806, 2020, doi: 10.14778/3401960.3401974.</w:t>
      </w:r>
    </w:p>
    <w:p>
      <w:pPr>
        <w:pStyle w:val="BodyText"/>
      </w:pPr>
      <w:r>
        <w:t xml:space="preserve">[28] C. Koch, Y. Ahmad, O. Kennedy, M. Nikolic, A. Nötzli, D. Lupei, and A. Shaikhha,</w:t>
      </w:r>
      <w:r>
        <w:t xml:space="preserve"> </w:t>
      </w:r>
      <w:r>
        <w:t xml:space="preserve">“</w:t>
      </w:r>
      <w:r>
        <w:t xml:space="preserve">DBToaster: Higher-order delta processing for dynamic, frequently fresh views,</w:t>
      </w:r>
      <w:r>
        <w:t xml:space="preserve">”</w:t>
      </w:r>
      <w:r>
        <w:t xml:space="preserve"> </w:t>
      </w:r>
      <w:r>
        <w:rPr>
          <w:iCs/>
          <w:i/>
        </w:rPr>
        <w:t xml:space="preserve">The VLDB Journal</w:t>
      </w:r>
      <w:r>
        <w:t xml:space="preserve">, vol. 23, no. 2, pp. 253–278, 2014.</w:t>
      </w:r>
    </w:p>
    <w:p>
      <w:pPr>
        <w:pStyle w:val="BodyText"/>
      </w:pPr>
      <w:r>
        <w:t xml:space="preserve">[29] T. Akidau et al.,</w:t>
      </w:r>
      <w:r>
        <w:t xml:space="preserve"> </w:t>
      </w:r>
      <w:r>
        <w:t xml:space="preserve">“</w:t>
      </w:r>
      <w:r>
        <w:t xml:space="preserve">The dataflow model: A practical approach to balancing correctness, latency, and cost in massive-scale, unbounded, out-of-order data processing,</w:t>
      </w:r>
      <w:r>
        <w:t xml:space="preserve">”</w:t>
      </w:r>
      <w:r>
        <w:t xml:space="preserve"> </w:t>
      </w:r>
      <w:r>
        <w:rPr>
          <w:iCs/>
          <w:i/>
        </w:rPr>
        <w:t xml:space="preserve">Proc. VLDB Endowment</w:t>
      </w:r>
      <w:r>
        <w:t xml:space="preserve">, vol. 8, no. 12, pp. 1792–1803, 2015.</w:t>
      </w:r>
    </w:p>
    <w:p>
      <w:pPr>
        <w:pStyle w:val="BodyText"/>
      </w:pPr>
      <w:r>
        <w:t xml:space="preserve">[30] E. Begoli, T. Akidau, F. Hueske, J. Hyde, K. Knight, and K. Knowles,</w:t>
      </w:r>
      <w:r>
        <w:t xml:space="preserve"> </w:t>
      </w:r>
      <w:r>
        <w:t xml:space="preserve">“</w:t>
      </w:r>
      <w:r>
        <w:t xml:space="preserve">One SQL to rule them all — an efficient and syntactically idiomatic approach to management of streams and tables,</w:t>
      </w:r>
      <w:r>
        <w:t xml:space="preserve">”</w:t>
      </w:r>
      <w:r>
        <w:t xml:space="preserve"> </w:t>
      </w:r>
      <w:r>
        <w:t xml:space="preserve">in</w:t>
      </w:r>
      <w:r>
        <w:t xml:space="preserve"> </w:t>
      </w:r>
      <w:r>
        <w:rPr>
          <w:iCs/>
          <w:i/>
        </w:rPr>
        <w:t xml:space="preserve">Proc. ACM SIGMOD Int. Conf. Management of Data (SIGMOD ’19)</w:t>
      </w:r>
      <w:r>
        <w:t xml:space="preserve">, 2019, doi: 10.1145/3299869.3314040.</w:t>
      </w:r>
    </w:p>
    <w:p>
      <w:pPr>
        <w:pStyle w:val="BodyText"/>
      </w:pPr>
      <w:r>
        <w:t xml:space="preserve">[31] M. J. Sax, G. Wang, M. Weidlich, and J.-C. Freytag,</w:t>
      </w:r>
      <w:r>
        <w:t xml:space="preserve"> </w:t>
      </w:r>
      <w:r>
        <w:t xml:space="preserve">“</w:t>
      </w:r>
      <w:r>
        <w:t xml:space="preserve">Streams and tables: Two sides of the same coin,</w:t>
      </w:r>
      <w:r>
        <w:t xml:space="preserve">”</w:t>
      </w:r>
      <w:r>
        <w:t xml:space="preserve"> </w:t>
      </w:r>
      <w:r>
        <w:t xml:space="preserve">in</w:t>
      </w:r>
      <w:r>
        <w:t xml:space="preserve"> </w:t>
      </w:r>
      <w:r>
        <w:rPr>
          <w:iCs/>
          <w:i/>
        </w:rPr>
        <w:t xml:space="preserve">Proc. Int. Workshop on Real-Time Business Intelligence and Analytics (BIRTE ’18)</w:t>
      </w:r>
      <w:r>
        <w:t xml:space="preserve">, New York, NY, USA: ACM, 2018, doi: 10.1145/3242153.3242155.</w:t>
      </w:r>
    </w:p>
    <w:p>
      <w:pPr>
        <w:pStyle w:val="BodyText"/>
      </w:pPr>
      <w:r>
        <w:t xml:space="preserve">[32] J. Kreps,</w:t>
      </w:r>
      <w:r>
        <w:t xml:space="preserve"> </w:t>
      </w:r>
      <w:r>
        <w:rPr>
          <w:iCs/>
          <w:i/>
        </w:rPr>
        <w:t xml:space="preserve">I Heart Logs: Event Data, Stream Processing, and Data Integration</w:t>
      </w:r>
      <w:r>
        <w:t xml:space="preserve">. Sebastopol, CA, USA: O’Reilly Media, 2014.</w:t>
      </w:r>
    </w:p>
    <w:p>
      <w:pPr>
        <w:pStyle w:val="BodyText"/>
      </w:pPr>
      <w:r>
        <w:t xml:space="preserve">[33] M. Kleppmann,</w:t>
      </w:r>
      <w:r>
        <w:t xml:space="preserve"> </w:t>
      </w:r>
      <w:r>
        <w:rPr>
          <w:iCs/>
          <w:i/>
        </w:rPr>
        <w:t xml:space="preserve">Designing Data-Intensive Applications</w:t>
      </w:r>
      <w:r>
        <w:t xml:space="preserve">. Sebastopol, CA, USA: O’Reilly Media, 2017.</w:t>
      </w:r>
    </w:p>
    <w:p>
      <w:pPr>
        <w:pStyle w:val="BodyText"/>
      </w:pPr>
      <w:r>
        <w:t xml:space="preserve">[34] P. Carbone, G. Fóra, S. Ewen, S. Haridi, and K. Tzoumas,</w:t>
      </w:r>
      <w:r>
        <w:t xml:space="preserve"> </w:t>
      </w:r>
      <w:r>
        <w:t xml:space="preserve">“</w:t>
      </w:r>
      <w:r>
        <w:t xml:space="preserve">Lightweight asynchronous snapshots for distributed dataflows,</w:t>
      </w:r>
      <w:r>
        <w:t xml:space="preserve">”</w:t>
      </w:r>
      <w:r>
        <w:t xml:space="preserve"> </w:t>
      </w:r>
      <w:r>
        <w:t xml:space="preserve">arXiv:1506.08603, 2015.</w:t>
      </w:r>
    </w:p>
    <w:p>
      <w:pPr>
        <w:pStyle w:val="BodyText"/>
      </w:pPr>
      <w:r>
        <w:t xml:space="preserve">[35] P. Carbone, S. Ewen, G. Fóra, S. Haridi, S. Richter, and K. Tzoumas,</w:t>
      </w:r>
      <w:r>
        <w:t xml:space="preserve"> </w:t>
      </w:r>
      <w:r>
        <w:t xml:space="preserve">“</w:t>
      </w:r>
      <w:r>
        <w:t xml:space="preserve">State management in Apache Flink: Consistent stateful distributed stream processing,</w:t>
      </w:r>
      <w:r>
        <w:t xml:space="preserve">”</w:t>
      </w:r>
      <w:r>
        <w:t xml:space="preserve"> </w:t>
      </w:r>
      <w:r>
        <w:rPr>
          <w:iCs/>
          <w:i/>
        </w:rPr>
        <w:t xml:space="preserve">Proc. VLDB Endowment</w:t>
      </w:r>
      <w:r>
        <w:t xml:space="preserve">, vol. 10, no. 12, 2017, doi: 10.14778/3137765.3137777.</w:t>
      </w:r>
    </w:p>
    <w:p>
      <w:pPr>
        <w:pStyle w:val="BodyText"/>
      </w:pPr>
      <w:r>
        <w:t xml:space="preserve">[36] G. Wang, L. Chen, A. Dikshit, J. Gustafson, B. Chen, M. J. Sax, J. Roesler, S. Blee-Goldman, B. Cadonna, A. Mehta, V. Madan, and J. Rao,</w:t>
      </w:r>
      <w:r>
        <w:t xml:space="preserve"> </w:t>
      </w:r>
      <w:r>
        <w:t xml:space="preserve">“</w:t>
      </w:r>
      <w:r>
        <w:t xml:space="preserve">Consistency and completeness: Rethinking distributed stream processing in Apache Kafka,</w:t>
      </w:r>
      <w:r>
        <w:t xml:space="preserve">”</w:t>
      </w:r>
      <w:r>
        <w:t xml:space="preserve"> </w:t>
      </w:r>
      <w:r>
        <w:t xml:space="preserve">in</w:t>
      </w:r>
      <w:r>
        <w:t xml:space="preserve"> </w:t>
      </w:r>
      <w:r>
        <w:rPr>
          <w:iCs/>
          <w:i/>
        </w:rPr>
        <w:t xml:space="preserve">Proc. ACM SIGMOD Int. Conf. Management of Data (SIGMOD ’21)</w:t>
      </w:r>
      <w:r>
        <w:t xml:space="preserve">, Xi’an, China, 2021, doi: 10.1145/3448016.3457556.</w:t>
      </w:r>
    </w:p>
    <w:p>
      <w:pPr>
        <w:pStyle w:val="BodyText"/>
      </w:pPr>
      <w:r>
        <w:t xml:space="preserve">[37] K. M. Chandy and L. Lamport,</w:t>
      </w:r>
      <w:r>
        <w:t xml:space="preserve"> </w:t>
      </w:r>
      <w:r>
        <w:t xml:space="preserve">“</w:t>
      </w:r>
      <w:r>
        <w:t xml:space="preserve">Distributed snapshots: Determining global states of distributed systems,</w:t>
      </w:r>
      <w:r>
        <w:t xml:space="preserve">”</w:t>
      </w:r>
      <w:r>
        <w:t xml:space="preserve"> </w:t>
      </w:r>
      <w:r>
        <w:rPr>
          <w:iCs/>
          <w:i/>
        </w:rPr>
        <w:t xml:space="preserve">ACM Transactions on Computer Systems</w:t>
      </w:r>
      <w:r>
        <w:t xml:space="preserve">, vol. 3, no. 1, pp. 63–75, 1985.</w:t>
      </w:r>
    </w:p>
    <w:p>
      <w:pPr>
        <w:pStyle w:val="BodyText"/>
      </w:pPr>
      <w:r>
        <w:t xml:space="preserve">[38] Y. Wu et al.,</w:t>
      </w:r>
      <w:r>
        <w:t xml:space="preserve"> </w:t>
      </w:r>
      <w:r>
        <w:t xml:space="preserve">“</w:t>
      </w:r>
      <w:r>
        <w:t xml:space="preserve">A sneak peek at RisingWave: A cloud-native streaming database,</w:t>
      </w:r>
      <w:r>
        <w:t xml:space="preserve">”</w:t>
      </w:r>
      <w:r>
        <w:t xml:space="preserve"> </w:t>
      </w:r>
      <w:r>
        <w:t xml:space="preserve">in</w:t>
      </w:r>
      <w:r>
        <w:t xml:space="preserve"> </w:t>
      </w:r>
      <w:r>
        <w:rPr>
          <w:iCs/>
          <w:i/>
        </w:rPr>
        <w:t xml:space="preserve">Proc. 16th ACM Int. Conf. Distributed and Event-Based Systems (DEBS ’22)</w:t>
      </w:r>
      <w:r>
        <w:t xml:space="preserve">, 2022, doi: 10.1145/3524860.3543284.</w:t>
      </w:r>
    </w:p>
    <w:p>
      <w:pPr>
        <w:pStyle w:val="BodyText"/>
      </w:pPr>
      <w:r>
        <w:t xml:space="preserve">[39] Materialize,</w:t>
      </w:r>
      <w:r>
        <w:t xml:space="preserve"> </w:t>
      </w:r>
      <w:r>
        <w:t xml:space="preserve">“</w:t>
      </w:r>
      <w:r>
        <w:t xml:space="preserve">Isolation levels,</w:t>
      </w:r>
      <w:r>
        <w:t xml:space="preserve">”</w:t>
      </w:r>
      <w:r>
        <w:t xml:space="preserve"> </w:t>
      </w:r>
      <w:r>
        <w:t xml:space="preserve">Materialize Documentation. [Online]. Available: https://materialize.com/docs/get-started/isolation-level/ (accessed Aug. 2026).</w:t>
      </w:r>
    </w:p>
    <w:bookmarkEnd w:id="373"/>
    <w:bookmarkStart w:id="374" w:name="X6ae44d6ccd6fb2e0f3faf019c43244b00efe2e3"/>
    <w:p>
      <w:pPr>
        <w:pStyle w:val="Heading2"/>
      </w:pPr>
      <w:r>
        <w:t xml:space="preserve">Partial State and Demand-Driven Materialization</w:t>
      </w:r>
    </w:p>
    <w:p>
      <w:pPr>
        <w:pStyle w:val="FirstParagraph"/>
      </w:pPr>
      <w:r>
        <w:t xml:space="preserve">[40] J. Gjengset, M. Schwarzkopf, J. Behrens, L. T. Araújo, M. Ek, E. Kohler, M. F. Kaashoek, and R. Morris,</w:t>
      </w:r>
      <w:r>
        <w:t xml:space="preserve"> </w:t>
      </w:r>
      <w:r>
        <w:t xml:space="preserve">“</w:t>
      </w:r>
      <w:r>
        <w:t xml:space="preserve">Noria: Dynamic, partially-stateful data-flow for high-performance web applications,</w:t>
      </w:r>
      <w:r>
        <w:t xml:space="preserve">”</w:t>
      </w:r>
      <w:r>
        <w:t xml:space="preserve"> </w:t>
      </w:r>
      <w:r>
        <w:t xml:space="preserve">in</w:t>
      </w:r>
      <w:r>
        <w:t xml:space="preserve"> </w:t>
      </w:r>
      <w:r>
        <w:rPr>
          <w:iCs/>
          <w:i/>
        </w:rPr>
        <w:t xml:space="preserve">Proc. 13th USENIX Symp. Operating Systems Design and Implementation (OSDI ’18)</w:t>
      </w:r>
      <w:r>
        <w:t xml:space="preserve">, Carlsbad, CA, USA, Oct. 2018, pp. 213–231.</w:t>
      </w:r>
    </w:p>
    <w:p>
      <w:pPr>
        <w:pStyle w:val="BodyText"/>
      </w:pPr>
      <w:r>
        <w:t xml:space="preserve">[41] J. F. R. Gjengset,</w:t>
      </w:r>
      <w:r>
        <w:t xml:space="preserve"> </w:t>
      </w:r>
      <w:r>
        <w:t xml:space="preserve">“</w:t>
      </w:r>
      <w:r>
        <w:t xml:space="preserve">Partial state in dataflow-based materialized views,</w:t>
      </w:r>
      <w:r>
        <w:t xml:space="preserve">”</w:t>
      </w:r>
      <w:r>
        <w:t xml:space="preserve"> </w:t>
      </w:r>
      <w:r>
        <w:t xml:space="preserve">Ph.D. dissertation, Dept. of Electrical Engineering and Computer Science, Massachusetts Institute of Technology, Cambridge, MA, USA, Feb. 2021.</w:t>
      </w:r>
    </w:p>
    <w:p>
      <w:pPr>
        <w:pStyle w:val="BodyText"/>
      </w:pPr>
      <w:r>
        <w:t xml:space="preserve">[42] S. Idreos, M. L. Kersten, and S. Manegold,</w:t>
      </w:r>
      <w:r>
        <w:t xml:space="preserve"> </w:t>
      </w:r>
      <w:r>
        <w:t xml:space="preserve">“</w:t>
      </w:r>
      <w:r>
        <w:t xml:space="preserve">Database cracking,</w:t>
      </w:r>
      <w:r>
        <w:t xml:space="preserve">”</w:t>
      </w:r>
      <w:r>
        <w:t xml:space="preserve"> </w:t>
      </w:r>
      <w:r>
        <w:t xml:space="preserve">in</w:t>
      </w:r>
      <w:r>
        <w:t xml:space="preserve"> </w:t>
      </w:r>
      <w:r>
        <w:rPr>
          <w:iCs/>
          <w:i/>
        </w:rPr>
        <w:t xml:space="preserve">Proc. 3rd Biennial Conf. Innovative Data Systems Research (CIDR ’07)</w:t>
      </w:r>
      <w:r>
        <w:t xml:space="preserve">, Asilomar, CA, USA, 2007, pp. 68–78.</w:t>
      </w:r>
    </w:p>
    <w:p>
      <w:pPr>
        <w:pStyle w:val="BodyText"/>
      </w:pPr>
      <w:r>
        <w:t xml:space="preserve">[43] G. Graefe and H. Kuno,</w:t>
      </w:r>
      <w:r>
        <w:t xml:space="preserve"> </w:t>
      </w:r>
      <w:r>
        <w:t xml:space="preserve">“</w:t>
      </w:r>
      <w:r>
        <w:t xml:space="preserve">Self-selecting, self-tuning, incrementally optimized indexes,</w:t>
      </w:r>
      <w:r>
        <w:t xml:space="preserve">”</w:t>
      </w:r>
      <w:r>
        <w:t xml:space="preserve"> </w:t>
      </w:r>
      <w:r>
        <w:t xml:space="preserve">in</w:t>
      </w:r>
      <w:r>
        <w:t xml:space="preserve"> </w:t>
      </w:r>
      <w:r>
        <w:rPr>
          <w:iCs/>
          <w:i/>
        </w:rPr>
        <w:t xml:space="preserve">Proc. 13th Int. Conf. Extending Database Technology (EDBT ’10)</w:t>
      </w:r>
      <w:r>
        <w:t xml:space="preserve">, Lausanne, Switzerland, 2010, pp. 371–381.</w:t>
      </w:r>
    </w:p>
    <w:bookmarkEnd w:id="374"/>
    <w:bookmarkStart w:id="375" w:name="X240af894b99fdb0281277eab657e8f33398122e"/>
    <w:p>
      <w:pPr>
        <w:pStyle w:val="Heading2"/>
      </w:pPr>
      <w:r>
        <w:t xml:space="preserve">Caching, Competitive Analysis, and Physical Design</w:t>
      </w:r>
    </w:p>
    <w:p>
      <w:pPr>
        <w:pStyle w:val="FirstParagraph"/>
      </w:pPr>
      <w:r>
        <w:t xml:space="preserve">[44] D. D. Sleator and R. E. Tarjan,</w:t>
      </w:r>
      <w:r>
        <w:t xml:space="preserve"> </w:t>
      </w:r>
      <w:r>
        <w:t xml:space="preserve">“</w:t>
      </w:r>
      <w:r>
        <w:t xml:space="preserve">Amortized efficiency of list update and paging rules,</w:t>
      </w:r>
      <w:r>
        <w:t xml:space="preserve">”</w:t>
      </w:r>
      <w:r>
        <w:t xml:space="preserve"> </w:t>
      </w:r>
      <w:r>
        <w:rPr>
          <w:iCs/>
          <w:i/>
        </w:rPr>
        <w:t xml:space="preserve">Communications of the ACM</w:t>
      </w:r>
      <w:r>
        <w:t xml:space="preserve">, vol. 28, no. 2, pp. 202–208, Feb. 1985, doi: 10.1145/2786.2793.</w:t>
      </w:r>
    </w:p>
    <w:p>
      <w:pPr>
        <w:pStyle w:val="BodyText"/>
      </w:pPr>
      <w:r>
        <w:t xml:space="preserve">[45] L. A. Belady,</w:t>
      </w:r>
      <w:r>
        <w:t xml:space="preserve"> </w:t>
      </w:r>
      <w:r>
        <w:t xml:space="preserve">“</w:t>
      </w:r>
      <w:r>
        <w:t xml:space="preserve">A study of replacement algorithms for a virtual-storage computer,</w:t>
      </w:r>
      <w:r>
        <w:t xml:space="preserve">”</w:t>
      </w:r>
      <w:r>
        <w:t xml:space="preserve"> </w:t>
      </w:r>
      <w:r>
        <w:rPr>
          <w:iCs/>
          <w:i/>
        </w:rPr>
        <w:t xml:space="preserve">IBM Systems Journal</w:t>
      </w:r>
      <w:r>
        <w:t xml:space="preserve">, vol. 5, no. 2, pp. 78–101, 1966, doi: 10.1147/sj.52.0078.</w:t>
      </w:r>
    </w:p>
    <w:p>
      <w:pPr>
        <w:pStyle w:val="BodyText"/>
      </w:pPr>
      <w:r>
        <w:t xml:space="preserve">[46] A. Fiat, R. M. Karp, M. Luby, L. A. McGeoch, D. D. Sleator, and N. E. Young,</w:t>
      </w:r>
      <w:r>
        <w:t xml:space="preserve"> </w:t>
      </w:r>
      <w:r>
        <w:t xml:space="preserve">“</w:t>
      </w:r>
      <w:r>
        <w:t xml:space="preserve">Competitive paging algorithms,</w:t>
      </w:r>
      <w:r>
        <w:t xml:space="preserve">”</w:t>
      </w:r>
      <w:r>
        <w:t xml:space="preserve"> </w:t>
      </w:r>
      <w:r>
        <w:rPr>
          <w:iCs/>
          <w:i/>
        </w:rPr>
        <w:t xml:space="preserve">Journal of Algorithms</w:t>
      </w:r>
      <w:r>
        <w:t xml:space="preserve">, vol. 12, no. 4, pp. 685–699, 1991, doi: 10.1016/0196-6774(91)90041-V.</w:t>
      </w:r>
    </w:p>
    <w:p>
      <w:pPr>
        <w:pStyle w:val="BodyText"/>
      </w:pPr>
      <w:r>
        <w:t xml:space="preserve">[47] N. E. Young,</w:t>
      </w:r>
      <w:r>
        <w:t xml:space="preserve"> </w:t>
      </w:r>
      <w:r>
        <w:t xml:space="preserve">“</w:t>
      </w:r>
      <w:r>
        <w:t xml:space="preserve">On-line file caching,</w:t>
      </w:r>
      <w:r>
        <w:t xml:space="preserve">”</w:t>
      </w:r>
      <w:r>
        <w:t xml:space="preserve"> </w:t>
      </w:r>
      <w:r>
        <w:rPr>
          <w:iCs/>
          <w:i/>
        </w:rPr>
        <w:t xml:space="preserve">Algorithmica</w:t>
      </w:r>
      <w:r>
        <w:t xml:space="preserve">, vol. 33, no. 3, pp. 371–383, 2002, doi: 10.1007/s00453-001-0124-5.</w:t>
      </w:r>
    </w:p>
    <w:p>
      <w:pPr>
        <w:pStyle w:val="BodyText"/>
      </w:pPr>
      <w:r>
        <w:t xml:space="preserve">[48] P. Cao and S. Irani,</w:t>
      </w:r>
      <w:r>
        <w:t xml:space="preserve"> </w:t>
      </w:r>
      <w:r>
        <w:t xml:space="preserve">“</w:t>
      </w:r>
      <w:r>
        <w:t xml:space="preserve">Cost-aware WWW proxy caching algorithms,</w:t>
      </w:r>
      <w:r>
        <w:t xml:space="preserve">”</w:t>
      </w:r>
      <w:r>
        <w:t xml:space="preserve"> </w:t>
      </w:r>
      <w:r>
        <w:t xml:space="preserve">in</w:t>
      </w:r>
      <w:r>
        <w:t xml:space="preserve"> </w:t>
      </w:r>
      <w:r>
        <w:rPr>
          <w:iCs/>
          <w:i/>
        </w:rPr>
        <w:t xml:space="preserve">Proc. USENIX Symp. Internet Technologies and Systems (USITS ’97)</w:t>
      </w:r>
      <w:r>
        <w:t xml:space="preserve">, Monterey, CA, USA, 1997.</w:t>
      </w:r>
    </w:p>
    <w:p>
      <w:pPr>
        <w:pStyle w:val="BodyText"/>
      </w:pPr>
      <w:r>
        <w:t xml:space="preserve">[49] A. R. Karlin, M. S. Manasse, L. Rudolph, and D. D. Sleator,</w:t>
      </w:r>
      <w:r>
        <w:t xml:space="preserve"> </w:t>
      </w:r>
      <w:r>
        <w:t xml:space="preserve">“</w:t>
      </w:r>
      <w:r>
        <w:t xml:space="preserve">Competitive snoopy caching,</w:t>
      </w:r>
      <w:r>
        <w:t xml:space="preserve">”</w:t>
      </w:r>
      <w:r>
        <w:t xml:space="preserve"> </w:t>
      </w:r>
      <w:r>
        <w:rPr>
          <w:iCs/>
          <w:i/>
        </w:rPr>
        <w:t xml:space="preserve">Algorithmica</w:t>
      </w:r>
      <w:r>
        <w:t xml:space="preserve">, vol. 3, no. 1, pp. 79–119, 1988, doi: 10.1007/BF01762111.</w:t>
      </w:r>
    </w:p>
    <w:p>
      <w:pPr>
        <w:pStyle w:val="BodyText"/>
      </w:pPr>
      <w:r>
        <w:t xml:space="preserve">[50] A. R. Karlin, M. S. Manasse, L. A. McGeoch, and S. Owicki,</w:t>
      </w:r>
      <w:r>
        <w:t xml:space="preserve"> </w:t>
      </w:r>
      <w:r>
        <w:t xml:space="preserve">“</w:t>
      </w:r>
      <w:r>
        <w:t xml:space="preserve">Competitive randomized algorithms for nonuniform problems,</w:t>
      </w:r>
      <w:r>
        <w:t xml:space="preserve">”</w:t>
      </w:r>
      <w:r>
        <w:t xml:space="preserve"> </w:t>
      </w:r>
      <w:r>
        <w:rPr>
          <w:iCs/>
          <w:i/>
        </w:rPr>
        <w:t xml:space="preserve">Algorithmica</w:t>
      </w:r>
      <w:r>
        <w:t xml:space="preserve">, vol. 11, no. 6, pp. 542–571, 1994, doi: 10.1007/BF01189993.</w:t>
      </w:r>
    </w:p>
    <w:p>
      <w:pPr>
        <w:pStyle w:val="BodyText"/>
      </w:pPr>
      <w:r>
        <w:t xml:space="preserve">[51] N. Atre, J. Sherry, W. Wang, and D. S. Berger,</w:t>
      </w:r>
      <w:r>
        <w:t xml:space="preserve"> </w:t>
      </w:r>
      <w:r>
        <w:t xml:space="preserve">“</w:t>
      </w:r>
      <w:r>
        <w:t xml:space="preserve">Caching with delayed hits,</w:t>
      </w:r>
      <w:r>
        <w:t xml:space="preserve">”</w:t>
      </w:r>
      <w:r>
        <w:t xml:space="preserve"> </w:t>
      </w:r>
      <w:r>
        <w:t xml:space="preserve">in</w:t>
      </w:r>
      <w:r>
        <w:t xml:space="preserve"> </w:t>
      </w:r>
      <w:r>
        <w:rPr>
          <w:iCs/>
          <w:i/>
        </w:rPr>
        <w:t xml:space="preserve">Proc. ACM SIGCOMM Conf. (SIGCOMM ’20)</w:t>
      </w:r>
      <w:r>
        <w:t xml:space="preserve">, Aug. 2020, doi: 10.1145/3387514.3405883.</w:t>
      </w:r>
    </w:p>
    <w:p>
      <w:pPr>
        <w:pStyle w:val="BodyText"/>
      </w:pPr>
      <w:r>
        <w:t xml:space="preserve">[52] V. Harinarayan, A. Rajaraman, and J. D. Ullman,</w:t>
      </w:r>
      <w:r>
        <w:t xml:space="preserve"> </w:t>
      </w:r>
      <w:r>
        <w:t xml:space="preserve">“</w:t>
      </w:r>
      <w:r>
        <w:t xml:space="preserve">Implementing data cubes efficiently,</w:t>
      </w:r>
      <w:r>
        <w:t xml:space="preserve">”</w:t>
      </w:r>
      <w:r>
        <w:t xml:space="preserve"> </w:t>
      </w:r>
      <w:r>
        <w:t xml:space="preserve">in</w:t>
      </w:r>
      <w:r>
        <w:t xml:space="preserve"> </w:t>
      </w:r>
      <w:r>
        <w:rPr>
          <w:iCs/>
          <w:i/>
        </w:rPr>
        <w:t xml:space="preserve">Proc. ACM SIGMOD Int. Conf. Management of Data (SIGMOD ’96)</w:t>
      </w:r>
      <w:r>
        <w:t xml:space="preserve">, Montreal, QC, Canada, 1996, pp. 205–216, doi: 10.1145/233269.233333.</w:t>
      </w:r>
    </w:p>
    <w:p>
      <w:pPr>
        <w:pStyle w:val="BodyText"/>
      </w:pPr>
      <w:r>
        <w:t xml:space="preserve">[53] D. Comer,</w:t>
      </w:r>
      <w:r>
        <w:t xml:space="preserve"> </w:t>
      </w:r>
      <w:r>
        <w:t xml:space="preserve">“</w:t>
      </w:r>
      <w:r>
        <w:t xml:space="preserve">The difficulty of optimum index selection,</w:t>
      </w:r>
      <w:r>
        <w:t xml:space="preserve">”</w:t>
      </w:r>
      <w:r>
        <w:t xml:space="preserve"> </w:t>
      </w:r>
      <w:r>
        <w:rPr>
          <w:iCs/>
          <w:i/>
        </w:rPr>
        <w:t xml:space="preserve">ACM Transactions on Database Systems</w:t>
      </w:r>
      <w:r>
        <w:t xml:space="preserve">, vol. 3, no. 4, 1978, doi: 10.1145/320289.320296.</w:t>
      </w:r>
    </w:p>
    <w:p>
      <w:pPr>
        <w:pStyle w:val="BodyText"/>
      </w:pPr>
      <w:r>
        <w:t xml:space="preserve">[54] S. Chaudhuri and V. Narasayya,</w:t>
      </w:r>
      <w:r>
        <w:t xml:space="preserve"> </w:t>
      </w:r>
      <w:r>
        <w:t xml:space="preserve">“</w:t>
      </w:r>
      <w:r>
        <w:t xml:space="preserve">An efficient, cost-driven index selection tool for Microsoft SQL Server,</w:t>
      </w:r>
      <w:r>
        <w:t xml:space="preserve">”</w:t>
      </w:r>
      <w:r>
        <w:t xml:space="preserve"> </w:t>
      </w:r>
      <w:r>
        <w:t xml:space="preserve">in</w:t>
      </w:r>
      <w:r>
        <w:t xml:space="preserve"> </w:t>
      </w:r>
      <w:r>
        <w:rPr>
          <w:iCs/>
          <w:i/>
        </w:rPr>
        <w:t xml:space="preserve">Proc. 23rd Int. Conf. Very Large Data Bases (VLDB ’97)</w:t>
      </w:r>
      <w:r>
        <w:t xml:space="preserve">, Athens, Greece, 1997, pp. 146–155.</w:t>
      </w:r>
    </w:p>
    <w:p>
      <w:pPr>
        <w:pStyle w:val="BodyText"/>
      </w:pPr>
      <w:r>
        <w:t xml:space="preserve">[55] A. Pavlo et al.,</w:t>
      </w:r>
      <w:r>
        <w:t xml:space="preserve"> </w:t>
      </w:r>
      <w:r>
        <w:t xml:space="preserve">“</w:t>
      </w:r>
      <w:r>
        <w:t xml:space="preserve">Self-driving database management systems,</w:t>
      </w:r>
      <w:r>
        <w:t xml:space="preserve">”</w:t>
      </w:r>
      <w:r>
        <w:t xml:space="preserve"> </w:t>
      </w:r>
      <w:r>
        <w:t xml:space="preserve">in</w:t>
      </w:r>
      <w:r>
        <w:t xml:space="preserve"> </w:t>
      </w:r>
      <w:r>
        <w:rPr>
          <w:iCs/>
          <w:i/>
        </w:rPr>
        <w:t xml:space="preserve">Proc. 8th Biennial Conf. Innovative Data Systems Research (CIDR ’17)</w:t>
      </w:r>
      <w:r>
        <w:t xml:space="preserve">, Chaminade, CA, USA, 2017.</w:t>
      </w:r>
    </w:p>
    <w:p>
      <w:pPr>
        <w:pStyle w:val="BodyText"/>
      </w:pPr>
      <w:r>
        <w:t xml:space="preserve">[56] D. Van Aken, A. Pavlo, G. J. Gordon, and B. Zhang,</w:t>
      </w:r>
      <w:r>
        <w:t xml:space="preserve"> </w:t>
      </w:r>
      <w:r>
        <w:t xml:space="preserve">“</w:t>
      </w:r>
      <w:r>
        <w:t xml:space="preserve">Automatic database management system tuning through large-scale machine learning,</w:t>
      </w:r>
      <w:r>
        <w:t xml:space="preserve">”</w:t>
      </w:r>
      <w:r>
        <w:t xml:space="preserve"> </w:t>
      </w:r>
      <w:r>
        <w:t xml:space="preserve">in</w:t>
      </w:r>
      <w:r>
        <w:t xml:space="preserve"> </w:t>
      </w:r>
      <w:r>
        <w:rPr>
          <w:iCs/>
          <w:i/>
        </w:rPr>
        <w:t xml:space="preserve">Proc. ACM Int. Conf. Management of Data (SIGMOD ’17)</w:t>
      </w:r>
      <w:r>
        <w:t xml:space="preserve">, 2017, pp. 1009–1024, doi: 10.1145/3035918.3064029.</w:t>
      </w:r>
    </w:p>
    <w:bookmarkEnd w:id="375"/>
    <w:bookmarkStart w:id="376" w:name="workload-measurement"/>
    <w:p>
      <w:pPr>
        <w:pStyle w:val="Heading2"/>
      </w:pPr>
      <w:r>
        <w:t xml:space="preserve">Workload Measurement</w:t>
      </w:r>
    </w:p>
    <w:p>
      <w:pPr>
        <w:pStyle w:val="FirstParagraph"/>
      </w:pPr>
      <w:r>
        <w:t xml:space="preserve">[57] J. Yang, Y. Yue, and K. V. Rashmi,</w:t>
      </w:r>
      <w:r>
        <w:t xml:space="preserve"> </w:t>
      </w:r>
      <w:r>
        <w:t xml:space="preserve">“</w:t>
      </w:r>
      <w:r>
        <w:t xml:space="preserve">A large scale analysis of hundreds of in-memory cache clusters at Twitter,</w:t>
      </w:r>
      <w:r>
        <w:t xml:space="preserve">”</w:t>
      </w:r>
      <w:r>
        <w:t xml:space="preserve"> </w:t>
      </w:r>
      <w:r>
        <w:t xml:space="preserve">in</w:t>
      </w:r>
      <w:r>
        <w:t xml:space="preserve"> </w:t>
      </w:r>
      <w:r>
        <w:rPr>
          <w:iCs/>
          <w:i/>
        </w:rPr>
        <w:t xml:space="preserve">Proc. 14th USENIX Symp. Operating Systems Design and Implementation (OSDI ’20)</w:t>
      </w:r>
      <w:r>
        <w:t xml:space="preserve">, Nov. 2020, pp. 191–208.</w:t>
      </w:r>
    </w:p>
    <w:p>
      <w:pPr>
        <w:pStyle w:val="BodyText"/>
      </w:pPr>
      <w:r>
        <w:t xml:space="preserve">[58] B. Atikoglu, Y. Xu, E. Frachtenberg, S. Jiang, and M. Paleczny,</w:t>
      </w:r>
      <w:r>
        <w:t xml:space="preserve"> </w:t>
      </w:r>
      <w:r>
        <w:t xml:space="preserve">“</w:t>
      </w:r>
      <w:r>
        <w:t xml:space="preserve">Workload analysis of a large-scale key-value store,</w:t>
      </w:r>
      <w:r>
        <w:t xml:space="preserve">”</w:t>
      </w:r>
      <w:r>
        <w:t xml:space="preserve"> </w:t>
      </w:r>
      <w:r>
        <w:t xml:space="preserve">in</w:t>
      </w:r>
      <w:r>
        <w:t xml:space="preserve"> </w:t>
      </w:r>
      <w:r>
        <w:rPr>
          <w:iCs/>
          <w:i/>
        </w:rPr>
        <w:t xml:space="preserve">Proc. ACM SIGMETRICS/PERFORMANCE Joint Int. Conf. Measurement and Modeling of Computer Systems (SIGMETRICS ’12)</w:t>
      </w:r>
      <w:r>
        <w:t xml:space="preserve">, London, U.K., 2012, doi: 10.1145/2254756.2254766.</w:t>
      </w:r>
    </w:p>
    <w:p>
      <w:pPr>
        <w:pStyle w:val="BodyText"/>
      </w:pPr>
      <w:r>
        <w:t xml:space="preserve">[59] B. Berg, D. S. Berger, S. McAllister, I. Grosof, S. Gunasekar, J. Lu, M. Uhlar, J. Carrig, N. Beckmann, M. Harchol-Balter, and G. R. Ganger,</w:t>
      </w:r>
      <w:r>
        <w:t xml:space="preserve"> </w:t>
      </w:r>
      <w:r>
        <w:t xml:space="preserve">“</w:t>
      </w:r>
      <w:r>
        <w:t xml:space="preserve">The CacheLib caching engine: Design and experiences at scale,</w:t>
      </w:r>
      <w:r>
        <w:t xml:space="preserve">”</w:t>
      </w:r>
      <w:r>
        <w:t xml:space="preserve"> </w:t>
      </w:r>
      <w:r>
        <w:t xml:space="preserve">in</w:t>
      </w:r>
      <w:r>
        <w:t xml:space="preserve"> </w:t>
      </w:r>
      <w:r>
        <w:rPr>
          <w:iCs/>
          <w:i/>
        </w:rPr>
        <w:t xml:space="preserve">Proc. 14th USENIX Symp. Operating Systems Design and Implementation (OSDI ’20)</w:t>
      </w:r>
      <w:r>
        <w:t xml:space="preserve">, 2020.</w:t>
      </w:r>
    </w:p>
    <w:bookmarkEnd w:id="376"/>
    <w:bookmarkStart w:id="377" w:name="X7c1a9d8c700f87345eccceaecd178737e84ce26"/>
    <w:p>
      <w:pPr>
        <w:pStyle w:val="Heading2"/>
      </w:pPr>
      <w:r>
        <w:t xml:space="preserve">Transactions, Consistency, and Coordination</w:t>
      </w:r>
    </w:p>
    <w:p>
      <w:pPr>
        <w:pStyle w:val="FirstParagraph"/>
      </w:pPr>
      <w:r>
        <w:t xml:space="preserve">[60] C. H. Papadimitriou,</w:t>
      </w:r>
      <w:r>
        <w:t xml:space="preserve"> </w:t>
      </w:r>
      <w:r>
        <w:t xml:space="preserve">“</w:t>
      </w:r>
      <w:r>
        <w:t xml:space="preserve">The serializability of concurrent database updates,</w:t>
      </w:r>
      <w:r>
        <w:t xml:space="preserve">”</w:t>
      </w:r>
      <w:r>
        <w:t xml:space="preserve"> </w:t>
      </w:r>
      <w:r>
        <w:rPr>
          <w:iCs/>
          <w:i/>
        </w:rPr>
        <w:t xml:space="preserve">Journal of the ACM</w:t>
      </w:r>
      <w:r>
        <w:t xml:space="preserve">, vol. 26, no. 4, pp. 631–653, Oct. 1979, doi: 10.1145/322154.322158.</w:t>
      </w:r>
    </w:p>
    <w:p>
      <w:pPr>
        <w:pStyle w:val="BodyText"/>
      </w:pPr>
      <w:r>
        <w:t xml:space="preserve">[61] M. P. Herlihy and J. M. Wing,</w:t>
      </w:r>
      <w:r>
        <w:t xml:space="preserve"> </w:t>
      </w:r>
      <w:r>
        <w:t xml:space="preserve">“</w:t>
      </w:r>
      <w:r>
        <w:t xml:space="preserve">Linearizability: A correctness condition for concurrent objects,</w:t>
      </w:r>
      <w:r>
        <w:t xml:space="preserve">”</w:t>
      </w:r>
      <w:r>
        <w:t xml:space="preserve"> </w:t>
      </w:r>
      <w:r>
        <w:rPr>
          <w:iCs/>
          <w:i/>
        </w:rPr>
        <w:t xml:space="preserve">ACM Transactions on Programming Languages and Systems</w:t>
      </w:r>
      <w:r>
        <w:t xml:space="preserve">, vol. 12, no. 3, pp. 463–492, Jul. 1990, doi: 10.1145/78969.78972.</w:t>
      </w:r>
    </w:p>
    <w:p>
      <w:pPr>
        <w:pStyle w:val="BodyText"/>
      </w:pPr>
      <w:r>
        <w:t xml:space="preserve">[62] D. B. Terry, A. J. Demers, K. Petersen, M. J. Spreitzer, M. M. Theimer, and B. B. Welch,</w:t>
      </w:r>
      <w:r>
        <w:t xml:space="preserve"> </w:t>
      </w:r>
      <w:r>
        <w:t xml:space="preserve">“</w:t>
      </w:r>
      <w:r>
        <w:t xml:space="preserve">Session guarantees for weakly consistent replicated data,</w:t>
      </w:r>
      <w:r>
        <w:t xml:space="preserve">”</w:t>
      </w:r>
      <w:r>
        <w:t xml:space="preserve"> </w:t>
      </w:r>
      <w:r>
        <w:t xml:space="preserve">in</w:t>
      </w:r>
      <w:r>
        <w:t xml:space="preserve"> </w:t>
      </w:r>
      <w:r>
        <w:rPr>
          <w:iCs/>
          <w:i/>
        </w:rPr>
        <w:t xml:space="preserve">Proc. 3rd Int. Conf. Parallel and Distributed Information Systems (PDIS ’94)</w:t>
      </w:r>
      <w:r>
        <w:t xml:space="preserve">, Austin, TX, USA, 1994.</w:t>
      </w:r>
    </w:p>
    <w:p>
      <w:pPr>
        <w:pStyle w:val="BodyText"/>
      </w:pPr>
      <w:r>
        <w:t xml:space="preserve">[63] P. Viotti and M. Vukolić,</w:t>
      </w:r>
      <w:r>
        <w:t xml:space="preserve"> </w:t>
      </w:r>
      <w:r>
        <w:t xml:space="preserve">“</w:t>
      </w:r>
      <w:r>
        <w:t xml:space="preserve">Consistency in non-transactional distributed storage systems,</w:t>
      </w:r>
      <w:r>
        <w:t xml:space="preserve">”</w:t>
      </w:r>
      <w:r>
        <w:t xml:space="preserve"> </w:t>
      </w:r>
      <w:r>
        <w:rPr>
          <w:iCs/>
          <w:i/>
        </w:rPr>
        <w:t xml:space="preserve">ACM Computing Surveys</w:t>
      </w:r>
      <w:r>
        <w:t xml:space="preserve">, vol. 49, no. 1, 2016, doi: 10.1145/2926965.</w:t>
      </w:r>
    </w:p>
    <w:p>
      <w:pPr>
        <w:pStyle w:val="BodyText"/>
      </w:pPr>
      <w:r>
        <w:t xml:space="preserve">[64] P. Bailis, A. Davidson, A. Fekete, A. Ghodsi, J. M. Hellerstein, and I. Stoica,</w:t>
      </w:r>
      <w:r>
        <w:t xml:space="preserve"> </w:t>
      </w:r>
      <w:r>
        <w:t xml:space="preserve">“</w:t>
      </w:r>
      <w:r>
        <w:t xml:space="preserve">Highly available transactions: Virtues and limitations,</w:t>
      </w:r>
      <w:r>
        <w:t xml:space="preserve">”</w:t>
      </w:r>
      <w:r>
        <w:t xml:space="preserve"> </w:t>
      </w:r>
      <w:r>
        <w:rPr>
          <w:iCs/>
          <w:i/>
        </w:rPr>
        <w:t xml:space="preserve">Proc. VLDB Endowment</w:t>
      </w:r>
      <w:r>
        <w:t xml:space="preserve">, vol. 7, no. 3, pp. 181–192, 2013, doi: 10.14778/2732232.2732237.</w:t>
      </w:r>
    </w:p>
    <w:p>
      <w:pPr>
        <w:pStyle w:val="BodyText"/>
      </w:pPr>
      <w:r>
        <w:t xml:space="preserve">[65] P. Bailis, A. Fekete, M. J. Franklin, A. Ghodsi, J. M. Hellerstein, and I. Stoica,</w:t>
      </w:r>
      <w:r>
        <w:t xml:space="preserve"> </w:t>
      </w:r>
      <w:r>
        <w:t xml:space="preserve">“</w:t>
      </w:r>
      <w:r>
        <w:t xml:space="preserve">Coordination avoidance in database systems,</w:t>
      </w:r>
      <w:r>
        <w:t xml:space="preserve">”</w:t>
      </w:r>
      <w:r>
        <w:t xml:space="preserve"> </w:t>
      </w:r>
      <w:r>
        <w:rPr>
          <w:iCs/>
          <w:i/>
        </w:rPr>
        <w:t xml:space="preserve">Proc. VLDB Endowment</w:t>
      </w:r>
      <w:r>
        <w:t xml:space="preserve">, vol. 8, no. 3, pp. 185–196, 2014, doi: 10.14778/2735508.2735509.</w:t>
      </w:r>
    </w:p>
    <w:p>
      <w:pPr>
        <w:pStyle w:val="BodyText"/>
      </w:pPr>
      <w:r>
        <w:t xml:space="preserve">[66] H. Berenson, P. Bernstein, J. Gray, J. Melton, E. O’Neil, and P. O’Neil,</w:t>
      </w:r>
      <w:r>
        <w:t xml:space="preserve"> </w:t>
      </w:r>
      <w:r>
        <w:t xml:space="preserve">“</w:t>
      </w:r>
      <w:r>
        <w:t xml:space="preserve">A critique of ANSI SQL isolation levels,</w:t>
      </w:r>
      <w:r>
        <w:t xml:space="preserve">”</w:t>
      </w:r>
      <w:r>
        <w:t xml:space="preserve"> </w:t>
      </w:r>
      <w:r>
        <w:t xml:space="preserve">in</w:t>
      </w:r>
      <w:r>
        <w:t xml:space="preserve"> </w:t>
      </w:r>
      <w:r>
        <w:rPr>
          <w:iCs/>
          <w:i/>
        </w:rPr>
        <w:t xml:space="preserve">Proc. ACM SIGMOD Int. Conf. Management of Data</w:t>
      </w:r>
      <w:r>
        <w:t xml:space="preserve">, San Jose, CA, USA, 1995, pp. 1–10.</w:t>
      </w:r>
    </w:p>
    <w:p>
      <w:pPr>
        <w:pStyle w:val="BodyText"/>
      </w:pPr>
      <w:r>
        <w:t xml:space="preserve">[67] S. Gilbert and N. Lynch,</w:t>
      </w:r>
      <w:r>
        <w:t xml:space="preserve"> </w:t>
      </w:r>
      <w:r>
        <w:t xml:space="preserve">“</w:t>
      </w:r>
      <w:r>
        <w:t xml:space="preserve">Brewer’s conjecture and the feasibility of consistent, available, partition-tolerant web services,</w:t>
      </w:r>
      <w:r>
        <w:t xml:space="preserve">”</w:t>
      </w:r>
      <w:r>
        <w:t xml:space="preserve"> </w:t>
      </w:r>
      <w:r>
        <w:rPr>
          <w:iCs/>
          <w:i/>
        </w:rPr>
        <w:t xml:space="preserve">ACM SIGACT News</w:t>
      </w:r>
      <w:r>
        <w:t xml:space="preserve">, vol. 33, no. 2, pp. 51–59, Jun. 2002.</w:t>
      </w:r>
    </w:p>
    <w:p>
      <w:pPr>
        <w:pStyle w:val="BodyText"/>
      </w:pPr>
      <w:r>
        <w:t xml:space="preserve">[68] D. J. Abadi,</w:t>
      </w:r>
      <w:r>
        <w:t xml:space="preserve"> </w:t>
      </w:r>
      <w:r>
        <w:t xml:space="preserve">“</w:t>
      </w:r>
      <w:r>
        <w:t xml:space="preserve">Consistency tradeoffs in modern distributed database system design: CAP is only part of the story,</w:t>
      </w:r>
      <w:r>
        <w:t xml:space="preserve">”</w:t>
      </w:r>
      <w:r>
        <w:t xml:space="preserve"> </w:t>
      </w:r>
      <w:r>
        <w:rPr>
          <w:iCs/>
          <w:i/>
        </w:rPr>
        <w:t xml:space="preserve">IEEE Computer</w:t>
      </w:r>
      <w:r>
        <w:t xml:space="preserve">, vol. 45, no. 2, pp. 37–42, Feb. 2012.</w:t>
      </w:r>
    </w:p>
    <w:p>
      <w:pPr>
        <w:pStyle w:val="BodyText"/>
      </w:pPr>
      <w:r>
        <w:t xml:space="preserve">[69] P. E. O’Neil,</w:t>
      </w:r>
      <w:r>
        <w:t xml:space="preserve"> </w:t>
      </w:r>
      <w:r>
        <w:t xml:space="preserve">“</w:t>
      </w:r>
      <w:r>
        <w:t xml:space="preserve">The Escrow transactional method,</w:t>
      </w:r>
      <w:r>
        <w:t xml:space="preserve">”</w:t>
      </w:r>
      <w:r>
        <w:t xml:space="preserve"> </w:t>
      </w:r>
      <w:r>
        <w:rPr>
          <w:iCs/>
          <w:i/>
        </w:rPr>
        <w:t xml:space="preserve">ACM Transactions on Database Systems</w:t>
      </w:r>
      <w:r>
        <w:t xml:space="preserve">, vol. 11, no. 4, 1986, doi: 10.1145/7239.7265.</w:t>
      </w:r>
    </w:p>
    <w:p>
      <w:pPr>
        <w:pStyle w:val="BodyText"/>
      </w:pPr>
      <w:r>
        <w:t xml:space="preserve">[70] D. Barbará-Millá and H. Garcia-Molina,</w:t>
      </w:r>
      <w:r>
        <w:t xml:space="preserve"> </w:t>
      </w:r>
      <w:r>
        <w:t xml:space="preserve">“</w:t>
      </w:r>
      <w:r>
        <w:t xml:space="preserve">The demarcation protocol: A technique for maintaining constraints in distributed database systems,</w:t>
      </w:r>
      <w:r>
        <w:t xml:space="preserve">”</w:t>
      </w:r>
      <w:r>
        <w:t xml:space="preserve"> </w:t>
      </w:r>
      <w:r>
        <w:rPr>
          <w:iCs/>
          <w:i/>
        </w:rPr>
        <w:t xml:space="preserve">The VLDB Journal</w:t>
      </w:r>
      <w:r>
        <w:t xml:space="preserve">, vol. 3, no. 3, pp. 325–353, 1994, doi: 10.1007/BF01232643.</w:t>
      </w:r>
    </w:p>
    <w:p>
      <w:pPr>
        <w:pStyle w:val="BodyText"/>
      </w:pPr>
      <w:r>
        <w:t xml:space="preserve">[71] N. Narula, C. Cutler, E. Kohler, and R. Morris,</w:t>
      </w:r>
      <w:r>
        <w:t xml:space="preserve"> </w:t>
      </w:r>
      <w:r>
        <w:t xml:space="preserve">“</w:t>
      </w:r>
      <w:r>
        <w:t xml:space="preserve">Phase reconciliation for contended in-memory transactions,</w:t>
      </w:r>
      <w:r>
        <w:t xml:space="preserve">”</w:t>
      </w:r>
      <w:r>
        <w:t xml:space="preserve"> </w:t>
      </w:r>
      <w:r>
        <w:t xml:space="preserve">in</w:t>
      </w:r>
      <w:r>
        <w:t xml:space="preserve"> </w:t>
      </w:r>
      <w:r>
        <w:rPr>
          <w:iCs/>
          <w:i/>
        </w:rPr>
        <w:t xml:space="preserve">Proc. 11th USENIX Symp. Operating Systems Design and Implementation (OSDI ’14)</w:t>
      </w:r>
      <w:r>
        <w:t xml:space="preserve">, Broomfield, CO, USA, 2014, pp. 511–524.</w:t>
      </w:r>
    </w:p>
    <w:p>
      <w:pPr>
        <w:pStyle w:val="BodyText"/>
      </w:pPr>
      <w:r>
        <w:t xml:space="preserve">[72] A. Thomson, T. Diamond, S.-C. Weng, K. Ren, P. Shao, and D. J. Abadi,</w:t>
      </w:r>
      <w:r>
        <w:t xml:space="preserve"> </w:t>
      </w:r>
      <w:r>
        <w:t xml:space="preserve">“</w:t>
      </w:r>
      <w:r>
        <w:t xml:space="preserve">Calvin: Fast distributed transactions for partitioned database systems,</w:t>
      </w:r>
      <w:r>
        <w:t xml:space="preserve">”</w:t>
      </w:r>
      <w:r>
        <w:t xml:space="preserve"> </w:t>
      </w:r>
      <w:r>
        <w:t xml:space="preserve">in</w:t>
      </w:r>
      <w:r>
        <w:t xml:space="preserve"> </w:t>
      </w:r>
      <w:r>
        <w:rPr>
          <w:iCs/>
          <w:i/>
        </w:rPr>
        <w:t xml:space="preserve">Proc. ACM SIGMOD Int. Conf. Management of Data (SIGMOD ’12)</w:t>
      </w:r>
      <w:r>
        <w:t xml:space="preserve">, Scottsdale, AZ, USA, 2012, pp. 1–12, doi: 10.1145/2213836.2213838.</w:t>
      </w:r>
    </w:p>
    <w:p>
      <w:pPr>
        <w:pStyle w:val="BodyText"/>
      </w:pPr>
      <w:r>
        <w:t xml:space="preserve">[73] Y. Lu, X. Yu, L. Cao, and S. Madden,</w:t>
      </w:r>
      <w:r>
        <w:t xml:space="preserve"> </w:t>
      </w:r>
      <w:r>
        <w:t xml:space="preserve">“</w:t>
      </w:r>
      <w:r>
        <w:t xml:space="preserve">Aria: A fast and practical deterministic OLTP database,</w:t>
      </w:r>
      <w:r>
        <w:t xml:space="preserve">”</w:t>
      </w:r>
      <w:r>
        <w:t xml:space="preserve"> </w:t>
      </w:r>
      <w:r>
        <w:rPr>
          <w:iCs/>
          <w:i/>
        </w:rPr>
        <w:t xml:space="preserve">Proc. VLDB Endowment</w:t>
      </w:r>
      <w:r>
        <w:t xml:space="preserve">, vol. 13, no. 12, pp. 2047–2060, 2020, doi: 10.14778/3407790.3407808.</w:t>
      </w:r>
    </w:p>
    <w:p>
      <w:pPr>
        <w:pStyle w:val="BodyText"/>
      </w:pPr>
      <w:r>
        <w:t xml:space="preserve">[74] J. C. Corbett et al.,</w:t>
      </w:r>
      <w:r>
        <w:t xml:space="preserve"> </w:t>
      </w:r>
      <w:r>
        <w:t xml:space="preserve">“</w:t>
      </w:r>
      <w:r>
        <w:t xml:space="preserve">Spanner: Google’s globally-distributed database,</w:t>
      </w:r>
      <w:r>
        <w:t xml:space="preserve">”</w:t>
      </w:r>
      <w:r>
        <w:t xml:space="preserve"> </w:t>
      </w:r>
      <w:r>
        <w:t xml:space="preserve">in</w:t>
      </w:r>
      <w:r>
        <w:t xml:space="preserve"> </w:t>
      </w:r>
      <w:r>
        <w:rPr>
          <w:iCs/>
          <w:i/>
        </w:rPr>
        <w:t xml:space="preserve">Proc. 10th USENIX Symp. Operating Systems Design and Implementation (OSDI ’12)</w:t>
      </w:r>
      <w:r>
        <w:t xml:space="preserve">, Hollywood, CA, USA, 2012, pp. 251–264.</w:t>
      </w:r>
    </w:p>
    <w:p>
      <w:pPr>
        <w:pStyle w:val="BodyText"/>
      </w:pPr>
      <w:r>
        <w:t xml:space="preserve">[75] D. Ongaro and J. Ousterhout,</w:t>
      </w:r>
      <w:r>
        <w:t xml:space="preserve"> </w:t>
      </w:r>
      <w:r>
        <w:t xml:space="preserve">“</w:t>
      </w:r>
      <w:r>
        <w:t xml:space="preserve">In search of an understandable consensus algorithm,</w:t>
      </w:r>
      <w:r>
        <w:t xml:space="preserve">”</w:t>
      </w:r>
      <w:r>
        <w:t xml:space="preserve"> </w:t>
      </w:r>
      <w:r>
        <w:t xml:space="preserve">in</w:t>
      </w:r>
      <w:r>
        <w:t xml:space="preserve"> </w:t>
      </w:r>
      <w:r>
        <w:rPr>
          <w:iCs/>
          <w:i/>
        </w:rPr>
        <w:t xml:space="preserve">Proc. USENIX Annual Technical Conf. (ATC ’14)</w:t>
      </w:r>
      <w:r>
        <w:t xml:space="preserve">, Philadelphia, PA, USA, 2014, pp. 305–319.</w:t>
      </w:r>
    </w:p>
    <w:p>
      <w:pPr>
        <w:pStyle w:val="BodyText"/>
      </w:pPr>
      <w:r>
        <w:t xml:space="preserve">[76] L. Lamport,</w:t>
      </w:r>
      <w:r>
        <w:t xml:space="preserve"> </w:t>
      </w:r>
      <w:r>
        <w:t xml:space="preserve">“</w:t>
      </w:r>
      <w:r>
        <w:t xml:space="preserve">Time, clocks, and the ordering of events in a distributed system,</w:t>
      </w:r>
      <w:r>
        <w:t xml:space="preserve">”</w:t>
      </w:r>
      <w:r>
        <w:t xml:space="preserve"> </w:t>
      </w:r>
      <w:r>
        <w:rPr>
          <w:iCs/>
          <w:i/>
        </w:rPr>
        <w:t xml:space="preserve">Communications of the ACM</w:t>
      </w:r>
      <w:r>
        <w:t xml:space="preserve">, vol. 21, no. 7, pp. 558–565, Jul. 1978.</w:t>
      </w:r>
    </w:p>
    <w:p>
      <w:pPr>
        <w:pStyle w:val="BodyText"/>
      </w:pPr>
      <w:r>
        <w:t xml:space="preserve">[77] P. A. Bernstein and N. Goodman,</w:t>
      </w:r>
      <w:r>
        <w:t xml:space="preserve"> </w:t>
      </w:r>
      <w:r>
        <w:t xml:space="preserve">“</w:t>
      </w:r>
      <w:r>
        <w:t xml:space="preserve">Multiversion concurrency control — theory and algorithms,</w:t>
      </w:r>
      <w:r>
        <w:t xml:space="preserve">”</w:t>
      </w:r>
      <w:r>
        <w:t xml:space="preserve"> </w:t>
      </w:r>
      <w:r>
        <w:rPr>
          <w:iCs/>
          <w:i/>
        </w:rPr>
        <w:t xml:space="preserve">ACM Transactions on Database Systems</w:t>
      </w:r>
      <w:r>
        <w:t xml:space="preserve">, vol. 8, no. 4, pp. 465–483, Dec. 1983.</w:t>
      </w:r>
    </w:p>
    <w:p>
      <w:pPr>
        <w:pStyle w:val="BodyText"/>
      </w:pPr>
      <w:r>
        <w:t xml:space="preserve">[78] C. Mohan, D. Haderle, B. Lindsay, H. Pirahesh, and P. Schwarz,</w:t>
      </w:r>
      <w:r>
        <w:t xml:space="preserve"> </w:t>
      </w:r>
      <w:r>
        <w:t xml:space="preserve">“</w:t>
      </w:r>
      <w:r>
        <w:t xml:space="preserve">ARIES: A transaction recovery method supporting fine-granularity locking and partial rollbacks using write-ahead logging,</w:t>
      </w:r>
      <w:r>
        <w:t xml:space="preserve">”</w:t>
      </w:r>
      <w:r>
        <w:t xml:space="preserve"> </w:t>
      </w:r>
      <w:r>
        <w:rPr>
          <w:iCs/>
          <w:i/>
        </w:rPr>
        <w:t xml:space="preserve">ACM Transactions on Database Systems</w:t>
      </w:r>
      <w:r>
        <w:t xml:space="preserve">, vol. 17, no. 1, pp. 94–162, Mar. 1992.</w:t>
      </w:r>
    </w:p>
    <w:p>
      <w:pPr>
        <w:pStyle w:val="BodyText"/>
      </w:pPr>
      <w:r>
        <w:t xml:space="preserve">[79] Microsoft,</w:t>
      </w:r>
      <w:r>
        <w:t xml:space="preserve"> </w:t>
      </w:r>
      <w:r>
        <w:t xml:space="preserve">“</w:t>
      </w:r>
      <w:r>
        <w:t xml:space="preserve">Consistency levels in Azure Cosmos DB,</w:t>
      </w:r>
      <w:r>
        <w:t xml:space="preserve">”</w:t>
      </w:r>
      <w:r>
        <w:t xml:space="preserve"> </w:t>
      </w:r>
      <w:r>
        <w:t xml:space="preserve">Microsoft Learn. [Online]. Available: https://learn.microsoft.com/en-us/azure/cosmos-db/consistency-levels (accessed Aug. 2026).</w:t>
      </w:r>
    </w:p>
    <w:p>
      <w:pPr>
        <w:pStyle w:val="BodyText"/>
      </w:pPr>
      <w:r>
        <w:t xml:space="preserve">[80] Confluent,</w:t>
      </w:r>
      <w:r>
        <w:t xml:space="preserve"> </w:t>
      </w:r>
      <w:r>
        <w:t xml:space="preserve">“</w:t>
      </w:r>
      <w:r>
        <w:t xml:space="preserve">Message delivery guarantees for Apache Kafka</w:t>
      </w:r>
      <w:r>
        <w:t xml:space="preserve">”</w:t>
      </w:r>
      <w:r>
        <w:t xml:space="preserve"> </w:t>
      </w:r>
      <w:r>
        <w:t xml:space="preserve">and KIP-98,</w:t>
      </w:r>
      <w:r>
        <w:t xml:space="preserve"> </w:t>
      </w:r>
      <w:r>
        <w:t xml:space="preserve">“</w:t>
      </w:r>
      <w:r>
        <w:t xml:space="preserve">Exactly once delivery and transactional messaging.</w:t>
      </w:r>
      <w:r>
        <w:t xml:space="preserve">”</w:t>
      </w:r>
      <w:r>
        <w:t xml:space="preserve"> </w:t>
      </w:r>
      <w:r>
        <w:t xml:space="preserve">[Online]. Available: https://docs.confluent.io/kafka/design/delivery-semantics.html (accessed Aug. 2026).</w:t>
      </w:r>
    </w:p>
    <w:bookmarkEnd w:id="377"/>
    <w:bookmarkStart w:id="378" w:name="htap-multi-model-and-storage"/>
    <w:p>
      <w:pPr>
        <w:pStyle w:val="Heading2"/>
      </w:pPr>
      <w:r>
        <w:t xml:space="preserve">HTAP, Multi-Model, and Storage</w:t>
      </w:r>
    </w:p>
    <w:p>
      <w:pPr>
        <w:pStyle w:val="FirstParagraph"/>
      </w:pPr>
      <w:r>
        <w:t xml:space="preserve">[81] M. Stonebraker and U. Çetintemel,</w:t>
      </w:r>
      <w:r>
        <w:t xml:space="preserve"> </w:t>
      </w:r>
      <w:r>
        <w:t xml:space="preserve">“</w:t>
      </w:r>
      <w:r>
        <w:t xml:space="preserve">‘</w:t>
      </w:r>
      <w:r>
        <w:t xml:space="preserve">One size fits all</w:t>
      </w:r>
      <w:r>
        <w:t xml:space="preserve">’</w:t>
      </w:r>
      <w:r>
        <w:t xml:space="preserve">: An idea whose time has come and gone,</w:t>
      </w:r>
      <w:r>
        <w:t xml:space="preserve">”</w:t>
      </w:r>
      <w:r>
        <w:t xml:space="preserve"> </w:t>
      </w:r>
      <w:r>
        <w:t xml:space="preserve">in</w:t>
      </w:r>
      <w:r>
        <w:t xml:space="preserve"> </w:t>
      </w:r>
      <w:r>
        <w:rPr>
          <w:iCs/>
          <w:i/>
        </w:rPr>
        <w:t xml:space="preserve">Proc. 21st Int. Conf. Data Engineering (ICDE ’05)</w:t>
      </w:r>
      <w:r>
        <w:t xml:space="preserve">, 2005, pp. 2–11, doi: 10.1109/ICDE.2005.1.</w:t>
      </w:r>
    </w:p>
    <w:p>
      <w:pPr>
        <w:pStyle w:val="BodyText"/>
      </w:pPr>
      <w:r>
        <w:t xml:space="preserve">[82] A. Kemper and T. Neumann,</w:t>
      </w:r>
      <w:r>
        <w:t xml:space="preserve"> </w:t>
      </w:r>
      <w:r>
        <w:t xml:space="preserve">“</w:t>
      </w:r>
      <w:r>
        <w:t xml:space="preserve">HyPer: A hybrid OLTP&amp;OLAP main memory database system based on virtual memory snapshots,</w:t>
      </w:r>
      <w:r>
        <w:t xml:space="preserve">”</w:t>
      </w:r>
      <w:r>
        <w:t xml:space="preserve"> </w:t>
      </w:r>
      <w:r>
        <w:t xml:space="preserve">in</w:t>
      </w:r>
      <w:r>
        <w:t xml:space="preserve"> </w:t>
      </w:r>
      <w:r>
        <w:rPr>
          <w:iCs/>
          <w:i/>
        </w:rPr>
        <w:t xml:space="preserve">Proc. IEEE 27th Int. Conf. Data Engineering (ICDE ’11)</w:t>
      </w:r>
      <w:r>
        <w:t xml:space="preserve">, 2011, pp. 195–206, doi: 10.1109/ICDE.2011.5767867.</w:t>
      </w:r>
    </w:p>
    <w:p>
      <w:pPr>
        <w:pStyle w:val="BodyText"/>
      </w:pPr>
      <w:r>
        <w:t xml:space="preserve">[83] A. Kemper and T. Neumann,</w:t>
      </w:r>
      <w:r>
        <w:t xml:space="preserve"> </w:t>
      </w:r>
      <w:r>
        <w:t xml:space="preserve">“</w:t>
      </w:r>
      <w:r>
        <w:t xml:space="preserve">One size fits all, again! The architecture of the hybrid OLTP&amp;OLAP database management system HyPer,</w:t>
      </w:r>
      <w:r>
        <w:t xml:space="preserve">”</w:t>
      </w:r>
      <w:r>
        <w:t xml:space="preserve"> </w:t>
      </w:r>
      <w:r>
        <w:t xml:space="preserve">in</w:t>
      </w:r>
      <w:r>
        <w:t xml:space="preserve"> </w:t>
      </w:r>
      <w:r>
        <w:rPr>
          <w:iCs/>
          <w:i/>
        </w:rPr>
        <w:t xml:space="preserve">Enabling Real-Time Business Intelligence (BIRTE 2010)</w:t>
      </w:r>
      <w:r>
        <w:t xml:space="preserve">, LNBIP, 2010, pp. 7–23, doi: 10.1007/978-3-642-22970-1_2.</w:t>
      </w:r>
    </w:p>
    <w:p>
      <w:pPr>
        <w:pStyle w:val="BodyText"/>
      </w:pPr>
      <w:r>
        <w:t xml:space="preserve">[84] C. Zhang, G. Li, J. Zhang, X. Zhang, and J. Feng,</w:t>
      </w:r>
      <w:r>
        <w:t xml:space="preserve"> </w:t>
      </w:r>
      <w:r>
        <w:t xml:space="preserve">“</w:t>
      </w:r>
      <w:r>
        <w:t xml:space="preserve">HTAP databases: A survey,</w:t>
      </w:r>
      <w:r>
        <w:t xml:space="preserve">”</w:t>
      </w:r>
      <w:r>
        <w:t xml:space="preserve"> </w:t>
      </w:r>
      <w:r>
        <w:rPr>
          <w:iCs/>
          <w:i/>
        </w:rPr>
        <w:t xml:space="preserve">IEEE Transactions on Knowledge and Data Engineering</w:t>
      </w:r>
      <w:r>
        <w:t xml:space="preserve">, 2024, doi: 10.1109/TKDE.2024.3389693.</w:t>
      </w:r>
    </w:p>
    <w:p>
      <w:pPr>
        <w:pStyle w:val="BodyText"/>
      </w:pPr>
      <w:r>
        <w:t xml:space="preserve">[85] F. Färber, S. K. Cha, J. Primsch, C. Bornhövd, S. Sigg, and W. Lehner,</w:t>
      </w:r>
      <w:r>
        <w:t xml:space="preserve"> </w:t>
      </w:r>
      <w:r>
        <w:t xml:space="preserve">“</w:t>
      </w:r>
      <w:r>
        <w:t xml:space="preserve">SAP HANA database: Data management for modern business applications,</w:t>
      </w:r>
      <w:r>
        <w:t xml:space="preserve">”</w:t>
      </w:r>
      <w:r>
        <w:t xml:space="preserve"> </w:t>
      </w:r>
      <w:r>
        <w:rPr>
          <w:iCs/>
          <w:i/>
        </w:rPr>
        <w:t xml:space="preserve">ACM SIGMOD Record</w:t>
      </w:r>
      <w:r>
        <w:t xml:space="preserve">, vol. 40, no. 4, pp. 45–51, 2011.</w:t>
      </w:r>
    </w:p>
    <w:p>
      <w:pPr>
        <w:pStyle w:val="BodyText"/>
      </w:pPr>
      <w:r>
        <w:t xml:space="preserve">[86] T. Neumann and M. J. Freitag,</w:t>
      </w:r>
      <w:r>
        <w:t xml:space="preserve"> </w:t>
      </w:r>
      <w:r>
        <w:t xml:space="preserve">“</w:t>
      </w:r>
      <w:r>
        <w:t xml:space="preserve">Umbra: A disk-based system with in-memory performance,</w:t>
      </w:r>
      <w:r>
        <w:t xml:space="preserve">”</w:t>
      </w:r>
      <w:r>
        <w:t xml:space="preserve"> </w:t>
      </w:r>
      <w:r>
        <w:t xml:space="preserve">in</w:t>
      </w:r>
      <w:r>
        <w:t xml:space="preserve"> </w:t>
      </w:r>
      <w:r>
        <w:rPr>
          <w:iCs/>
          <w:i/>
        </w:rPr>
        <w:t xml:space="preserve">Proc. 10th Conf. Innovative Data Systems Research (CIDR 2020)</w:t>
      </w:r>
      <w:r>
        <w:t xml:space="preserve">, 2020.</w:t>
      </w:r>
    </w:p>
    <w:p>
      <w:pPr>
        <w:pStyle w:val="BodyText"/>
      </w:pPr>
      <w:r>
        <w:t xml:space="preserve">[87] D. Huang et al.,</w:t>
      </w:r>
      <w:r>
        <w:t xml:space="preserve"> </w:t>
      </w:r>
      <w:r>
        <w:t xml:space="preserve">“</w:t>
      </w:r>
      <w:r>
        <w:t xml:space="preserve">TiDB: A Raft-based HTAP database,</w:t>
      </w:r>
      <w:r>
        <w:t xml:space="preserve">”</w:t>
      </w:r>
      <w:r>
        <w:t xml:space="preserve"> </w:t>
      </w:r>
      <w:r>
        <w:rPr>
          <w:iCs/>
          <w:i/>
        </w:rPr>
        <w:t xml:space="preserve">Proc. VLDB Endowment</w:t>
      </w:r>
      <w:r>
        <w:t xml:space="preserve">, vol. 13, no. 12, pp. 3072–3084, 2020, doi: 10.14778/3415478.3415535.</w:t>
      </w:r>
    </w:p>
    <w:p>
      <w:pPr>
        <w:pStyle w:val="BodyText"/>
      </w:pPr>
      <w:r>
        <w:t xml:space="preserve">[88] A. Prout et al.,</w:t>
      </w:r>
      <w:r>
        <w:t xml:space="preserve"> </w:t>
      </w:r>
      <w:r>
        <w:t xml:space="preserve">“</w:t>
      </w:r>
      <w:r>
        <w:t xml:space="preserve">Cloud-native transactions and analytics in SingleStore,</w:t>
      </w:r>
      <w:r>
        <w:t xml:space="preserve">”</w:t>
      </w:r>
      <w:r>
        <w:t xml:space="preserve"> </w:t>
      </w:r>
      <w:r>
        <w:t xml:space="preserve">in</w:t>
      </w:r>
      <w:r>
        <w:t xml:space="preserve"> </w:t>
      </w:r>
      <w:r>
        <w:rPr>
          <w:iCs/>
          <w:i/>
        </w:rPr>
        <w:t xml:space="preserve">Proc. ACM SIGMOD Int. Conf. Management of Data</w:t>
      </w:r>
      <w:r>
        <w:t xml:space="preserve">, 2022, doi: 10.1145/3514221.3526055.</w:t>
      </w:r>
    </w:p>
    <w:p>
      <w:pPr>
        <w:pStyle w:val="BodyText"/>
      </w:pPr>
      <w:r>
        <w:t xml:space="preserve">[89] T. Lahiri et al.,</w:t>
      </w:r>
      <w:r>
        <w:t xml:space="preserve"> </w:t>
      </w:r>
      <w:r>
        <w:t xml:space="preserve">“</w:t>
      </w:r>
      <w:r>
        <w:t xml:space="preserve">Oracle Database In-Memory: A dual format in-memory database,</w:t>
      </w:r>
      <w:r>
        <w:t xml:space="preserve">”</w:t>
      </w:r>
      <w:r>
        <w:t xml:space="preserve"> </w:t>
      </w:r>
      <w:r>
        <w:t xml:space="preserve">in</w:t>
      </w:r>
      <w:r>
        <w:t xml:space="preserve"> </w:t>
      </w:r>
      <w:r>
        <w:rPr>
          <w:iCs/>
          <w:i/>
        </w:rPr>
        <w:t xml:space="preserve">Proc. IEEE 31st Int. Conf. Data Engineering (ICDE ’15)</w:t>
      </w:r>
      <w:r>
        <w:t xml:space="preserve">, 2015.</w:t>
      </w:r>
    </w:p>
    <w:p>
      <w:pPr>
        <w:pStyle w:val="BodyText"/>
      </w:pPr>
      <w:r>
        <w:t xml:space="preserve">[90] J. Yang et al.,</w:t>
      </w:r>
      <w:r>
        <w:t xml:space="preserve"> </w:t>
      </w:r>
      <w:r>
        <w:t xml:space="preserve">“</w:t>
      </w:r>
      <w:r>
        <w:t xml:space="preserve">F1 Lightning: HTAP as a service,</w:t>
      </w:r>
      <w:r>
        <w:t xml:space="preserve">”</w:t>
      </w:r>
      <w:r>
        <w:t xml:space="preserve"> </w:t>
      </w:r>
      <w:r>
        <w:rPr>
          <w:iCs/>
          <w:i/>
        </w:rPr>
        <w:t xml:space="preserve">Proc. VLDB Endowment</w:t>
      </w:r>
      <w:r>
        <w:t xml:space="preserve">, vol. 13, no. 12, pp. 3313–3325, 2020, doi: 10.14778/3415478.3415553.</w:t>
      </w:r>
    </w:p>
    <w:p>
      <w:pPr>
        <w:pStyle w:val="BodyText"/>
      </w:pPr>
      <w:r>
        <w:t xml:space="preserve">[91] J. Lu and I. Holubová,</w:t>
      </w:r>
      <w:r>
        <w:t xml:space="preserve"> </w:t>
      </w:r>
      <w:r>
        <w:t xml:space="preserve">“</w:t>
      </w:r>
      <w:r>
        <w:t xml:space="preserve">Multi-model databases: A new journey to handle the variety of data,</w:t>
      </w:r>
      <w:r>
        <w:t xml:space="preserve">”</w:t>
      </w:r>
      <w:r>
        <w:t xml:space="preserve"> </w:t>
      </w:r>
      <w:r>
        <w:rPr>
          <w:iCs/>
          <w:i/>
        </w:rPr>
        <w:t xml:space="preserve">ACM Computing Surveys</w:t>
      </w:r>
      <w:r>
        <w:t xml:space="preserve">, vol. 52, no. 3, 2019, doi: 10.1145/3323214.</w:t>
      </w:r>
    </w:p>
    <w:p>
      <w:pPr>
        <w:pStyle w:val="BodyText"/>
      </w:pPr>
      <w:r>
        <w:t xml:space="preserve">[92] D. Shukla et al.,</w:t>
      </w:r>
      <w:r>
        <w:t xml:space="preserve"> </w:t>
      </w:r>
      <w:r>
        <w:t xml:space="preserve">“</w:t>
      </w:r>
      <w:r>
        <w:t xml:space="preserve">Schema-agnostic indexing with Azure DocumentDB,</w:t>
      </w:r>
      <w:r>
        <w:t xml:space="preserve">”</w:t>
      </w:r>
      <w:r>
        <w:t xml:space="preserve"> </w:t>
      </w:r>
      <w:r>
        <w:rPr>
          <w:iCs/>
          <w:i/>
        </w:rPr>
        <w:t xml:space="preserve">Proc. VLDB Endowment</w:t>
      </w:r>
      <w:r>
        <w:t xml:space="preserve">, vol. 8, no. 12, pp. 1668–1679, 2015, doi: 10.14778/2824032.2824065.</w:t>
      </w:r>
    </w:p>
    <w:p>
      <w:pPr>
        <w:pStyle w:val="BodyText"/>
      </w:pPr>
      <w:r>
        <w:t xml:space="preserve">[93] T. Pelkonen, S. Franklin, P. Cavallaro, Q. Huang, J. Meza, J. Teller, and K. Veeraraghavan,</w:t>
      </w:r>
      <w:r>
        <w:t xml:space="preserve"> </w:t>
      </w:r>
      <w:r>
        <w:t xml:space="preserve">“</w:t>
      </w:r>
      <w:r>
        <w:t xml:space="preserve">Gorilla: A fast, scalable, in-memory time series database,</w:t>
      </w:r>
      <w:r>
        <w:t xml:space="preserve">”</w:t>
      </w:r>
      <w:r>
        <w:t xml:space="preserve"> </w:t>
      </w:r>
      <w:r>
        <w:rPr>
          <w:iCs/>
          <w:i/>
        </w:rPr>
        <w:t xml:space="preserve">Proc. VLDB Endowment</w:t>
      </w:r>
      <w:r>
        <w:t xml:space="preserve">, vol. 8, no. 12, pp. 1816–1827, 2015, doi: 10.14778/2824032.2824078.</w:t>
      </w:r>
    </w:p>
    <w:p>
      <w:pPr>
        <w:pStyle w:val="BodyText"/>
      </w:pPr>
      <w:r>
        <w:t xml:space="preserve">[94] PostgreSQL Global Development Group,</w:t>
      </w:r>
      <w:r>
        <w:t xml:space="preserve"> </w:t>
      </w:r>
      <w:r>
        <w:rPr>
          <w:iCs/>
          <w:i/>
        </w:rPr>
        <w:t xml:space="preserve">PostgreSQL Documentation: JSON Types</w:t>
      </w:r>
      <w:r>
        <w:t xml:space="preserve">. [Online]. Available: https://www.postgresql.org/docs/current/datatype-json.html (accessed Aug. 2026).</w:t>
      </w:r>
    </w:p>
    <w:p>
      <w:pPr>
        <w:pStyle w:val="BodyText"/>
      </w:pPr>
      <w:r>
        <w:t xml:space="preserve">[95] Apache Solr Reference Guide,</w:t>
      </w:r>
      <w:r>
        <w:t xml:space="preserve"> </w:t>
      </w:r>
      <w:r>
        <w:rPr>
          <w:iCs/>
          <w:i/>
        </w:rPr>
        <w:t xml:space="preserve">Index Segments and Merging</w:t>
      </w:r>
      <w:r>
        <w:t xml:space="preserve">. [Online]. Available: https://solr.apache.org/guide/solr/latest/configuration-guide/index-segments-merging.html (accessed Aug. 2026).</w:t>
      </w:r>
    </w:p>
    <w:p>
      <w:pPr>
        <w:pStyle w:val="BodyText"/>
      </w:pPr>
      <w:r>
        <w:t xml:space="preserve">[96] P. O’Neil, E. Cheng, D. Gawlick, and E. O’Neil,</w:t>
      </w:r>
      <w:r>
        <w:t xml:space="preserve"> </w:t>
      </w:r>
      <w:r>
        <w:t xml:space="preserve">“</w:t>
      </w:r>
      <w:r>
        <w:t xml:space="preserve">The log-structured merge-tree (LSM-tree),</w:t>
      </w:r>
      <w:r>
        <w:t xml:space="preserve">”</w:t>
      </w:r>
      <w:r>
        <w:t xml:space="preserve"> </w:t>
      </w:r>
      <w:r>
        <w:rPr>
          <w:iCs/>
          <w:i/>
        </w:rPr>
        <w:t xml:space="preserve">Acta Informatica</w:t>
      </w:r>
      <w:r>
        <w:t xml:space="preserve">, vol. 33, no. 4, pp. 351–385, 1996.</w:t>
      </w:r>
    </w:p>
    <w:p>
      <w:pPr>
        <w:pStyle w:val="BodyText"/>
      </w:pPr>
      <w:r>
        <w:t xml:space="preserve">[97] G. Graefe,</w:t>
      </w:r>
      <w:r>
        <w:t xml:space="preserve"> </w:t>
      </w:r>
      <w:r>
        <w:t xml:space="preserve">“</w:t>
      </w:r>
      <w:r>
        <w:t xml:space="preserve">Volcano — an extensible and parallel query evaluation system,</w:t>
      </w:r>
      <w:r>
        <w:t xml:space="preserve">”</w:t>
      </w:r>
      <w:r>
        <w:t xml:space="preserve"> </w:t>
      </w:r>
      <w:r>
        <w:rPr>
          <w:iCs/>
          <w:i/>
        </w:rPr>
        <w:t xml:space="preserve">IEEE Transactions on Knowledge and Data Engineering</w:t>
      </w:r>
      <w:r>
        <w:t xml:space="preserve">, vol. 6, no. 1, pp. 120–135, Feb. 1994.</w:t>
      </w:r>
    </w:p>
    <w:bookmarkEnd w:id="378"/>
    <w:bookmarkStart w:id="379" w:name="provenance-and-lineage-1"/>
    <w:p>
      <w:pPr>
        <w:pStyle w:val="Heading2"/>
      </w:pPr>
      <w:r>
        <w:t xml:space="preserve">Provenance and Lineage</w:t>
      </w:r>
    </w:p>
    <w:p>
      <w:pPr>
        <w:pStyle w:val="FirstParagraph"/>
      </w:pPr>
      <w:r>
        <w:t xml:space="preserve">[98] T. J. Green, G. Karvounarakis, and V. Tannen,</w:t>
      </w:r>
      <w:r>
        <w:t xml:space="preserve"> </w:t>
      </w:r>
      <w:r>
        <w:t xml:space="preserve">“</w:t>
      </w:r>
      <w:r>
        <w:t xml:space="preserve">Provenance semirings,</w:t>
      </w:r>
      <w:r>
        <w:t xml:space="preserve">”</w:t>
      </w:r>
      <w:r>
        <w:t xml:space="preserve"> </w:t>
      </w:r>
      <w:r>
        <w:t xml:space="preserve">in</w:t>
      </w:r>
      <w:r>
        <w:t xml:space="preserve"> </w:t>
      </w:r>
      <w:r>
        <w:rPr>
          <w:iCs/>
          <w:i/>
        </w:rPr>
        <w:t xml:space="preserve">Proc. 26th ACM SIGMOD-SIGACT-SIGART Symp. Principles of Database Systems (PODS ’07)</w:t>
      </w:r>
      <w:r>
        <w:t xml:space="preserve">, 2007, pp. 31–40, doi: 10.1145/1265530.1265535.</w:t>
      </w:r>
    </w:p>
    <w:p>
      <w:pPr>
        <w:pStyle w:val="BodyText"/>
      </w:pPr>
      <w:r>
        <w:t xml:space="preserve">[99] T. J. Green, G. Karvounarakis, Z. G. Ives, and V. Tannen,</w:t>
      </w:r>
      <w:r>
        <w:t xml:space="preserve"> </w:t>
      </w:r>
      <w:r>
        <w:t xml:space="preserve">“</w:t>
      </w:r>
      <w:r>
        <w:t xml:space="preserve">Update exchange with mappings and provenance,</w:t>
      </w:r>
      <w:r>
        <w:t xml:space="preserve">”</w:t>
      </w:r>
      <w:r>
        <w:t xml:space="preserve"> </w:t>
      </w:r>
      <w:r>
        <w:t xml:space="preserve">in</w:t>
      </w:r>
      <w:r>
        <w:t xml:space="preserve"> </w:t>
      </w:r>
      <w:r>
        <w:rPr>
          <w:iCs/>
          <w:i/>
        </w:rPr>
        <w:t xml:space="preserve">Proc. 33rd Int. Conf. Very Large Data Bases (VLDB ’07)</w:t>
      </w:r>
      <w:r>
        <w:t xml:space="preserve">, Vienna, Austria, 2007.</w:t>
      </w:r>
    </w:p>
    <w:p>
      <w:pPr>
        <w:pStyle w:val="BodyText"/>
      </w:pPr>
      <w:r>
        <w:t xml:space="preserve">[100] T. J. Green, G. Karvounarakis, Z. G. Ives, and V. Tannen,</w:t>
      </w:r>
      <w:r>
        <w:t xml:space="preserve"> </w:t>
      </w:r>
      <w:r>
        <w:t xml:space="preserve">“</w:t>
      </w:r>
      <w:r>
        <w:t xml:space="preserve">Collaborative data sharing via update exchange and provenance,</w:t>
      </w:r>
      <w:r>
        <w:t xml:space="preserve">”</w:t>
      </w:r>
      <w:r>
        <w:t xml:space="preserve"> </w:t>
      </w:r>
      <w:r>
        <w:rPr>
          <w:iCs/>
          <w:i/>
        </w:rPr>
        <w:t xml:space="preserve">ACM Transactions on Database Systems</w:t>
      </w:r>
      <w:r>
        <w:t xml:space="preserve">, vol. 38, no. 3, 2013, doi: 10.1145/2500127.</w:t>
      </w:r>
    </w:p>
    <w:p>
      <w:pPr>
        <w:pStyle w:val="BodyText"/>
      </w:pPr>
      <w:r>
        <w:t xml:space="preserve">[101] J. Cheney, L. Chiticariu, and W.-C. Tan,</w:t>
      </w:r>
      <w:r>
        <w:t xml:space="preserve"> </w:t>
      </w:r>
      <w:r>
        <w:t xml:space="preserve">“</w:t>
      </w:r>
      <w:r>
        <w:t xml:space="preserve">Provenance in databases: Why, how, and where,</w:t>
      </w:r>
      <w:r>
        <w:t xml:space="preserve">”</w:t>
      </w:r>
      <w:r>
        <w:t xml:space="preserve"> </w:t>
      </w:r>
      <w:r>
        <w:rPr>
          <w:iCs/>
          <w:i/>
        </w:rPr>
        <w:t xml:space="preserve">Foundations and Trends in Databases</w:t>
      </w:r>
      <w:r>
        <w:t xml:space="preserve">, vol. 1, no. 4, pp. 379–474, 2009, doi: 10.1561/1900000006.</w:t>
      </w:r>
    </w:p>
    <w:p>
      <w:pPr>
        <w:pStyle w:val="BodyText"/>
      </w:pPr>
      <w:r>
        <w:t xml:space="preserve">[102] B. Glavic, K. Sheykh Esmaili, P. M. Fischer, and N. Tatbul,</w:t>
      </w:r>
      <w:r>
        <w:t xml:space="preserve"> </w:t>
      </w:r>
      <w:r>
        <w:t xml:space="preserve">“</w:t>
      </w:r>
      <w:r>
        <w:t xml:space="preserve">Ariadne: Managing fine-grained provenance on data streams,</w:t>
      </w:r>
      <w:r>
        <w:t xml:space="preserve">”</w:t>
      </w:r>
      <w:r>
        <w:t xml:space="preserve"> </w:t>
      </w:r>
      <w:r>
        <w:t xml:space="preserve">in</w:t>
      </w:r>
      <w:r>
        <w:t xml:space="preserve"> </w:t>
      </w:r>
      <w:r>
        <w:rPr>
          <w:iCs/>
          <w:i/>
        </w:rPr>
        <w:t xml:space="preserve">Proc. 7th ACM Int. Conf. Distributed Event-Based Systems (DEBS ’13)</w:t>
      </w:r>
      <w:r>
        <w:t xml:space="preserve">, 2013.</w:t>
      </w:r>
    </w:p>
    <w:p>
      <w:pPr>
        <w:pStyle w:val="BodyText"/>
      </w:pPr>
      <w:r>
        <w:t xml:space="preserve">[103] M. Interlandi et al.,</w:t>
      </w:r>
      <w:r>
        <w:t xml:space="preserve"> </w:t>
      </w:r>
      <w:r>
        <w:t xml:space="preserve">“</w:t>
      </w:r>
      <w:r>
        <w:t xml:space="preserve">Titian: Data provenance support in Spark,</w:t>
      </w:r>
      <w:r>
        <w:t xml:space="preserve">”</w:t>
      </w:r>
      <w:r>
        <w:t xml:space="preserve"> </w:t>
      </w:r>
      <w:r>
        <w:rPr>
          <w:iCs/>
          <w:i/>
        </w:rPr>
        <w:t xml:space="preserve">Proc. VLDB Endowment</w:t>
      </w:r>
      <w:r>
        <w:t xml:space="preserve">, vol. 9, no. 3, pp. 216–227, 2015, doi: 10.14778/2850583.2850595.</w:t>
      </w:r>
    </w:p>
    <w:bookmarkEnd w:id="379"/>
    <w:bookmarkStart w:id="380" w:name="verifiable-structures-and-cryptography"/>
    <w:p>
      <w:pPr>
        <w:pStyle w:val="Heading2"/>
      </w:pPr>
      <w:r>
        <w:t xml:space="preserve">Verifiable Structures and Cryptography</w:t>
      </w:r>
    </w:p>
    <w:p>
      <w:pPr>
        <w:pStyle w:val="FirstParagraph"/>
      </w:pPr>
      <w:r>
        <w:t xml:space="preserve">[104] B. Laurie, A. Langley, and E. Kasper,</w:t>
      </w:r>
      <w:r>
        <w:t xml:space="preserve"> </w:t>
      </w:r>
      <w:r>
        <w:t xml:space="preserve">“</w:t>
      </w:r>
      <w:r>
        <w:t xml:space="preserve">Certificate Transparency,</w:t>
      </w:r>
      <w:r>
        <w:t xml:space="preserve">”</w:t>
      </w:r>
      <w:r>
        <w:t xml:space="preserve"> </w:t>
      </w:r>
      <w:r>
        <w:t xml:space="preserve">RFC 6962, IETF, Jun. 2013, doi: 10.17487/RFC6962.</w:t>
      </w:r>
    </w:p>
    <w:p>
      <w:pPr>
        <w:pStyle w:val="BodyText"/>
      </w:pPr>
      <w:r>
        <w:t xml:space="preserve">[105] R. C. Merkle,</w:t>
      </w:r>
      <w:r>
        <w:t xml:space="preserve"> </w:t>
      </w:r>
      <w:r>
        <w:t xml:space="preserve">“</w:t>
      </w:r>
      <w:r>
        <w:t xml:space="preserve">A digital signature based on a conventional encryption function,</w:t>
      </w:r>
      <w:r>
        <w:t xml:space="preserve">”</w:t>
      </w:r>
      <w:r>
        <w:t xml:space="preserve"> </w:t>
      </w:r>
      <w:r>
        <w:t xml:space="preserve">in</w:t>
      </w:r>
      <w:r>
        <w:t xml:space="preserve"> </w:t>
      </w:r>
      <w:r>
        <w:rPr>
          <w:iCs/>
          <w:i/>
        </w:rPr>
        <w:t xml:space="preserve">Advances in Cryptology — CRYPTO ’87</w:t>
      </w:r>
      <w:r>
        <w:t xml:space="preserve">, LNCS vol. 293, Berlin, Germany: Springer, 1988, pp. 369–378.</w:t>
      </w:r>
    </w:p>
    <w:p>
      <w:pPr>
        <w:pStyle w:val="BodyText"/>
      </w:pPr>
      <w:r>
        <w:t xml:space="preserve">[106] S. Haber and W. S. Stornetta,</w:t>
      </w:r>
      <w:r>
        <w:t xml:space="preserve"> </w:t>
      </w:r>
      <w:r>
        <w:t xml:space="preserve">“</w:t>
      </w:r>
      <w:r>
        <w:t xml:space="preserve">How to time-stamp a digital document,</w:t>
      </w:r>
      <w:r>
        <w:t xml:space="preserve">”</w:t>
      </w:r>
      <w:r>
        <w:t xml:space="preserve"> </w:t>
      </w:r>
      <w:r>
        <w:rPr>
          <w:iCs/>
          <w:i/>
        </w:rPr>
        <w:t xml:space="preserve">Journal of Cryptology</w:t>
      </w:r>
      <w:r>
        <w:t xml:space="preserve">, vol. 3, no. 2, pp. 99–111, 1991.</w:t>
      </w:r>
    </w:p>
    <w:p>
      <w:pPr>
        <w:pStyle w:val="BodyText"/>
      </w:pPr>
      <w:r>
        <w:t xml:space="preserve">[107] A. Miller, M. Hicks, J. Katz, and E. Shi,</w:t>
      </w:r>
      <w:r>
        <w:t xml:space="preserve"> </w:t>
      </w:r>
      <w:r>
        <w:t xml:space="preserve">“</w:t>
      </w:r>
      <w:r>
        <w:t xml:space="preserve">Authenticated data structures, generically,</w:t>
      </w:r>
      <w:r>
        <w:t xml:space="preserve">”</w:t>
      </w:r>
      <w:r>
        <w:t xml:space="preserve"> </w:t>
      </w:r>
      <w:r>
        <w:t xml:space="preserve">in</w:t>
      </w:r>
      <w:r>
        <w:t xml:space="preserve"> </w:t>
      </w:r>
      <w:r>
        <w:rPr>
          <w:iCs/>
          <w:i/>
        </w:rPr>
        <w:t xml:space="preserve">Proc. 41st ACM SIGPLAN-SIGACT Symp. Principles of Programming Languages (POPL ’14)</w:t>
      </w:r>
      <w:r>
        <w:t xml:space="preserve">, 2014, doi: 10.1145/2535838.2535851.</w:t>
      </w:r>
    </w:p>
    <w:p>
      <w:pPr>
        <w:pStyle w:val="BodyText"/>
      </w:pPr>
      <w:r>
        <w:t xml:space="preserve">[108] T. P. Pedersen,</w:t>
      </w:r>
      <w:r>
        <w:t xml:space="preserve"> </w:t>
      </w:r>
      <w:r>
        <w:t xml:space="preserve">“</w:t>
      </w:r>
      <w:r>
        <w:t xml:space="preserve">Non-interactive and information-theoretic secure verifiable secret sharing,</w:t>
      </w:r>
      <w:r>
        <w:t xml:space="preserve">”</w:t>
      </w:r>
      <w:r>
        <w:t xml:space="preserve"> </w:t>
      </w:r>
      <w:r>
        <w:t xml:space="preserve">in</w:t>
      </w:r>
      <w:r>
        <w:t xml:space="preserve"> </w:t>
      </w:r>
      <w:r>
        <w:rPr>
          <w:iCs/>
          <w:i/>
        </w:rPr>
        <w:t xml:space="preserve">Advances in Cryptology — CRYPTO ’91</w:t>
      </w:r>
      <w:r>
        <w:t xml:space="preserve">, LNCS vol. 576, Berlin, Germany: Springer, 1992, pp. 129–140.</w:t>
      </w:r>
    </w:p>
    <w:p>
      <w:pPr>
        <w:pStyle w:val="BodyText"/>
      </w:pPr>
      <w:r>
        <w:t xml:space="preserve">[109] Amazon Web Services,</w:t>
      </w:r>
      <w:r>
        <w:t xml:space="preserve"> </w:t>
      </w:r>
      <w:r>
        <w:rPr>
          <w:iCs/>
          <w:i/>
        </w:rPr>
        <w:t xml:space="preserve">Amazon QLDB Developer Guide: Data Verification</w:t>
      </w:r>
      <w:r>
        <w:t xml:space="preserve">. [Online]. Available: https://docs.aws.amazon.com/qldb/latest/developerguide/verification.html (accessed Aug. 2026).</w:t>
      </w:r>
    </w:p>
    <w:p>
      <w:pPr>
        <w:pStyle w:val="BodyText"/>
      </w:pPr>
      <w:r>
        <w:t xml:space="preserve">[110] Google,</w:t>
      </w:r>
      <w:r>
        <w:t xml:space="preserve"> </w:t>
      </w:r>
      <w:r>
        <w:rPr>
          <w:iCs/>
          <w:i/>
        </w:rPr>
        <w:t xml:space="preserve">Trillian: Verifiable Data Structures</w:t>
      </w:r>
      <w:r>
        <w:t xml:space="preserve">. [Online]. Available: https://transparency.dev/verifiable-data-structures/ (accessed Aug. 2026).</w:t>
      </w:r>
    </w:p>
    <w:bookmarkEnd w:id="380"/>
    <w:bookmarkStart w:id="381" w:name="types-effects-and-compilers"/>
    <w:p>
      <w:pPr>
        <w:pStyle w:val="Heading2"/>
      </w:pPr>
      <w:r>
        <w:t xml:space="preserve">Types, Effects, and Compilers</w:t>
      </w:r>
    </w:p>
    <w:p>
      <w:pPr>
        <w:pStyle w:val="FirstParagraph"/>
      </w:pPr>
      <w:r>
        <w:t xml:space="preserve">[111] A. J. Kennedy,</w:t>
      </w:r>
      <w:r>
        <w:t xml:space="preserve"> </w:t>
      </w:r>
      <w:r>
        <w:t xml:space="preserve">“</w:t>
      </w:r>
      <w:r>
        <w:t xml:space="preserve">Relational parametricity and units of measure,</w:t>
      </w:r>
      <w:r>
        <w:t xml:space="preserve">”</w:t>
      </w:r>
      <w:r>
        <w:t xml:space="preserve"> </w:t>
      </w:r>
      <w:r>
        <w:t xml:space="preserve">in</w:t>
      </w:r>
      <w:r>
        <w:t xml:space="preserve"> </w:t>
      </w:r>
      <w:r>
        <w:rPr>
          <w:iCs/>
          <w:i/>
        </w:rPr>
        <w:t xml:space="preserve">Proc. 24th ACM SIGPLAN-SIGACT Symp. Principles of Programming Languages (POPL ’97)</w:t>
      </w:r>
      <w:r>
        <w:t xml:space="preserve">, 1997, pp. 442–455, doi: 10.1145/263699.263761.</w:t>
      </w:r>
    </w:p>
    <w:p>
      <w:pPr>
        <w:pStyle w:val="BodyText"/>
      </w:pPr>
      <w:r>
        <w:t xml:space="preserve">[112] A. J. Kennedy,</w:t>
      </w:r>
      <w:r>
        <w:t xml:space="preserve"> </w:t>
      </w:r>
      <w:r>
        <w:t xml:space="preserve">“</w:t>
      </w:r>
      <w:r>
        <w:t xml:space="preserve">Programming languages and dimensions,</w:t>
      </w:r>
      <w:r>
        <w:t xml:space="preserve">”</w:t>
      </w:r>
      <w:r>
        <w:t xml:space="preserve"> </w:t>
      </w:r>
      <w:r>
        <w:t xml:space="preserve">Ph.D. dissertation, Univ. of Cambridge Computer Laboratory, Tech. Rep. UCAM-CL-TR-391, 1996.</w:t>
      </w:r>
    </w:p>
    <w:p>
      <w:pPr>
        <w:pStyle w:val="BodyText"/>
      </w:pPr>
      <w:r>
        <w:t xml:space="preserve">[113] A. Kennedy,</w:t>
      </w:r>
      <w:r>
        <w:t xml:space="preserve"> </w:t>
      </w:r>
      <w:r>
        <w:t xml:space="preserve">“</w:t>
      </w:r>
      <w:r>
        <w:t xml:space="preserve">Types for units-of-measure: Theory and practice,</w:t>
      </w:r>
      <w:r>
        <w:t xml:space="preserve">”</w:t>
      </w:r>
      <w:r>
        <w:t xml:space="preserve"> </w:t>
      </w:r>
      <w:r>
        <w:t xml:space="preserve">in</w:t>
      </w:r>
      <w:r>
        <w:t xml:space="preserve"> </w:t>
      </w:r>
      <w:r>
        <w:rPr>
          <w:iCs/>
          <w:i/>
        </w:rPr>
        <w:t xml:space="preserve">Central European Functional Programming School (CEFP 2009)</w:t>
      </w:r>
      <w:r>
        <w:t xml:space="preserve">, LNCS vol. 6299, Berlin, Germany: Springer, 2010, pp. 268–305, doi: 10.1007/978-3-642-17685-2_8.</w:t>
      </w:r>
    </w:p>
    <w:p>
      <w:pPr>
        <w:pStyle w:val="BodyText"/>
      </w:pPr>
      <w:r>
        <w:t xml:space="preserve">[114] P. Wadler,</w:t>
      </w:r>
      <w:r>
        <w:t xml:space="preserve"> </w:t>
      </w:r>
      <w:r>
        <w:t xml:space="preserve">“</w:t>
      </w:r>
      <w:r>
        <w:t xml:space="preserve">Linear types can change the world!,</w:t>
      </w:r>
      <w:r>
        <w:t xml:space="preserve">”</w:t>
      </w:r>
      <w:r>
        <w:t xml:space="preserve"> </w:t>
      </w:r>
      <w:r>
        <w:t xml:space="preserve">in</w:t>
      </w:r>
      <w:r>
        <w:t xml:space="preserve"> </w:t>
      </w:r>
      <w:r>
        <w:rPr>
          <w:iCs/>
          <w:i/>
        </w:rPr>
        <w:t xml:space="preserve">Programming Concepts and Methods</w:t>
      </w:r>
      <w:r>
        <w:t xml:space="preserve">, IFIP TC 2 Working Conf., 1990.</w:t>
      </w:r>
    </w:p>
    <w:p>
      <w:pPr>
        <w:pStyle w:val="BodyText"/>
      </w:pPr>
      <w:r>
        <w:t xml:space="preserve">[115] R. Jung, J.-H. Jourdan, R. Krebbers, and D. Dreyer,</w:t>
      </w:r>
      <w:r>
        <w:t xml:space="preserve"> </w:t>
      </w:r>
      <w:r>
        <w:t xml:space="preserve">“</w:t>
      </w:r>
      <w:r>
        <w:t xml:space="preserve">RustBelt: Securing the foundations of the Rust programming language,</w:t>
      </w:r>
      <w:r>
        <w:t xml:space="preserve">”</w:t>
      </w:r>
      <w:r>
        <w:t xml:space="preserve"> </w:t>
      </w:r>
      <w:r>
        <w:rPr>
          <w:iCs/>
          <w:i/>
        </w:rPr>
        <w:t xml:space="preserve">Proc. ACM on Programming Languages</w:t>
      </w:r>
      <w:r>
        <w:t xml:space="preserve">, vol. 2, no. POPL, art. 66, Jan. 2018, doi: 10.1145/3158154.</w:t>
      </w:r>
    </w:p>
    <w:p>
      <w:pPr>
        <w:pStyle w:val="BodyText"/>
      </w:pPr>
      <w:r>
        <w:t xml:space="preserve">[116] D. Leijen,</w:t>
      </w:r>
      <w:r>
        <w:t xml:space="preserve"> </w:t>
      </w:r>
      <w:r>
        <w:t xml:space="preserve">“</w:t>
      </w:r>
      <w:r>
        <w:t xml:space="preserve">Koka: Programming with row polymorphic effect types,</w:t>
      </w:r>
      <w:r>
        <w:t xml:space="preserve">”</w:t>
      </w:r>
      <w:r>
        <w:t xml:space="preserve"> </w:t>
      </w:r>
      <w:r>
        <w:t xml:space="preserve">in</w:t>
      </w:r>
      <w:r>
        <w:t xml:space="preserve"> </w:t>
      </w:r>
      <w:r>
        <w:rPr>
          <w:iCs/>
          <w:i/>
        </w:rPr>
        <w:t xml:space="preserve">Proc. 5th Workshop on Mathematically Structured Functional Programming (MSFP 2014)</w:t>
      </w:r>
      <w:r>
        <w:t xml:space="preserve">, EPTCS vol. 153, 2014, pp. 100–126, doi: 10.4204/EPTCS.153.8.</w:t>
      </w:r>
    </w:p>
    <w:p>
      <w:pPr>
        <w:pStyle w:val="BodyText"/>
      </w:pPr>
      <w:r>
        <w:t xml:space="preserve">[117] G. D. Plotkin and M. Pretnar,</w:t>
      </w:r>
      <w:r>
        <w:t xml:space="preserve"> </w:t>
      </w:r>
      <w:r>
        <w:t xml:space="preserve">“</w:t>
      </w:r>
      <w:r>
        <w:t xml:space="preserve">Handling algebraic effects,</w:t>
      </w:r>
      <w:r>
        <w:t xml:space="preserve">”</w:t>
      </w:r>
      <w:r>
        <w:t xml:space="preserve"> </w:t>
      </w:r>
      <w:r>
        <w:rPr>
          <w:iCs/>
          <w:i/>
        </w:rPr>
        <w:t xml:space="preserve">Logical Methods in Computer Science</w:t>
      </w:r>
      <w:r>
        <w:t xml:space="preserve">, vol. 9, no. 4, paper 23, 2013, doi: 10.2168/LMCS-9(4:23)2013.</w:t>
      </w:r>
    </w:p>
    <w:p>
      <w:pPr>
        <w:pStyle w:val="BodyText"/>
      </w:pPr>
      <w:r>
        <w:t xml:space="preserve">[118] J. M. Lucassen and D. K. Gifford,</w:t>
      </w:r>
      <w:r>
        <w:t xml:space="preserve"> </w:t>
      </w:r>
      <w:r>
        <w:t xml:space="preserve">“</w:t>
      </w:r>
      <w:r>
        <w:t xml:space="preserve">Polymorphic effect systems,</w:t>
      </w:r>
      <w:r>
        <w:t xml:space="preserve">”</w:t>
      </w:r>
      <w:r>
        <w:t xml:space="preserve"> </w:t>
      </w:r>
      <w:r>
        <w:t xml:space="preserve">in</w:t>
      </w:r>
      <w:r>
        <w:t xml:space="preserve"> </w:t>
      </w:r>
      <w:r>
        <w:rPr>
          <w:iCs/>
          <w:i/>
        </w:rPr>
        <w:t xml:space="preserve">Proc. 15th ACM SIGPLAN-SIGACT Symp. Principles of Programming Languages (POPL ’88)</w:t>
      </w:r>
      <w:r>
        <w:t xml:space="preserve">, 1988, pp. 47–57.</w:t>
      </w:r>
    </w:p>
    <w:p>
      <w:pPr>
        <w:pStyle w:val="BodyText"/>
      </w:pPr>
      <w:r>
        <w:t xml:space="preserve">[119] P. M. Rondon, M. Kawaguchi, and R. Jhala,</w:t>
      </w:r>
      <w:r>
        <w:t xml:space="preserve"> </w:t>
      </w:r>
      <w:r>
        <w:t xml:space="preserve">“</w:t>
      </w:r>
      <w:r>
        <w:t xml:space="preserve">Liquid types,</w:t>
      </w:r>
      <w:r>
        <w:t xml:space="preserve">”</w:t>
      </w:r>
      <w:r>
        <w:t xml:space="preserve"> </w:t>
      </w:r>
      <w:r>
        <w:t xml:space="preserve">in</w:t>
      </w:r>
      <w:r>
        <w:t xml:space="preserve"> </w:t>
      </w:r>
      <w:r>
        <w:rPr>
          <w:iCs/>
          <w:i/>
        </w:rPr>
        <w:t xml:space="preserve">Proc. ACM SIGPLAN Conf. Programming Language Design and Implementation (PLDI ’08)</w:t>
      </w:r>
      <w:r>
        <w:t xml:space="preserve">, 2008, doi: 10.1145/1375581.1375602.</w:t>
      </w:r>
    </w:p>
    <w:p>
      <w:pPr>
        <w:pStyle w:val="BodyText"/>
      </w:pPr>
      <w:r>
        <w:t xml:space="preserve">[120] N. Swamy et al., “Dependent types and multi-monadic effects in F</w:t>
      </w:r>
      <w:r>
        <w:rPr>
          <w:iCs/>
          <w:i/>
        </w:rPr>
        <w:t xml:space="preserve">,” in</w:t>
      </w:r>
      <w:r>
        <w:rPr>
          <w:iCs/>
          <w:i/>
        </w:rPr>
        <w:t xml:space="preserve"> </w:t>
      </w:r>
      <w:r>
        <w:t xml:space="preserve">Proc. 43rd ACM SIGPLAN-SIGACT Symp. Principles of Programming Languages (POPL ’16)*, 2016, pp. 256–270.</w:t>
      </w:r>
    </w:p>
    <w:p>
      <w:pPr>
        <w:pStyle w:val="BodyText"/>
      </w:pPr>
      <w:r>
        <w:t xml:space="preserve">[121] D. E. Denning,</w:t>
      </w:r>
      <w:r>
        <w:t xml:space="preserve"> </w:t>
      </w:r>
      <w:r>
        <w:t xml:space="preserve">“</w:t>
      </w:r>
      <w:r>
        <w:t xml:space="preserve">A lattice model of secure information flow,</w:t>
      </w:r>
      <w:r>
        <w:t xml:space="preserve">”</w:t>
      </w:r>
      <w:r>
        <w:t xml:space="preserve"> </w:t>
      </w:r>
      <w:r>
        <w:rPr>
          <w:iCs/>
          <w:i/>
        </w:rPr>
        <w:t xml:space="preserve">Communications of the ACM</w:t>
      </w:r>
      <w:r>
        <w:t xml:space="preserve">, vol. 19, no. 5, pp. 236–243, May 1976, doi: 10.1145/360051.360056.</w:t>
      </w:r>
    </w:p>
    <w:p>
      <w:pPr>
        <w:pStyle w:val="BodyText"/>
      </w:pPr>
      <w:r>
        <w:t xml:space="preserve">[122] A. Sabelfeld and A. C. Myers,</w:t>
      </w:r>
      <w:r>
        <w:t xml:space="preserve"> </w:t>
      </w:r>
      <w:r>
        <w:t xml:space="preserve">“</w:t>
      </w:r>
      <w:r>
        <w:t xml:space="preserve">Language-based information-flow security,</w:t>
      </w:r>
      <w:r>
        <w:t xml:space="preserve">”</w:t>
      </w:r>
      <w:r>
        <w:t xml:space="preserve"> </w:t>
      </w:r>
      <w:r>
        <w:rPr>
          <w:iCs/>
          <w:i/>
        </w:rPr>
        <w:t xml:space="preserve">IEEE Journal on Selected Areas in Communications</w:t>
      </w:r>
      <w:r>
        <w:t xml:space="preserve">, vol. 21, no. 1, pp. 1–19, Jan. 2003.</w:t>
      </w:r>
    </w:p>
    <w:p>
      <w:pPr>
        <w:pStyle w:val="BodyText"/>
      </w:pPr>
      <w:r>
        <w:t xml:space="preserve">[123] A. C. Myers,</w:t>
      </w:r>
      <w:r>
        <w:t xml:space="preserve"> </w:t>
      </w:r>
      <w:r>
        <w:t xml:space="preserve">“</w:t>
      </w:r>
      <w:r>
        <w:t xml:space="preserve">JFlow: Practical mostly-static information flow control,</w:t>
      </w:r>
      <w:r>
        <w:t xml:space="preserve">”</w:t>
      </w:r>
      <w:r>
        <w:t xml:space="preserve"> </w:t>
      </w:r>
      <w:r>
        <w:t xml:space="preserve">in</w:t>
      </w:r>
      <w:r>
        <w:t xml:space="preserve"> </w:t>
      </w:r>
      <w:r>
        <w:rPr>
          <w:iCs/>
          <w:i/>
        </w:rPr>
        <w:t xml:space="preserve">Proc. 26th ACM SIGPLAN-SIGACT Symp. Principles of Programming Languages (POPL ’99)</w:t>
      </w:r>
      <w:r>
        <w:t xml:space="preserve">, 1999, doi: 10.1145/292540.292561.</w:t>
      </w:r>
    </w:p>
    <w:p>
      <w:pPr>
        <w:pStyle w:val="BodyText"/>
      </w:pPr>
      <w:r>
        <w:t xml:space="preserve">[124] F. Pottier and V. Simonet,</w:t>
      </w:r>
      <w:r>
        <w:t xml:space="preserve"> </w:t>
      </w:r>
      <w:r>
        <w:t xml:space="preserve">“</w:t>
      </w:r>
      <w:r>
        <w:t xml:space="preserve">Information flow inference for ML,</w:t>
      </w:r>
      <w:r>
        <w:t xml:space="preserve">”</w:t>
      </w:r>
      <w:r>
        <w:t xml:space="preserve"> </w:t>
      </w:r>
      <w:r>
        <w:rPr>
          <w:iCs/>
          <w:i/>
        </w:rPr>
        <w:t xml:space="preserve">ACM Transactions on Programming Languages and Systems</w:t>
      </w:r>
      <w:r>
        <w:t xml:space="preserve">, vol. 25, no. 1, pp. 117–158, 2003, doi: 10.1145/596980.596983.</w:t>
      </w:r>
    </w:p>
    <w:p>
      <w:pPr>
        <w:pStyle w:val="BodyText"/>
      </w:pPr>
      <w:r>
        <w:t xml:space="preserve">[125] C. Lattner, M. Amini, U. Bondhugula, A. Cohen, A. Davis, J. Pienaar, R. Riddle, T. Shpeisman, N. Vasilache, and O. Zinenko,</w:t>
      </w:r>
      <w:r>
        <w:t xml:space="preserve"> </w:t>
      </w:r>
      <w:r>
        <w:t xml:space="preserve">“</w:t>
      </w:r>
      <w:r>
        <w:t xml:space="preserve">MLIR: Scaling compiler infrastructure for domain specific computation,</w:t>
      </w:r>
      <w:r>
        <w:t xml:space="preserve">”</w:t>
      </w:r>
      <w:r>
        <w:t xml:space="preserve"> </w:t>
      </w:r>
      <w:r>
        <w:t xml:space="preserve">in</w:t>
      </w:r>
      <w:r>
        <w:t xml:space="preserve"> </w:t>
      </w:r>
      <w:r>
        <w:rPr>
          <w:iCs/>
          <w:i/>
        </w:rPr>
        <w:t xml:space="preserve">Proc. IEEE/ACM Int. Symp. Code Generation and Optimization (CGO ’21)</w:t>
      </w:r>
      <w:r>
        <w:t xml:space="preserve">, 2021, pp. 2–14, doi: 10.1109/CGO51591.2021.9370308.</w:t>
      </w:r>
    </w:p>
    <w:p>
      <w:pPr>
        <w:pStyle w:val="BodyText"/>
      </w:pPr>
      <w:r>
        <w:t xml:space="preserve">[126] T. Neumann,</w:t>
      </w:r>
      <w:r>
        <w:t xml:space="preserve"> </w:t>
      </w:r>
      <w:r>
        <w:t xml:space="preserve">“</w:t>
      </w:r>
      <w:r>
        <w:t xml:space="preserve">Efficiently compiling efficient query plans for modern hardware,</w:t>
      </w:r>
      <w:r>
        <w:t xml:space="preserve">”</w:t>
      </w:r>
      <w:r>
        <w:t xml:space="preserve"> </w:t>
      </w:r>
      <w:r>
        <w:rPr>
          <w:iCs/>
          <w:i/>
        </w:rPr>
        <w:t xml:space="preserve">Proc. VLDB Endowment</w:t>
      </w:r>
      <w:r>
        <w:t xml:space="preserve">, vol. 4, no. 9, pp. 539–550, 2011, doi: 10.14778/2002938.2002940.</w:t>
      </w:r>
    </w:p>
    <w:p>
      <w:pPr>
        <w:pStyle w:val="BodyText"/>
      </w:pPr>
      <w:r>
        <w:t xml:space="preserve">[127] Y. Klonatos, C. Koch, T. Rompf, and H. Chafi,</w:t>
      </w:r>
      <w:r>
        <w:t xml:space="preserve"> </w:t>
      </w:r>
      <w:r>
        <w:t xml:space="preserve">“</w:t>
      </w:r>
      <w:r>
        <w:t xml:space="preserve">Building efficient query engines in a high-level language,</w:t>
      </w:r>
      <w:r>
        <w:t xml:space="preserve">”</w:t>
      </w:r>
      <w:r>
        <w:t xml:space="preserve"> </w:t>
      </w:r>
      <w:r>
        <w:rPr>
          <w:iCs/>
          <w:i/>
        </w:rPr>
        <w:t xml:space="preserve">Proc. VLDB Endowment</w:t>
      </w:r>
      <w:r>
        <w:t xml:space="preserve">, vol. 7, no. 10, pp. 853–864, 2014, doi: 10.14778/2732951.2732959.</w:t>
      </w:r>
    </w:p>
    <w:p>
      <w:pPr>
        <w:pStyle w:val="BodyText"/>
      </w:pPr>
      <w:r>
        <w:t xml:space="preserve">[128] S. Palkar et al.,</w:t>
      </w:r>
      <w:r>
        <w:t xml:space="preserve"> </w:t>
      </w:r>
      <w:r>
        <w:t xml:space="preserve">“</w:t>
      </w:r>
      <w:r>
        <w:t xml:space="preserve">Weld: A common runtime for high performance data analytics,</w:t>
      </w:r>
      <w:r>
        <w:t xml:space="preserve">”</w:t>
      </w:r>
      <w:r>
        <w:t xml:space="preserve"> </w:t>
      </w:r>
      <w:r>
        <w:t xml:space="preserve">in</w:t>
      </w:r>
      <w:r>
        <w:t xml:space="preserve"> </w:t>
      </w:r>
      <w:r>
        <w:rPr>
          <w:iCs/>
          <w:i/>
        </w:rPr>
        <w:t xml:space="preserve">Proc. 8th Biennial Conf. Innovative Data Systems Research (CIDR ’17)</w:t>
      </w:r>
      <w:r>
        <w:t xml:space="preserve">, 2017.</w:t>
      </w:r>
    </w:p>
    <w:p>
      <w:pPr>
        <w:pStyle w:val="BodyText"/>
      </w:pPr>
      <w:r>
        <w:t xml:space="preserve">[129] A. Haas, A. Rossberg, D. L. Schuff, B. L. Titzer, M. Holman, D. Gohman, L. Wagner, A. Zakai, and J. F. Bastien,</w:t>
      </w:r>
      <w:r>
        <w:t xml:space="preserve"> </w:t>
      </w:r>
      <w:r>
        <w:t xml:space="preserve">“</w:t>
      </w:r>
      <w:r>
        <w:t xml:space="preserve">Bringing the web up to speed with WebAssembly,</w:t>
      </w:r>
      <w:r>
        <w:t xml:space="preserve">”</w:t>
      </w:r>
      <w:r>
        <w:t xml:space="preserve"> </w:t>
      </w:r>
      <w:r>
        <w:t xml:space="preserve">in</w:t>
      </w:r>
      <w:r>
        <w:t xml:space="preserve"> </w:t>
      </w:r>
      <w:r>
        <w:rPr>
          <w:iCs/>
          <w:i/>
        </w:rPr>
        <w:t xml:space="preserve">Proc. 38th ACM SIGPLAN Conf. Programming Language Design and Implementation (PLDI ’17)</w:t>
      </w:r>
      <w:r>
        <w:t xml:space="preserve">, 2017, pp. 185–200, doi: 10.1145/3062341.3062363.</w:t>
      </w:r>
    </w:p>
    <w:p>
      <w:pPr>
        <w:pStyle w:val="BodyText"/>
      </w:pPr>
      <w:r>
        <w:t xml:space="preserve">[130] WebAssembly System Interface (WASI). [Online]. Available: https://wasi.dev/ (accessed Aug. 2026).</w:t>
      </w:r>
    </w:p>
    <w:p>
      <w:pPr>
        <w:pStyle w:val="BodyText"/>
      </w:pPr>
      <w:r>
        <w:t xml:space="preserve">[131] M. Poletto and V. Sarkar,</w:t>
      </w:r>
      <w:r>
        <w:t xml:space="preserve"> </w:t>
      </w:r>
      <w:r>
        <w:t xml:space="preserve">“</w:t>
      </w:r>
      <w:r>
        <w:t xml:space="preserve">Linear scan register allocation,</w:t>
      </w:r>
      <w:r>
        <w:t xml:space="preserve">”</w:t>
      </w:r>
      <w:r>
        <w:t xml:space="preserve"> </w:t>
      </w:r>
      <w:r>
        <w:rPr>
          <w:iCs/>
          <w:i/>
        </w:rPr>
        <w:t xml:space="preserve">ACM Transactions on Programming Languages and Systems</w:t>
      </w:r>
      <w:r>
        <w:t xml:space="preserve">, vol. 21, no. 5, pp. 895–913, Sep. 1999.</w:t>
      </w:r>
    </w:p>
    <w:p>
      <w:pPr>
        <w:pStyle w:val="BodyText"/>
      </w:pPr>
      <w:r>
        <w:t xml:space="preserve">[132] H. Massalin,</w:t>
      </w:r>
      <w:r>
        <w:t xml:space="preserve"> </w:t>
      </w:r>
      <w:r>
        <w:t xml:space="preserve">“</w:t>
      </w:r>
      <w:r>
        <w:t xml:space="preserve">Superoptimizer: A look at the smallest program,</w:t>
      </w:r>
      <w:r>
        <w:t xml:space="preserve">”</w:t>
      </w:r>
      <w:r>
        <w:t xml:space="preserve"> </w:t>
      </w:r>
      <w:r>
        <w:t xml:space="preserve">in</w:t>
      </w:r>
      <w:r>
        <w:t xml:space="preserve"> </w:t>
      </w:r>
      <w:r>
        <w:rPr>
          <w:iCs/>
          <w:i/>
        </w:rPr>
        <w:t xml:space="preserve">Proc. 2nd Int. Conf. Architectural Support for Programming Languages and Operating Systems (ASPLOS ’87)</w:t>
      </w:r>
      <w:r>
        <w:t xml:space="preserve">, 1987, pp. 122–126.</w:t>
      </w:r>
    </w:p>
    <w:p>
      <w:pPr>
        <w:pStyle w:val="BodyText"/>
      </w:pPr>
      <w:r>
        <w:t xml:space="preserve">[133] N. D. Matsakis and F. S. Klock II,</w:t>
      </w:r>
      <w:r>
        <w:t xml:space="preserve"> </w:t>
      </w:r>
      <w:r>
        <w:t xml:space="preserve">“</w:t>
      </w:r>
      <w:r>
        <w:t xml:space="preserve">The Rust language,</w:t>
      </w:r>
      <w:r>
        <w:t xml:space="preserve">”</w:t>
      </w:r>
      <w:r>
        <w:t xml:space="preserve"> </w:t>
      </w:r>
      <w:r>
        <w:t xml:space="preserve">in</w:t>
      </w:r>
      <w:r>
        <w:t xml:space="preserve"> </w:t>
      </w:r>
      <w:r>
        <w:rPr>
          <w:iCs/>
          <w:i/>
        </w:rPr>
        <w:t xml:space="preserve">Proc. ACM SIGAda Annual Conf. High Integrity Language Technology (HILT ’14)</w:t>
      </w:r>
      <w:r>
        <w:t xml:space="preserve">, 2014, pp. 103–104.</w:t>
      </w:r>
    </w:p>
    <w:p>
      <w:pPr>
        <w:pStyle w:val="BodyText"/>
      </w:pPr>
      <w:r>
        <w:t xml:space="preserve">[134] K. Thompson,</w:t>
      </w:r>
      <w:r>
        <w:t xml:space="preserve"> </w:t>
      </w:r>
      <w:r>
        <w:t xml:space="preserve">“</w:t>
      </w:r>
      <w:r>
        <w:t xml:space="preserve">Reflections on trusting trust,</w:t>
      </w:r>
      <w:r>
        <w:t xml:space="preserve">”</w:t>
      </w:r>
      <w:r>
        <w:t xml:space="preserve"> </w:t>
      </w:r>
      <w:r>
        <w:rPr>
          <w:iCs/>
          <w:i/>
        </w:rPr>
        <w:t xml:space="preserve">Communications of the ACM</w:t>
      </w:r>
      <w:r>
        <w:t xml:space="preserve">, vol. 27, no. 8, pp. 761–763, Aug. 1984, doi: 10.1145/358198.358210.</w:t>
      </w:r>
    </w:p>
    <w:p>
      <w:pPr>
        <w:pStyle w:val="BodyText"/>
      </w:pPr>
      <w:r>
        <w:t xml:space="preserve">[135] D. A. Wheeler,</w:t>
      </w:r>
      <w:r>
        <w:t xml:space="preserve"> </w:t>
      </w:r>
      <w:r>
        <w:t xml:space="preserve">“</w:t>
      </w:r>
      <w:r>
        <w:t xml:space="preserve">Countering trusting trust through diverse double-compiling,</w:t>
      </w:r>
      <w:r>
        <w:t xml:space="preserve">”</w:t>
      </w:r>
      <w:r>
        <w:t xml:space="preserve"> </w:t>
      </w:r>
      <w:r>
        <w:t xml:space="preserve">in</w:t>
      </w:r>
      <w:r>
        <w:t xml:space="preserve"> </w:t>
      </w:r>
      <w:r>
        <w:rPr>
          <w:iCs/>
          <w:i/>
        </w:rPr>
        <w:t xml:space="preserve">Proc. 21st Annual Computer Security Applications Conf. (ACSAC ’05)</w:t>
      </w:r>
      <w:r>
        <w:t xml:space="preserve">, Tucson, AZ, USA, 2005, pp. 28–40.</w:t>
      </w:r>
    </w:p>
    <w:p>
      <w:pPr>
        <w:pStyle w:val="BodyText"/>
      </w:pPr>
      <w:r>
        <w:t xml:space="preserve">[136] D. A. Wheeler,</w:t>
      </w:r>
      <w:r>
        <w:t xml:space="preserve"> </w:t>
      </w:r>
      <w:r>
        <w:t xml:space="preserve">“</w:t>
      </w:r>
      <w:r>
        <w:t xml:space="preserve">Fully countering trusting trust through diverse double-compiling,</w:t>
      </w:r>
      <w:r>
        <w:t xml:space="preserve">”</w:t>
      </w:r>
      <w:r>
        <w:t xml:space="preserve"> </w:t>
      </w:r>
      <w:r>
        <w:t xml:space="preserve">Ph.D. dissertation, George Mason Univ., Fairfax, VA, USA, 2009.</w:t>
      </w:r>
    </w:p>
    <w:p>
      <w:pPr>
        <w:pStyle w:val="BodyText"/>
      </w:pPr>
      <w:r>
        <w:t xml:space="preserve">[137] Rust Project,</w:t>
      </w:r>
      <w:r>
        <w:t xml:space="preserve"> </w:t>
      </w:r>
      <w:r>
        <w:rPr>
          <w:iCs/>
          <w:i/>
        </w:rPr>
        <w:t xml:space="preserve">rustc Dev Guide: What Bootstrapping Does</w:t>
      </w:r>
      <w:r>
        <w:t xml:space="preserve">. [Online]. Available: https://rustc-dev-guide.rust-lang.org/building/bootstrapping/what-bootstrapping-does.html (accessed Aug. 2026).</w:t>
      </w:r>
    </w:p>
    <w:p>
      <w:pPr>
        <w:pStyle w:val="BodyText"/>
      </w:pPr>
      <w:r>
        <w:t xml:space="preserve">[138] Reproducible Builds Project,</w:t>
      </w:r>
      <w:r>
        <w:t xml:space="preserve"> </w:t>
      </w:r>
      <w:r>
        <w:rPr>
          <w:iCs/>
          <w:i/>
        </w:rPr>
        <w:t xml:space="preserve">Definitions</w:t>
      </w:r>
      <w:r>
        <w:t xml:space="preserve">. [Online]. Available: https://reproducible-builds.org/docs/definition/ (accessed Aug. 2026).</w:t>
      </w:r>
    </w:p>
    <w:p>
      <w:pPr>
        <w:pStyle w:val="BodyText"/>
      </w:pPr>
      <w:r>
        <w:t xml:space="preserve">[139] C. Lamb and S. Zacchiroli,</w:t>
      </w:r>
      <w:r>
        <w:t xml:space="preserve"> </w:t>
      </w:r>
      <w:r>
        <w:t xml:space="preserve">“</w:t>
      </w:r>
      <w:r>
        <w:t xml:space="preserve">Reproducible builds: Increasing the integrity of software supply chains,</w:t>
      </w:r>
      <w:r>
        <w:t xml:space="preserve">”</w:t>
      </w:r>
      <w:r>
        <w:t xml:space="preserve"> </w:t>
      </w:r>
      <w:r>
        <w:rPr>
          <w:iCs/>
          <w:i/>
        </w:rPr>
        <w:t xml:space="preserve">IEEE Software</w:t>
      </w:r>
      <w:r>
        <w:t xml:space="preserve">, 2021, doi: 10.1109/MS.2021.3073045.</w:t>
      </w:r>
    </w:p>
    <w:bookmarkEnd w:id="381"/>
    <w:bookmarkStart w:id="382" w:name="query-languages-and-alternatives"/>
    <w:p>
      <w:pPr>
        <w:pStyle w:val="Heading2"/>
      </w:pPr>
      <w:r>
        <w:t xml:space="preserve">Query Languages and Alternatives</w:t>
      </w:r>
    </w:p>
    <w:p>
      <w:pPr>
        <w:pStyle w:val="FirstParagraph"/>
      </w:pPr>
      <w:r>
        <w:t xml:space="preserve">[140] L. Ryzhyk and M. Budiu,</w:t>
      </w:r>
      <w:r>
        <w:t xml:space="preserve"> </w:t>
      </w:r>
      <w:r>
        <w:t xml:space="preserve">“</w:t>
      </w:r>
      <w:r>
        <w:t xml:space="preserve">Differential Datalog,</w:t>
      </w:r>
      <w:r>
        <w:t xml:space="preserve">”</w:t>
      </w:r>
      <w:r>
        <w:t xml:space="preserve"> </w:t>
      </w:r>
      <w:r>
        <w:t xml:space="preserve">in</w:t>
      </w:r>
      <w:r>
        <w:t xml:space="preserve"> </w:t>
      </w:r>
      <w:r>
        <w:rPr>
          <w:iCs/>
          <w:i/>
        </w:rPr>
        <w:t xml:space="preserve">Proc. Datalog 2.0 2019</w:t>
      </w:r>
      <w:r>
        <w:t xml:space="preserve">, CEUR Workshop Proceedings, vol. 2368, 2019, pp. 56–67.</w:t>
      </w:r>
    </w:p>
    <w:p>
      <w:pPr>
        <w:pStyle w:val="BodyText"/>
      </w:pPr>
      <w:r>
        <w:t xml:space="preserve">[141] E. Meijer, B. Beckman, and G. M. Bierman,</w:t>
      </w:r>
      <w:r>
        <w:t xml:space="preserve"> </w:t>
      </w:r>
      <w:r>
        <w:t xml:space="preserve">“</w:t>
      </w:r>
      <w:r>
        <w:t xml:space="preserve">LINQ: Reconciling object, relations and XML in the .NET framework,</w:t>
      </w:r>
      <w:r>
        <w:t xml:space="preserve">”</w:t>
      </w:r>
      <w:r>
        <w:t xml:space="preserve"> </w:t>
      </w:r>
      <w:r>
        <w:t xml:space="preserve">in</w:t>
      </w:r>
      <w:r>
        <w:t xml:space="preserve"> </w:t>
      </w:r>
      <w:r>
        <w:rPr>
          <w:iCs/>
          <w:i/>
        </w:rPr>
        <w:t xml:space="preserve">Proc. ACM SIGMOD Int. Conf. Management of Data</w:t>
      </w:r>
      <w:r>
        <w:t xml:space="preserve">, 2006, doi: 10.1145/1142473.1142552.</w:t>
      </w:r>
    </w:p>
    <w:p>
      <w:pPr>
        <w:pStyle w:val="BodyText"/>
      </w:pPr>
      <w:r>
        <w:t xml:space="preserve">[142] M. Aref et al.,</w:t>
      </w:r>
      <w:r>
        <w:t xml:space="preserve"> </w:t>
      </w:r>
      <w:r>
        <w:t xml:space="preserve">“</w:t>
      </w:r>
      <w:r>
        <w:t xml:space="preserve">Rel: A programming language for relational data,</w:t>
      </w:r>
      <w:r>
        <w:t xml:space="preserve">”</w:t>
      </w:r>
      <w:r>
        <w:t xml:space="preserve"> </w:t>
      </w:r>
      <w:r>
        <w:t xml:space="preserve">arXiv:2504.10323, 2025.</w:t>
      </w:r>
    </w:p>
    <w:bookmarkEnd w:id="382"/>
    <w:bookmarkStart w:id="383" w:name="ledgers-banking-systems-and-regulation"/>
    <w:p>
      <w:pPr>
        <w:pStyle w:val="Heading2"/>
      </w:pPr>
      <w:r>
        <w:t xml:space="preserve">Ledgers, Banking Systems, and Regulation</w:t>
      </w:r>
    </w:p>
    <w:p>
      <w:pPr>
        <w:pStyle w:val="FirstParagraph"/>
      </w:pPr>
      <w:r>
        <w:t xml:space="preserve">[143] TigerBeetle,</w:t>
      </w:r>
      <w:r>
        <w:t xml:space="preserve"> </w:t>
      </w:r>
      <w:r>
        <w:rPr>
          <w:iCs/>
          <w:i/>
        </w:rPr>
        <w:t xml:space="preserve">Documentation: Data Modeling, Two-Phase Transfers, and Safety</w:t>
      </w:r>
      <w:r>
        <w:t xml:space="preserve">. [Online]. Available: https://docs.tigerbeetle.com/ (accessed Aug. 2026).</w:t>
      </w:r>
    </w:p>
    <w:p>
      <w:pPr>
        <w:pStyle w:val="BodyText"/>
      </w:pPr>
      <w:r>
        <w:t xml:space="preserve">[144] N. Sheth, M. Kelshikar, D. K. Singh et al.,</w:t>
      </w:r>
      <w:r>
        <w:t xml:space="preserve"> </w:t>
      </w:r>
      <w:r>
        <w:t xml:space="preserve">“</w:t>
      </w:r>
      <w:r>
        <w:t xml:space="preserve">Zero-sum by design: 10 years of Uber’s payments platform,</w:t>
      </w:r>
      <w:r>
        <w:t xml:space="preserve">”</w:t>
      </w:r>
      <w:r>
        <w:t xml:space="preserve"> </w:t>
      </w:r>
      <w:r>
        <w:t xml:space="preserve">Uber Engineering Blog, Aug. 2026. [Online]. Available: https://www.uber.com/us/en/blog/ubers-payments-platform/</w:t>
      </w:r>
    </w:p>
    <w:p>
      <w:pPr>
        <w:pStyle w:val="BodyText"/>
      </w:pPr>
      <w:r>
        <w:t xml:space="preserve">[145] Uber Engineering,</w:t>
      </w:r>
      <w:r>
        <w:t xml:space="preserve"> </w:t>
      </w:r>
      <w:r>
        <w:t xml:space="preserve">“</w:t>
      </w:r>
      <w:r>
        <w:t xml:space="preserve">How LedgerStore supports trillions of indexes at Uber.</w:t>
      </w:r>
      <w:r>
        <w:t xml:space="preserve">”</w:t>
      </w:r>
      <w:r>
        <w:t xml:space="preserve"> </w:t>
      </w:r>
      <w:r>
        <w:t xml:space="preserve">[Online]. Available: https://www.uber.com/blog/how-ledgerstore-supports-trillions-of-indexes/ (accessed Aug. 2026).</w:t>
      </w:r>
    </w:p>
    <w:p>
      <w:pPr>
        <w:pStyle w:val="BodyText"/>
      </w:pPr>
      <w:r>
        <w:t xml:space="preserve">[146] E. Seaberg, R. Gautam, and A. Kanhar,</w:t>
      </w:r>
      <w:r>
        <w:t xml:space="preserve"> </w:t>
      </w:r>
      <w:r>
        <w:t xml:space="preserve">“</w:t>
      </w:r>
      <w:r>
        <w:t xml:space="preserve">Migrating a trillion entries of Uber’s ledger data from DynamoDB to LedgerStore,</w:t>
      </w:r>
      <w:r>
        <w:t xml:space="preserve">”</w:t>
      </w:r>
      <w:r>
        <w:t xml:space="preserve"> </w:t>
      </w:r>
      <w:r>
        <w:t xml:space="preserve">Uber Engineering Blog, Apr. 2024.</w:t>
      </w:r>
    </w:p>
    <w:p>
      <w:pPr>
        <w:pStyle w:val="BodyText"/>
      </w:pPr>
      <w:r>
        <w:t xml:space="preserve">[147] Ł. Strzałkowski,</w:t>
      </w:r>
      <w:r>
        <w:t xml:space="preserve"> </w:t>
      </w:r>
      <w:r>
        <w:t xml:space="preserve">“</w:t>
      </w:r>
      <w:r>
        <w:t xml:space="preserve">Books, an immutable double-entry accounting database service,</w:t>
      </w:r>
      <w:r>
        <w:t xml:space="preserve">”</w:t>
      </w:r>
      <w:r>
        <w:t xml:space="preserve"> </w:t>
      </w:r>
      <w:r>
        <w:t xml:space="preserve">Square Developer Blog, Oct. 2019. [Online]. Available: https://developer.squareup.com/blog/books-an-immutable-double-entry-accounting-database-service/</w:t>
      </w:r>
    </w:p>
    <w:p>
      <w:pPr>
        <w:pStyle w:val="BodyText"/>
      </w:pPr>
      <w:r>
        <w:t xml:space="preserve">[148] J. Jong,</w:t>
      </w:r>
      <w:r>
        <w:t xml:space="preserve"> </w:t>
      </w:r>
      <w:r>
        <w:t xml:space="preserve">“</w:t>
      </w:r>
      <w:r>
        <w:t xml:space="preserve">Enforcing immutability in your double-entry ledger,</w:t>
      </w:r>
      <w:r>
        <w:t xml:space="preserve">”</w:t>
      </w:r>
      <w:r>
        <w:t xml:space="preserve"> </w:t>
      </w:r>
      <w:r>
        <w:t xml:space="preserve">Modern Treasury Journal, Dec. 2021. [Online]. Available: https://www.moderntreasury.com/journal/enforcing-immutability-in-your-double-entry-ledger</w:t>
      </w:r>
    </w:p>
    <w:p>
      <w:pPr>
        <w:pStyle w:val="BodyText"/>
      </w:pPr>
      <w:r>
        <w:t xml:space="preserve">[149] H. Deep,</w:t>
      </w:r>
      <w:r>
        <w:t xml:space="preserve"> </w:t>
      </w:r>
      <w:r>
        <w:t xml:space="preserve">“</w:t>
      </w:r>
      <w:r>
        <w:t xml:space="preserve">Floats don’t work for storing cents: Why Modern Treasury uses integers instead,</w:t>
      </w:r>
      <w:r>
        <w:t xml:space="preserve">”</w:t>
      </w:r>
      <w:r>
        <w:t xml:space="preserve"> </w:t>
      </w:r>
      <w:r>
        <w:t xml:space="preserve">Modern Treasury Journal, Aug. 2025.</w:t>
      </w:r>
    </w:p>
    <w:p>
      <w:pPr>
        <w:pStyle w:val="BodyText"/>
      </w:pPr>
      <w:r>
        <w:t xml:space="preserve">[150] Stripe,</w:t>
      </w:r>
      <w:r>
        <w:t xml:space="preserve"> </w:t>
      </w:r>
      <w:r>
        <w:t xml:space="preserve">“</w:t>
      </w:r>
      <w:r>
        <w:t xml:space="preserve">Idempotent requests,</w:t>
      </w:r>
      <w:r>
        <w:t xml:space="preserve">”</w:t>
      </w:r>
      <w:r>
        <w:t xml:space="preserve"> </w:t>
      </w:r>
      <w:r>
        <w:t xml:space="preserve">Stripe API Reference. [Online]. Available: https://docs.stripe.com/api/idempotent_requests (accessed Aug. 2026).</w:t>
      </w:r>
    </w:p>
    <w:p>
      <w:pPr>
        <w:pStyle w:val="BodyText"/>
      </w:pPr>
      <w:r>
        <w:t xml:space="preserve">[151] R. Hickey,</w:t>
      </w:r>
      <w:r>
        <w:t xml:space="preserve"> </w:t>
      </w:r>
      <w:r>
        <w:t xml:space="preserve">“</w:t>
      </w:r>
      <w:r>
        <w:t xml:space="preserve">The Datomic information model,</w:t>
      </w:r>
      <w:r>
        <w:t xml:space="preserve">”</w:t>
      </w:r>
      <w:r>
        <w:t xml:space="preserve"> </w:t>
      </w:r>
      <w:r>
        <w:t xml:space="preserve">Datomic Documentation. [Online]. Available: https://docs.datomic.com (accessed Aug. 2026).</w:t>
      </w:r>
    </w:p>
    <w:p>
      <w:pPr>
        <w:pStyle w:val="BodyText"/>
      </w:pPr>
      <w:r>
        <w:t xml:space="preserve">[152] M. Fowler,</w:t>
      </w:r>
      <w:r>
        <w:t xml:space="preserve"> </w:t>
      </w:r>
      <w:r>
        <w:rPr>
          <w:iCs/>
          <w:i/>
        </w:rPr>
        <w:t xml:space="preserve">Patterns of Enterprise Application Architecture</w:t>
      </w:r>
      <w:r>
        <w:t xml:space="preserve">. Boston, MA, USA: Addison-Wesley, 2002.</w:t>
      </w:r>
    </w:p>
    <w:p>
      <w:pPr>
        <w:pStyle w:val="BodyText"/>
      </w:pPr>
      <w:r>
        <w:t xml:space="preserve">[153] L. Pacioli,</w:t>
      </w:r>
      <w:r>
        <w:t xml:space="preserve"> </w:t>
      </w:r>
      <w:r>
        <w:rPr>
          <w:iCs/>
          <w:i/>
        </w:rPr>
        <w:t xml:space="preserve">Summa de Arithmetica, Geometria, Proportioni et Proportionalità</w:t>
      </w:r>
      <w:r>
        <w:t xml:space="preserve">. Venice, Italy, 1494.</w:t>
      </w:r>
    </w:p>
    <w:p>
      <w:pPr>
        <w:pStyle w:val="BodyText"/>
      </w:pPr>
      <w:r>
        <w:t xml:space="preserve">[154] Basel Committee on Banking Supervision,</w:t>
      </w:r>
      <w:r>
        <w:t xml:space="preserve"> </w:t>
      </w:r>
      <w:r>
        <w:t xml:space="preserve">“</w:t>
      </w:r>
      <w:r>
        <w:t xml:space="preserve">Principles for effective risk data aggregation and risk reporting,</w:t>
      </w:r>
      <w:r>
        <w:t xml:space="preserve">”</w:t>
      </w:r>
      <w:r>
        <w:t xml:space="preserve"> </w:t>
      </w:r>
      <w:r>
        <w:t xml:space="preserve">Bank for International Settlements, BCBS publication d328, Jan. 2013. [Online]. Available: https://www.bis.org/publ/bcbs239.pdf</w:t>
      </w:r>
    </w:p>
    <w:p>
      <w:pPr>
        <w:pStyle w:val="BodyText"/>
      </w:pPr>
      <w:r>
        <w:t xml:space="preserve">[155] Basel Committee on Banking Supervision,</w:t>
      </w:r>
      <w:r>
        <w:t xml:space="preserve"> </w:t>
      </w:r>
      <w:r>
        <w:t xml:space="preserve">“</w:t>
      </w:r>
      <w:r>
        <w:t xml:space="preserve">Progress in adopting the Principles for effective risk data aggregation and risk reporting,</w:t>
      </w:r>
      <w:r>
        <w:t xml:space="preserve">”</w:t>
      </w:r>
      <w:r>
        <w:t xml:space="preserve"> </w:t>
      </w:r>
      <w:r>
        <w:t xml:space="preserve">Bank for International Settlements, BCBS publication d559, Nov. 2023.</w:t>
      </w:r>
    </w:p>
    <w:p>
      <w:pPr>
        <w:pStyle w:val="BodyText"/>
      </w:pPr>
      <w:r>
        <w:t xml:space="preserve">[156] European Central Bank,</w:t>
      </w:r>
      <w:r>
        <w:t xml:space="preserve"> </w:t>
      </w:r>
      <w:r>
        <w:t xml:space="preserve">“</w:t>
      </w:r>
      <w:r>
        <w:t xml:space="preserve">Guide on effective risk data aggregation and risk reporting,</w:t>
      </w:r>
      <w:r>
        <w:t xml:space="preserve">”</w:t>
      </w:r>
      <w:r>
        <w:t xml:space="preserve"> </w:t>
      </w:r>
      <w:r>
        <w:t xml:space="preserve">ECB Banking Supervision, May 2024.</w:t>
      </w:r>
    </w:p>
    <w:p>
      <w:pPr>
        <w:pStyle w:val="BodyText"/>
      </w:pPr>
      <w:r>
        <w:t xml:space="preserve">[157] Federal Deposit Insurance Corporation,</w:t>
      </w:r>
      <w:r>
        <w:t xml:space="preserve"> </w:t>
      </w:r>
      <w:r>
        <w:t xml:space="preserve">“</w:t>
      </w:r>
      <w:r>
        <w:t xml:space="preserve">Supervisory guidance on charging overdraft fees for authorize positive, settle negative transactions,</w:t>
      </w:r>
      <w:r>
        <w:t xml:space="preserve">”</w:t>
      </w:r>
      <w:r>
        <w:t xml:space="preserve"> </w:t>
      </w:r>
      <w:r>
        <w:t xml:space="preserve">Financial Institution Letter FIL-19-2023, Apr. 2023.</w:t>
      </w:r>
    </w:p>
    <w:p>
      <w:pPr>
        <w:pStyle w:val="BodyText"/>
      </w:pPr>
      <w:r>
        <w:t xml:space="preserve">[158] Consumer Financial Protection Bureau,</w:t>
      </w:r>
      <w:r>
        <w:t xml:space="preserve"> </w:t>
      </w:r>
      <w:r>
        <w:t xml:space="preserve">“</w:t>
      </w:r>
      <w:r>
        <w:t xml:space="preserve">Unanticipated overdraft fee assessment practices,</w:t>
      </w:r>
      <w:r>
        <w:t xml:space="preserve">”</w:t>
      </w:r>
      <w:r>
        <w:t xml:space="preserve"> </w:t>
      </w:r>
      <w:r>
        <w:t xml:space="preserve">Consumer Financial Protection Circular 2022-06, Oct. 2022.</w:t>
      </w:r>
    </w:p>
    <w:p>
      <w:pPr>
        <w:pStyle w:val="BodyText"/>
      </w:pPr>
      <w:r>
        <w:t xml:space="preserve">[159] U.S. Securities and Exchange Commission,</w:t>
      </w:r>
      <w:r>
        <w:t xml:space="preserve"> </w:t>
      </w:r>
      <w:r>
        <w:t xml:space="preserve">“</w:t>
      </w:r>
      <w:r>
        <w:t xml:space="preserve">Electronic recordkeeping requirements for broker-dealers, security-based swap dealers, and major security-based swap participants,</w:t>
      </w:r>
      <w:r>
        <w:t xml:space="preserve">”</w:t>
      </w:r>
      <w:r>
        <w:t xml:space="preserve"> </w:t>
      </w:r>
      <w:r>
        <w:t xml:space="preserve">Release No. 34-96034, Oct. 2022; 17 CFR 240.17a-4.</w:t>
      </w:r>
    </w:p>
    <w:p>
      <w:pPr>
        <w:pStyle w:val="BodyText"/>
      </w:pPr>
      <w:r>
        <w:t xml:space="preserve">[160] European Parliament and Council,</w:t>
      </w:r>
      <w:r>
        <w:t xml:space="preserve"> </w:t>
      </w:r>
      <w:r>
        <w:t xml:space="preserve">“</w:t>
      </w:r>
      <w:r>
        <w:t xml:space="preserve">Directive (EU) 2015/2366 on payment services in the internal market (PSD2),</w:t>
      </w:r>
      <w:r>
        <w:t xml:space="preserve">”</w:t>
      </w:r>
      <w:r>
        <w:t xml:space="preserve"> </w:t>
      </w:r>
      <w:r>
        <w:rPr>
          <w:iCs/>
          <w:i/>
        </w:rPr>
        <w:t xml:space="preserve">Official Journal of the European Union</w:t>
      </w:r>
      <w:r>
        <w:t xml:space="preserve">, L 337, Dec. 2015 (Article 87, value date and availability of funds).</w:t>
      </w:r>
    </w:p>
    <w:p>
      <w:pPr>
        <w:pStyle w:val="BodyText"/>
      </w:pPr>
      <w:r>
        <w:t xml:space="preserve">[161] European Parliament and Council,</w:t>
      </w:r>
      <w:r>
        <w:t xml:space="preserve"> </w:t>
      </w:r>
      <w:r>
        <w:t xml:space="preserve">“</w:t>
      </w:r>
      <w:r>
        <w:t xml:space="preserve">Directive 2014/65/EU on markets in financial instruments (MiFID II),</w:t>
      </w:r>
      <w:r>
        <w:t xml:space="preserve">”</w:t>
      </w:r>
      <w:r>
        <w:t xml:space="preserve"> </w:t>
      </w:r>
      <w:r>
        <w:rPr>
          <w:iCs/>
          <w:i/>
        </w:rPr>
        <w:t xml:space="preserve">Official Journal of the European Union</w:t>
      </w:r>
      <w:r>
        <w:t xml:space="preserve">, L 173, Jun. 2014.</w:t>
      </w:r>
    </w:p>
    <w:p>
      <w:pPr>
        <w:pStyle w:val="BodyText"/>
      </w:pPr>
      <w:r>
        <w:t xml:space="preserve">[162] European Parliament and Council,</w:t>
      </w:r>
      <w:r>
        <w:t xml:space="preserve"> </w:t>
      </w:r>
      <w:r>
        <w:t xml:space="preserve">“</w:t>
      </w:r>
      <w:r>
        <w:t xml:space="preserve">Regulation (EU) 2022/2554 on digital operational resilience for the financial sector (DORA),</w:t>
      </w:r>
      <w:r>
        <w:t xml:space="preserve">”</w:t>
      </w:r>
      <w:r>
        <w:t xml:space="preserve"> </w:t>
      </w:r>
      <w:r>
        <w:rPr>
          <w:iCs/>
          <w:i/>
        </w:rPr>
        <w:t xml:space="preserve">Official Journal of the European Union</w:t>
      </w:r>
      <w:r>
        <w:t xml:space="preserve">, Dec. 2022.</w:t>
      </w:r>
    </w:p>
    <w:p>
      <w:pPr>
        <w:pStyle w:val="BodyText"/>
      </w:pPr>
      <w:r>
        <w:t xml:space="preserve">[163] Commission Nationale de l’Informatique et des Libertés (CNIL),</w:t>
      </w:r>
      <w:r>
        <w:t xml:space="preserve"> </w:t>
      </w:r>
      <w:r>
        <w:t xml:space="preserve">“</w:t>
      </w:r>
      <w:r>
        <w:t xml:space="preserve">Blockchain: Solutions for a responsible use of the blockchain in the context of personal data,</w:t>
      </w:r>
      <w:r>
        <w:t xml:space="preserve">”</w:t>
      </w:r>
      <w:r>
        <w:t xml:space="preserve"> </w:t>
      </w:r>
      <w:r>
        <w:t xml:space="preserve">Sep. 2018. [Online]. Available: https://www.cnil.fr/sites/default/files/atoms/files/blockchain_en.pdf</w:t>
      </w:r>
    </w:p>
    <w:p>
      <w:pPr>
        <w:pStyle w:val="BodyText"/>
      </w:pPr>
      <w:r>
        <w:t xml:space="preserve">[164] European Parliamentary Research Service,</w:t>
      </w:r>
      <w:r>
        <w:t xml:space="preserve"> </w:t>
      </w:r>
      <w:r>
        <w:t xml:space="preserve">“</w:t>
      </w:r>
      <w:r>
        <w:t xml:space="preserve">Blockchain and the General Data Protection Regulation,</w:t>
      </w:r>
      <w:r>
        <w:t xml:space="preserve">”</w:t>
      </w:r>
      <w:r>
        <w:t xml:space="preserve"> </w:t>
      </w:r>
      <w:r>
        <w:t xml:space="preserve">Study PE 634.445, 2019.</w:t>
      </w:r>
    </w:p>
    <w:bookmarkEnd w:id="383"/>
    <w:bookmarkStart w:id="384" w:name="methodology"/>
    <w:p>
      <w:pPr>
        <w:pStyle w:val="Heading2"/>
      </w:pPr>
      <w:r>
        <w:t xml:space="preserve">Methodology</w:t>
      </w:r>
    </w:p>
    <w:p>
      <w:pPr>
        <w:pStyle w:val="FirstParagraph"/>
      </w:pPr>
      <w:r>
        <w:t xml:space="preserve">[165] A. R. Hevner, S. T. March, J. Park, and S. Ram,</w:t>
      </w:r>
      <w:r>
        <w:t xml:space="preserve"> </w:t>
      </w:r>
      <w:r>
        <w:t xml:space="preserve">“</w:t>
      </w:r>
      <w:r>
        <w:t xml:space="preserve">Design science in information systems research,</w:t>
      </w:r>
      <w:r>
        <w:t xml:space="preserve">”</w:t>
      </w:r>
      <w:r>
        <w:t xml:space="preserve"> </w:t>
      </w:r>
      <w:r>
        <w:rPr>
          <w:iCs/>
          <w:i/>
        </w:rPr>
        <w:t xml:space="preserve">MIS Quarterly</w:t>
      </w:r>
      <w:r>
        <w:t xml:space="preserve">, vol. 28, no. 1, pp. 75–105, Mar. 2004.</w:t>
      </w:r>
    </w:p>
    <w:p>
      <w:pPr>
        <w:pStyle w:val="BodyText"/>
      </w:pPr>
      <w:r>
        <w:t xml:space="preserve">[166] K. R. Popper,</w:t>
      </w:r>
      <w:r>
        <w:t xml:space="preserve"> </w:t>
      </w:r>
      <w:r>
        <w:rPr>
          <w:iCs/>
          <w:i/>
        </w:rPr>
        <w:t xml:space="preserve">The Logic of Scientific Discovery</w:t>
      </w:r>
      <w:r>
        <w:t xml:space="preserve">. London, U.K.: Hutchinson, 1959.</w:t>
      </w:r>
    </w:p>
    <w:bookmarkEnd w:id="384"/>
    <w:bookmarkStart w:id="385" w:name="X84bd1196b7fa0f52eaf9ac26b5ddcb3c00cdb72"/>
    <w:p>
      <w:pPr>
        <w:pStyle w:val="Heading2"/>
      </w:pPr>
      <w:r>
        <w:t xml:space="preserve">Verification, Testing, and Benchmarking Methodology</w:t>
      </w:r>
    </w:p>
    <w:p>
      <w:pPr>
        <w:pStyle w:val="FirstParagraph"/>
      </w:pPr>
      <w:r>
        <w:t xml:space="preserve">[167] K. Kingsbury and P. Alvaro,</w:t>
      </w:r>
      <w:r>
        <w:t xml:space="preserve"> </w:t>
      </w:r>
      <w:r>
        <w:t xml:space="preserve">“</w:t>
      </w:r>
      <w:r>
        <w:t xml:space="preserve">Elle: Inferring isolation anomalies from experimental observations,</w:t>
      </w:r>
      <w:r>
        <w:t xml:space="preserve">”</w:t>
      </w:r>
      <w:r>
        <w:t xml:space="preserve"> </w:t>
      </w:r>
      <w:r>
        <w:rPr>
          <w:iCs/>
          <w:i/>
        </w:rPr>
        <w:t xml:space="preserve">Proc. VLDB Endowment</w:t>
      </w:r>
      <w:r>
        <w:t xml:space="preserve">, vol. 14, no. 3, pp. 268–280, 2021, doi: 10.14778/3430915.3430918.</w:t>
      </w:r>
    </w:p>
    <w:p>
      <w:pPr>
        <w:pStyle w:val="BodyText"/>
      </w:pPr>
      <w:r>
        <w:t xml:space="preserve">[168] A. Adya, B. Liskov, and P. O’Neil,</w:t>
      </w:r>
      <w:r>
        <w:t xml:space="preserve"> </w:t>
      </w:r>
      <w:r>
        <w:t xml:space="preserve">“</w:t>
      </w:r>
      <w:r>
        <w:t xml:space="preserve">Generalized isolation level definitions,</w:t>
      </w:r>
      <w:r>
        <w:t xml:space="preserve">”</w:t>
      </w:r>
      <w:r>
        <w:t xml:space="preserve"> </w:t>
      </w:r>
      <w:r>
        <w:t xml:space="preserve">in</w:t>
      </w:r>
      <w:r>
        <w:t xml:space="preserve"> </w:t>
      </w:r>
      <w:r>
        <w:rPr>
          <w:iCs/>
          <w:i/>
        </w:rPr>
        <w:t xml:space="preserve">Proc. 16th Int. Conf. Data Engineering (ICDE)</w:t>
      </w:r>
      <w:r>
        <w:t xml:space="preserve">, 2000, pp. 67–78.</w:t>
      </w:r>
    </w:p>
    <w:p>
      <w:pPr>
        <w:pStyle w:val="BodyText"/>
      </w:pPr>
      <w:r>
        <w:t xml:space="preserve">[169] A. Adya,</w:t>
      </w:r>
      <w:r>
        <w:t xml:space="preserve"> </w:t>
      </w:r>
      <w:r>
        <w:t xml:space="preserve">“</w:t>
      </w:r>
      <w:r>
        <w:t xml:space="preserve">Weak consistency: A generalized theory and optimistic implementations for distributed transactions,</w:t>
      </w:r>
      <w:r>
        <w:t xml:space="preserve">”</w:t>
      </w:r>
      <w:r>
        <w:t xml:space="preserve"> </w:t>
      </w:r>
      <w:r>
        <w:t xml:space="preserve">Ph.D. dissertation, Massachusetts Institute of Technology, Cambridge, MA, USA, 1999, Tech. Rep. MIT-LCS-TR-786.</w:t>
      </w:r>
    </w:p>
    <w:p>
      <w:pPr>
        <w:pStyle w:val="BodyText"/>
      </w:pPr>
      <w:r>
        <w:t xml:space="preserve">[170] Jepsen, LLC,</w:t>
      </w:r>
      <w:r>
        <w:t xml:space="preserve"> </w:t>
      </w:r>
      <w:r>
        <w:t xml:space="preserve">“</w:t>
      </w:r>
      <w:r>
        <w:t xml:space="preserve">Jepsen analyses</w:t>
      </w:r>
      <w:r>
        <w:t xml:space="preserve">”</w:t>
      </w:r>
      <w:r>
        <w:t xml:space="preserve"> </w:t>
      </w:r>
      <w:r>
        <w:t xml:space="preserve">(including</w:t>
      </w:r>
      <w:r>
        <w:t xml:space="preserve"> </w:t>
      </w:r>
      <w:r>
        <w:rPr>
          <w:iCs/>
          <w:i/>
        </w:rPr>
        <w:t xml:space="preserve">CockroachDB beta-20160829</w:t>
      </w:r>
      <w:r>
        <w:t xml:space="preserve">, 2017;</w:t>
      </w:r>
      <w:r>
        <w:t xml:space="preserve"> </w:t>
      </w:r>
      <w:r>
        <w:rPr>
          <w:iCs/>
          <w:i/>
        </w:rPr>
        <w:t xml:space="preserve">MySQL 8.0.34</w:t>
      </w:r>
      <w:r>
        <w:t xml:space="preserve">, 2023;</w:t>
      </w:r>
      <w:r>
        <w:t xml:space="preserve"> </w:t>
      </w:r>
      <w:r>
        <w:rPr>
          <w:iCs/>
          <w:i/>
        </w:rPr>
        <w:t xml:space="preserve">YugaByte DB 1.3.1</w:t>
      </w:r>
      <w:r>
        <w:t xml:space="preserve">, 2019). [Online]. Available: https://jepsen.io/analyses (accessed Aug. 2026).</w:t>
      </w:r>
    </w:p>
    <w:p>
      <w:pPr>
        <w:pStyle w:val="BodyText"/>
      </w:pPr>
      <w:r>
        <w:t xml:space="preserve">[171] C. Newcombe, T. Rath, F. Zhang, B. Munteanu, M. Brooker, and M. Deardeuff,</w:t>
      </w:r>
      <w:r>
        <w:t xml:space="preserve"> </w:t>
      </w:r>
      <w:r>
        <w:t xml:space="preserve">“</w:t>
      </w:r>
      <w:r>
        <w:t xml:space="preserve">How Amazon Web Services uses formal methods,</w:t>
      </w:r>
      <w:r>
        <w:t xml:space="preserve">”</w:t>
      </w:r>
      <w:r>
        <w:t xml:space="preserve"> </w:t>
      </w:r>
      <w:r>
        <w:rPr>
          <w:iCs/>
          <w:i/>
        </w:rPr>
        <w:t xml:space="preserve">Communications of the ACM</w:t>
      </w:r>
      <w:r>
        <w:t xml:space="preserve">, vol. 58, no. 4, pp. 66–73, 2015, doi: 10.1145/2699417.</w:t>
      </w:r>
    </w:p>
    <w:p>
      <w:pPr>
        <w:pStyle w:val="BodyText"/>
      </w:pPr>
      <w:r>
        <w:t xml:space="preserve">[172] A. F. Hackett, J. Rowe, and M. A. Kuppe,</w:t>
      </w:r>
      <w:r>
        <w:t xml:space="preserve"> </w:t>
      </w:r>
      <w:r>
        <w:t xml:space="preserve">“</w:t>
      </w:r>
      <w:r>
        <w:t xml:space="preserve">Understanding inconsistency in Azure Cosmos DB with TLA+,</w:t>
      </w:r>
      <w:r>
        <w:t xml:space="preserve">”</w:t>
      </w:r>
      <w:r>
        <w:t xml:space="preserve"> </w:t>
      </w:r>
      <w:r>
        <w:t xml:space="preserve">arXiv:2210.13661, 2022.</w:t>
      </w:r>
    </w:p>
    <w:p>
      <w:pPr>
        <w:pStyle w:val="BodyText"/>
      </w:pPr>
      <w:r>
        <w:t xml:space="preserve">[173] W. Schultz, S. Zhou, I. Dardik, and S. Tripakis,</w:t>
      </w:r>
      <w:r>
        <w:t xml:space="preserve"> </w:t>
      </w:r>
      <w:r>
        <w:t xml:space="preserve">“</w:t>
      </w:r>
      <w:r>
        <w:t xml:space="preserve">Design and analysis of a logless dynamic reconfiguration protocol,</w:t>
      </w:r>
      <w:r>
        <w:t xml:space="preserve">”</w:t>
      </w:r>
      <w:r>
        <w:t xml:space="preserve"> </w:t>
      </w:r>
      <w:r>
        <w:t xml:space="preserve">in</w:t>
      </w:r>
      <w:r>
        <w:t xml:space="preserve"> </w:t>
      </w:r>
      <w:r>
        <w:rPr>
          <w:iCs/>
          <w:i/>
        </w:rPr>
        <w:t xml:space="preserve">25th Int. Conf. Principles of Distributed Systems (OPODIS 2021)</w:t>
      </w:r>
      <w:r>
        <w:t xml:space="preserve">, LIPIcs, 2022, doi: 10.4230/LIPIcs.OPODIS.2021.26.</w:t>
      </w:r>
    </w:p>
    <w:p>
      <w:pPr>
        <w:pStyle w:val="BodyText"/>
      </w:pPr>
      <w:r>
        <w:t xml:space="preserve">[174] D. Plater, L. Gallagher, S. Hurwitz, and J. Sullivan,</w:t>
      </w:r>
      <w:r>
        <w:t xml:space="preserve"> </w:t>
      </w:r>
      <w:r>
        <w:rPr>
          <w:iCs/>
          <w:i/>
        </w:rPr>
        <w:t xml:space="preserve">User’s Guide for the SQL Test Suite, Version 6.0</w:t>
      </w:r>
      <w:r>
        <w:t xml:space="preserve">, NIST Special Publication 500-228, National Institute of Standards and Technology, Dec. 1996.</w:t>
      </w:r>
    </w:p>
    <w:p>
      <w:pPr>
        <w:pStyle w:val="BodyText"/>
      </w:pPr>
      <w:r>
        <w:t xml:space="preserve">[175] National Institute of Standards and Technology,</w:t>
      </w:r>
      <w:r>
        <w:t xml:space="preserve"> </w:t>
      </w:r>
      <w:r>
        <w:t xml:space="preserve">“</w:t>
      </w:r>
      <w:r>
        <w:t xml:space="preserve">Termination of validation services for FIPS 127-2 (SQL) and FIPS 128-2 (CGM),</w:t>
      </w:r>
      <w:r>
        <w:t xml:space="preserve">”</w:t>
      </w:r>
      <w:r>
        <w:t xml:space="preserve"> </w:t>
      </w:r>
      <w:r>
        <w:rPr>
          <w:iCs/>
          <w:i/>
        </w:rPr>
        <w:t xml:space="preserve">Federal Register</w:t>
      </w:r>
      <w:r>
        <w:t xml:space="preserve">, vol. 62, no. 67, Apr. 8, 1997.</w:t>
      </w:r>
    </w:p>
    <w:p>
      <w:pPr>
        <w:pStyle w:val="BodyText"/>
      </w:pPr>
      <w:r>
        <w:t xml:space="preserve">[176] SQLite Project,</w:t>
      </w:r>
      <w:r>
        <w:t xml:space="preserve"> </w:t>
      </w:r>
      <w:r>
        <w:t xml:space="preserve">“</w:t>
      </w:r>
      <w:r>
        <w:t xml:space="preserve">Sqllogictest documentation.</w:t>
      </w:r>
      <w:r>
        <w:t xml:space="preserve">”</w:t>
      </w:r>
      <w:r>
        <w:t xml:space="preserve"> </w:t>
      </w:r>
      <w:r>
        <w:t xml:space="preserve">[Online]. Available: https://www.sqlite.org/sqllogictest/ (accessed Aug. 2026).</w:t>
      </w:r>
    </w:p>
    <w:p>
      <w:pPr>
        <w:pStyle w:val="BodyText"/>
      </w:pPr>
      <w:r>
        <w:t xml:space="preserve">[177] G. Heiser,</w:t>
      </w:r>
      <w:r>
        <w:t xml:space="preserve"> </w:t>
      </w:r>
      <w:r>
        <w:t xml:space="preserve">“</w:t>
      </w:r>
      <w:r>
        <w:t xml:space="preserve">Gernot’s list of systems benchmarking crimes,</w:t>
      </w:r>
      <w:r>
        <w:t xml:space="preserve">”</w:t>
      </w:r>
      <w:r>
        <w:t xml:space="preserve"> </w:t>
      </w:r>
      <w:r>
        <w:t xml:space="preserve">UNSW Sydney / Trustworthy Systems. [Online]. Available: https://gernot-heiser.org/benchmarking-crimes.html (accessed Aug. 2026).</w:t>
      </w:r>
    </w:p>
    <w:p>
      <w:pPr>
        <w:pStyle w:val="BodyText"/>
      </w:pPr>
      <w:r>
        <w:t xml:space="preserve">[178] A. Georges, D. Buytaert, and L. Eeckhout,</w:t>
      </w:r>
      <w:r>
        <w:t xml:space="preserve"> </w:t>
      </w:r>
      <w:r>
        <w:t xml:space="preserve">“</w:t>
      </w:r>
      <w:r>
        <w:t xml:space="preserve">Statistically rigorous Java performance evaluation,</w:t>
      </w:r>
      <w:r>
        <w:t xml:space="preserve">”</w:t>
      </w:r>
      <w:r>
        <w:t xml:space="preserve"> </w:t>
      </w:r>
      <w:r>
        <w:t xml:space="preserve">in</w:t>
      </w:r>
      <w:r>
        <w:t xml:space="preserve"> </w:t>
      </w:r>
      <w:r>
        <w:rPr>
          <w:iCs/>
          <w:i/>
        </w:rPr>
        <w:t xml:space="preserve">Proc. 22nd ACM SIGPLAN Conf. Object-Oriented Programming, Systems, Languages, and Applications (OOPSLA ’07)</w:t>
      </w:r>
      <w:r>
        <w:t xml:space="preserve">, 2007, pp. 57–76, doi: 10.1145/1297027.1297033.</w:t>
      </w:r>
    </w:p>
    <w:p>
      <w:pPr>
        <w:pStyle w:val="BodyText"/>
      </w:pPr>
      <w:r>
        <w:t xml:space="preserve">[179] Association for Computing Machinery,</w:t>
      </w:r>
      <w:r>
        <w:t xml:space="preserve"> </w:t>
      </w:r>
      <w:r>
        <w:t xml:space="preserve">“</w:t>
      </w:r>
      <w:r>
        <w:t xml:space="preserve">Artifact review and badging — current,</w:t>
      </w:r>
      <w:r>
        <w:t xml:space="preserve">”</w:t>
      </w:r>
      <w:r>
        <w:t xml:space="preserve"> </w:t>
      </w:r>
      <w:r>
        <w:t xml:space="preserve">Version 1.1, Aug. 24, 2020. [Online]. Available: https://www.acm.org/publications/policies/artifact-review-and-badging-current</w:t>
      </w:r>
    </w:p>
    <w:p>
      <w:pPr>
        <w:pStyle w:val="BodyText"/>
      </w:pPr>
      <w:r>
        <w:t xml:space="preserve">[180] Transaction Processing Performance Council,</w:t>
      </w:r>
      <w:r>
        <w:t xml:space="preserve"> </w:t>
      </w:r>
      <w:r>
        <w:rPr>
          <w:iCs/>
          <w:i/>
        </w:rPr>
        <w:t xml:space="preserve">TPC Benchmark C Standard Specification, Revision 5.11</w:t>
      </w:r>
      <w:r>
        <w:t xml:space="preserve">, Feb. 2010;</w:t>
      </w:r>
      <w:r>
        <w:t xml:space="preserve"> </w:t>
      </w:r>
      <w:r>
        <w:rPr>
          <w:iCs/>
          <w:i/>
        </w:rPr>
        <w:t xml:space="preserve">TPC Benchmark H Standard Specification, Revision 3.0.1</w:t>
      </w:r>
      <w:r>
        <w:t xml:space="preserve">;</w:t>
      </w:r>
      <w:r>
        <w:t xml:space="preserve"> </w:t>
      </w:r>
      <w:r>
        <w:rPr>
          <w:iCs/>
          <w:i/>
        </w:rPr>
        <w:t xml:space="preserve">TPC Policies, Version 6.19</w:t>
      </w:r>
      <w:r>
        <w:t xml:space="preserve">, Sep. 2023.</w:t>
      </w:r>
    </w:p>
    <w:p>
      <w:pPr>
        <w:pStyle w:val="BodyText"/>
      </w:pPr>
      <w:r>
        <w:t xml:space="preserve">[181] B. F. Cooper, A. Silberstein, E. Tam, R. Ramakrishnan, and R. Sears,</w:t>
      </w:r>
      <w:r>
        <w:t xml:space="preserve"> </w:t>
      </w:r>
      <w:r>
        <w:t xml:space="preserve">“</w:t>
      </w:r>
      <w:r>
        <w:t xml:space="preserve">Benchmarking cloud serving systems with YCSB,</w:t>
      </w:r>
      <w:r>
        <w:t xml:space="preserve">”</w:t>
      </w:r>
      <w:r>
        <w:t xml:space="preserve"> </w:t>
      </w:r>
      <w:r>
        <w:t xml:space="preserve">in</w:t>
      </w:r>
      <w:r>
        <w:t xml:space="preserve"> </w:t>
      </w:r>
      <w:r>
        <w:rPr>
          <w:iCs/>
          <w:i/>
        </w:rPr>
        <w:t xml:space="preserve">Proc. 1st ACM Symp. Cloud Computing (SoCC ’10)</w:t>
      </w:r>
      <w:r>
        <w:t xml:space="preserve">, 2010, pp. 143–154, doi: 10.1145/1807128.1807152.</w:t>
      </w:r>
    </w:p>
    <w:p>
      <w:pPr>
        <w:pStyle w:val="BodyText"/>
      </w:pPr>
      <w:r>
        <w:t xml:space="preserve">[182] R. Cole et al.,</w:t>
      </w:r>
      <w:r>
        <w:t xml:space="preserve"> </w:t>
      </w:r>
      <w:r>
        <w:t xml:space="preserve">“</w:t>
      </w:r>
      <w:r>
        <w:t xml:space="preserve">The mixed workload CH-benCHmark,</w:t>
      </w:r>
      <w:r>
        <w:t xml:space="preserve">”</w:t>
      </w:r>
      <w:r>
        <w:t xml:space="preserve"> </w:t>
      </w:r>
      <w:r>
        <w:t xml:space="preserve">in</w:t>
      </w:r>
      <w:r>
        <w:t xml:space="preserve"> </w:t>
      </w:r>
      <w:r>
        <w:rPr>
          <w:iCs/>
          <w:i/>
        </w:rPr>
        <w:t xml:space="preserve">Proc. 4th Int. Workshop on Testing Database Systems (DBTest ’11)</w:t>
      </w:r>
      <w:r>
        <w:t xml:space="preserve">, 2011, doi: 10.1145/1988842.1988850.</w:t>
      </w:r>
    </w:p>
    <w:p>
      <w:pPr>
        <w:pStyle w:val="BodyText"/>
      </w:pPr>
      <w:r>
        <w:t xml:space="preserve">[183] P. Tucker, K. Tufte, V. Papadimos, and D. Maier,</w:t>
      </w:r>
      <w:r>
        <w:t xml:space="preserve"> </w:t>
      </w:r>
      <w:r>
        <w:t xml:space="preserve">“</w:t>
      </w:r>
      <w:r>
        <w:t xml:space="preserve">NEXMark — a benchmark for queries over data streams (DRAFT),</w:t>
      </w:r>
      <w:r>
        <w:t xml:space="preserve">”</w:t>
      </w:r>
      <w:r>
        <w:t xml:space="preserve"> </w:t>
      </w:r>
      <w:r>
        <w:t xml:space="preserve">OGI School of Science &amp; Engineering, OHSU, technical draft.</w:t>
      </w:r>
    </w:p>
    <w:bookmarkEnd w:id="385"/>
    <w:bookmarkStart w:id="386" w:name="X787968234e7a5cf916caf47325b87d37bed73fa"/>
    <w:p>
      <w:pPr>
        <w:pStyle w:val="Heading2"/>
      </w:pPr>
      <w:r>
        <w:t xml:space="preserve">Durability, Contention, and Systems Measurement</w:t>
      </w:r>
    </w:p>
    <w:p>
      <w:pPr>
        <w:pStyle w:val="FirstParagraph"/>
      </w:pPr>
      <w:r>
        <w:t xml:space="preserve">[184] PostgreSQL Global Development Group,</w:t>
      </w:r>
      <w:r>
        <w:t xml:space="preserve"> </w:t>
      </w:r>
      <w:r>
        <w:t xml:space="preserve">“</w:t>
      </w:r>
      <w:r>
        <w:t xml:space="preserve">WAL reliability,</w:t>
      </w:r>
      <w:r>
        <w:t xml:space="preserve">”</w:t>
      </w:r>
      <w:r>
        <w:t xml:space="preserve"> </w:t>
      </w:r>
      <w:r>
        <w:t xml:space="preserve">“</w:t>
      </w:r>
      <w:r>
        <w:t xml:space="preserve">WAL configuration,</w:t>
      </w:r>
      <w:r>
        <w:t xml:space="preserve">”</w:t>
      </w:r>
      <w:r>
        <w:t xml:space="preserve"> </w:t>
      </w:r>
      <w:r>
        <w:t xml:space="preserve">and</w:t>
      </w:r>
      <w:r>
        <w:t xml:space="preserve"> </w:t>
      </w:r>
      <w:r>
        <w:t xml:space="preserve">“</w:t>
      </w:r>
      <w:r>
        <w:t xml:space="preserve">Error handling (</w:t>
      </w:r>
      <w:r>
        <w:rPr>
          <w:rStyle w:val="VerbatimChar"/>
        </w:rPr>
        <w:t xml:space="preserve">data_sync_retry</w:t>
      </w:r>
      <w:r>
        <w:t xml:space="preserve">),</w:t>
      </w:r>
      <w:r>
        <w:t xml:space="preserve">”</w:t>
      </w:r>
      <w:r>
        <w:t xml:space="preserve"> </w:t>
      </w:r>
      <w:r>
        <w:rPr>
          <w:iCs/>
          <w:i/>
        </w:rPr>
        <w:t xml:space="preserve">PostgreSQL Documentation</w:t>
      </w:r>
      <w:r>
        <w:t xml:space="preserve">. [Online]. Available: https://www.postgresql.org/docs/current/ (accessed Aug. 2026).</w:t>
      </w:r>
    </w:p>
    <w:p>
      <w:pPr>
        <w:pStyle w:val="BodyText"/>
      </w:pPr>
      <w:r>
        <w:t xml:space="preserve">[185] A. Rebello, Y. Patel, R. Alagappan, A. C. Arpaci-Dusseau, and R. H. Arpaci-Dusseau,</w:t>
      </w:r>
      <w:r>
        <w:t xml:space="preserve"> </w:t>
      </w:r>
      <w:r>
        <w:t xml:space="preserve">“</w:t>
      </w:r>
      <w:r>
        <w:t xml:space="preserve">Can applications recover from fsync failures?,</w:t>
      </w:r>
      <w:r>
        <w:t xml:space="preserve">”</w:t>
      </w:r>
      <w:r>
        <w:t xml:space="preserve"> </w:t>
      </w:r>
      <w:r>
        <w:rPr>
          <w:iCs/>
          <w:i/>
        </w:rPr>
        <w:t xml:space="preserve">ACM Transactions on Storage</w:t>
      </w:r>
      <w:r>
        <w:t xml:space="preserve">, vol. 17, no. 2, 2021, doi: 10.1145/3450338.</w:t>
      </w:r>
    </w:p>
    <w:p>
      <w:pPr>
        <w:pStyle w:val="BodyText"/>
      </w:pPr>
      <w:r>
        <w:t xml:space="preserve">[186] R. Johnson, I. Pandis, R. Stoica, M. Athanassoulis, and A. Ailamaki,</w:t>
      </w:r>
      <w:r>
        <w:t xml:space="preserve"> </w:t>
      </w:r>
      <w:r>
        <w:t xml:space="preserve">“</w:t>
      </w:r>
      <w:r>
        <w:t xml:space="preserve">Aether: A scalable approach to logging,</w:t>
      </w:r>
      <w:r>
        <w:t xml:space="preserve">”</w:t>
      </w:r>
      <w:r>
        <w:t xml:space="preserve"> </w:t>
      </w:r>
      <w:r>
        <w:rPr>
          <w:iCs/>
          <w:i/>
        </w:rPr>
        <w:t xml:space="preserve">Proc. VLDB Endowment</w:t>
      </w:r>
      <w:r>
        <w:t xml:space="preserve">, vol. 3, no. 1–2, pp. 681–692, 2010, doi: 10.14778/1920841.1920928.</w:t>
      </w:r>
    </w:p>
    <w:p>
      <w:pPr>
        <w:pStyle w:val="BodyText"/>
      </w:pPr>
      <w:r>
        <w:t xml:space="preserve">[187] S. Tu, W. Zheng, E. Kohler, B. Liskov, and S. Madden,</w:t>
      </w:r>
      <w:r>
        <w:t xml:space="preserve"> </w:t>
      </w:r>
      <w:r>
        <w:t xml:space="preserve">“</w:t>
      </w:r>
      <w:r>
        <w:t xml:space="preserve">Speedy transactions in multicore in-memory databases,</w:t>
      </w:r>
      <w:r>
        <w:t xml:space="preserve">”</w:t>
      </w:r>
      <w:r>
        <w:t xml:space="preserve"> </w:t>
      </w:r>
      <w:r>
        <w:t xml:space="preserve">in</w:t>
      </w:r>
      <w:r>
        <w:t xml:space="preserve"> </w:t>
      </w:r>
      <w:r>
        <w:rPr>
          <w:iCs/>
          <w:i/>
        </w:rPr>
        <w:t xml:space="preserve">Proc. 24th ACM Symp. Operating Systems Principles (SOSP ’13)</w:t>
      </w:r>
      <w:r>
        <w:t xml:space="preserve">, 2013, pp. 18–32, doi: 10.1145/2517349.2522713.</w:t>
      </w:r>
    </w:p>
    <w:p>
      <w:pPr>
        <w:pStyle w:val="BodyText"/>
      </w:pPr>
      <w:r>
        <w:t xml:space="preserve">[188] H. Lim, M. Kaminsky, and D. G. Andersen,</w:t>
      </w:r>
      <w:r>
        <w:t xml:space="preserve"> </w:t>
      </w:r>
      <w:r>
        <w:t xml:space="preserve">“</w:t>
      </w:r>
      <w:r>
        <w:t xml:space="preserve">Cicada: Dependably fast multi-core in-memory transactions,</w:t>
      </w:r>
      <w:r>
        <w:t xml:space="preserve">”</w:t>
      </w:r>
      <w:r>
        <w:t xml:space="preserve"> </w:t>
      </w:r>
      <w:r>
        <w:t xml:space="preserve">in</w:t>
      </w:r>
      <w:r>
        <w:t xml:space="preserve"> </w:t>
      </w:r>
      <w:r>
        <w:rPr>
          <w:iCs/>
          <w:i/>
        </w:rPr>
        <w:t xml:space="preserve">Proc. 2017 ACM SIGMOD Int. Conf. Management of Data</w:t>
      </w:r>
      <w:r>
        <w:t xml:space="preserve">, 2017, doi: 10.1145/3035918.3064015.</w:t>
      </w:r>
    </w:p>
    <w:p>
      <w:pPr>
        <w:pStyle w:val="BodyText"/>
      </w:pPr>
      <w:r>
        <w:t xml:space="preserve">[189] X. Yang, Y. Zhang, S. Wang, B. Yu, F. Li, Y. Li, and W. Yan,</w:t>
      </w:r>
      <w:r>
        <w:t xml:space="preserve"> </w:t>
      </w:r>
      <w:r>
        <w:t xml:space="preserve">“</w:t>
      </w:r>
      <w:r>
        <w:t xml:space="preserve">LedgerDB: A centralized ledger database for universal audit and verification,</w:t>
      </w:r>
      <w:r>
        <w:t xml:space="preserve">”</w:t>
      </w:r>
      <w:r>
        <w:t xml:space="preserve"> </w:t>
      </w:r>
      <w:r>
        <w:rPr>
          <w:iCs/>
          <w:i/>
        </w:rPr>
        <w:t xml:space="preserve">Proc. VLDB Endowment</w:t>
      </w:r>
      <w:r>
        <w:t xml:space="preserve">, vol. 13, no. 12, pp. 3138–3151, 2020, doi: 10.14778/3415478.3415540.</w:t>
      </w:r>
    </w:p>
    <w:p>
      <w:pPr>
        <w:pStyle w:val="BodyText"/>
      </w:pPr>
      <w:r>
        <w:t xml:space="preserve">[190] M. Swanson, P. Bowen, A. W. Phillips, D. Gallup, and D. Lynes,</w:t>
      </w:r>
      <w:r>
        <w:t xml:space="preserve"> </w:t>
      </w:r>
      <w:r>
        <w:rPr>
          <w:iCs/>
          <w:i/>
        </w:rPr>
        <w:t xml:space="preserve">Contingency Planning Guide for Federal Information Systems</w:t>
      </w:r>
      <w:r>
        <w:t xml:space="preserve">, NIST Special Publication 800-34 Rev. 1, National Institute of Standards and Technology, May 2010.</w:t>
      </w:r>
    </w:p>
    <w:p>
      <w:pPr>
        <w:pStyle w:val="BodyText"/>
      </w:pPr>
      <w:r>
        <w:t xml:space="preserve">[191] M. E. J. Newman,</w:t>
      </w:r>
      <w:r>
        <w:t xml:space="preserve"> </w:t>
      </w:r>
      <w:r>
        <w:t xml:space="preserve">“</w:t>
      </w:r>
      <w:r>
        <w:t xml:space="preserve">Power laws, Pareto distributions and Zipf’s law,</w:t>
      </w:r>
      <w:r>
        <w:t xml:space="preserve">”</w:t>
      </w:r>
      <w:r>
        <w:t xml:space="preserve"> </w:t>
      </w:r>
      <w:r>
        <w:rPr>
          <w:iCs/>
          <w:i/>
        </w:rPr>
        <w:t xml:space="preserve">Contemporary Physics</w:t>
      </w:r>
      <w:r>
        <w:t xml:space="preserve">, vol. 46, no. 5, pp. 323–351, 2005, doi: 10.1080/00107510500052444.</w:t>
      </w:r>
    </w:p>
    <w:p>
      <w:pPr>
        <w:pStyle w:val="BodyText"/>
      </w:pPr>
      <w:r>
        <w:t xml:space="preserve">[192] M. McNierney,</w:t>
      </w:r>
      <w:r>
        <w:t xml:space="preserve"> </w:t>
      </w:r>
      <w:r>
        <w:t xml:space="preserve">“</w:t>
      </w:r>
      <w:r>
        <w:t xml:space="preserve">Behind the scenes: How we built ledgers for high throughput,</w:t>
      </w:r>
      <w:r>
        <w:t xml:space="preserve">”</w:t>
      </w:r>
      <w:r>
        <w:t xml:space="preserve"> </w:t>
      </w:r>
      <w:r>
        <w:t xml:space="preserve">Modern Treasury Journal, Jan. 25, 2024; and Modern Treasury,</w:t>
      </w:r>
      <w:r>
        <w:t xml:space="preserve"> </w:t>
      </w:r>
      <w:r>
        <w:t xml:space="preserve">“</w:t>
      </w:r>
      <w:r>
        <w:t xml:space="preserve">Design a ledger for concurrency.</w:t>
      </w:r>
      <w:r>
        <w:t xml:space="preserve">”</w:t>
      </w:r>
      <w:r>
        <w:t xml:space="preserve"> </w:t>
      </w:r>
      <w:r>
        <w:t xml:space="preserve">[Online]. Available: https://www.moderntreasury.com/journal/ (accessed Aug. 2026).</w:t>
      </w:r>
    </w:p>
    <w:p>
      <w:pPr>
        <w:pStyle w:val="BodyText"/>
      </w:pPr>
      <w:r>
        <w:t xml:space="preserve">[193] A. Kale and R. K. Gautam,</w:t>
      </w:r>
      <w:r>
        <w:t xml:space="preserve"> </w:t>
      </w:r>
      <w:r>
        <w:t xml:space="preserve">“</w:t>
      </w:r>
      <w:r>
        <w:t xml:space="preserve">Building high throughput payment account processing,</w:t>
      </w:r>
      <w:r>
        <w:t xml:space="preserve">”</w:t>
      </w:r>
      <w:r>
        <w:t xml:space="preserve"> </w:t>
      </w:r>
      <w:r>
        <w:t xml:space="preserve">Uber Engineering Blog, Mar. 5, 2026. [Online]. Available: https://www.uber.com/blog/</w:t>
      </w:r>
    </w:p>
    <w:p>
      <w:pPr>
        <w:pStyle w:val="BodyText"/>
      </w:pPr>
      <w:r>
        <w:t xml:space="preserve">[194] ReadySet, Inc.,</w:t>
      </w:r>
      <w:r>
        <w:t xml:space="preserve"> </w:t>
      </w:r>
      <w:r>
        <w:t xml:space="preserve">“</w:t>
      </w:r>
      <w:r>
        <w:t xml:space="preserve">Readyset platform overview</w:t>
      </w:r>
      <w:r>
        <w:t xml:space="preserve">”</w:t>
      </w:r>
      <w:r>
        <w:t xml:space="preserve"> </w:t>
      </w:r>
      <w:r>
        <w:t xml:space="preserve">and V. Grippa,</w:t>
      </w:r>
      <w:r>
        <w:t xml:space="preserve"> </w:t>
      </w:r>
      <w:r>
        <w:t xml:space="preserve">“</w:t>
      </w:r>
      <w:r>
        <w:t xml:space="preserve">Behind the magic: How Readyset speeds up queries with streaming dataflow,</w:t>
      </w:r>
      <w:r>
        <w:t xml:space="preserve">”</w:t>
      </w:r>
      <w:r>
        <w:t xml:space="preserve"> </w:t>
      </w:r>
      <w:r>
        <w:t xml:space="preserve">Aug. 21, 2025. [Online]. Available: https://readyset.io/docs/ (accessed Aug. 2026).</w:t>
      </w:r>
    </w:p>
    <w:p>
      <w:pPr>
        <w:pStyle w:val="BodyText"/>
      </w:pPr>
      <w:r>
        <w:t xml:space="preserve">[195] U.S. Department of the Treasury, Bureau of the Fiscal Service,</w:t>
      </w:r>
      <w:r>
        <w:t xml:space="preserve"> </w:t>
      </w:r>
      <w:r>
        <w:rPr>
          <w:iCs/>
          <w:i/>
        </w:rPr>
        <w:t xml:space="preserve">Treasury Financial Manual, Supplement — U.S. Government Standard General Ledger (USSGL)</w:t>
      </w:r>
      <w:r>
        <w:t xml:space="preserve">, Part 1, Sections II and IV. [Online]. Available: https://tfm.fiscal.treasury.gov/ (accessed Aug. 2026).</w:t>
      </w:r>
    </w:p>
    <w:p>
      <w:pPr>
        <w:pStyle w:val="BodyText"/>
      </w:pPr>
      <w:r>
        <w:t xml:space="preserve">[196] jemalloc,</w:t>
      </w:r>
      <w:r>
        <w:t xml:space="preserve"> </w:t>
      </w:r>
      <w:r>
        <w:t xml:space="preserve">“</w:t>
      </w:r>
      <w:r>
        <w:t xml:space="preserve">jemalloc(3) manual.</w:t>
      </w:r>
      <w:r>
        <w:t xml:space="preserve">”</w:t>
      </w:r>
      <w:r>
        <w:t xml:space="preserve"> </w:t>
      </w:r>
      <w:r>
        <w:t xml:space="preserve">[Online]. Available: https://jemalloc.net/jemalloc.3.html (accessed Aug. 2026); Rust Project,</w:t>
      </w:r>
      <w:r>
        <w:t xml:space="preserve"> </w:t>
      </w:r>
      <w:r>
        <w:t xml:space="preserve">“</w:t>
      </w:r>
      <w:r>
        <w:rPr>
          <w:rStyle w:val="VerbatimChar"/>
        </w:rPr>
        <w:t xml:space="preserve">std::alloc::GlobalAlloc</w:t>
      </w:r>
      <w:r>
        <w:t xml:space="preserve">,</w:t>
      </w:r>
      <w:r>
        <w:t xml:space="preserve">”</w:t>
      </w:r>
      <w:r>
        <w:t xml:space="preserve"> </w:t>
      </w:r>
      <w:r>
        <w:rPr>
          <w:iCs/>
          <w:i/>
        </w:rPr>
        <w:t xml:space="preserve">The Rust Standard Library</w:t>
      </w:r>
      <w:r>
        <w:t xml:space="preserve">.</w:t>
      </w:r>
    </w:p>
    <w:bookmarkEnd w:id="386"/>
    <w:bookmarkEnd w:id="3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Niles and Nilestream</dc:title>
  <dc:creator>Sergio</dc:creator>
  <cp:keywords/>
  <dcterms:created xsi:type="dcterms:W3CDTF">2026-09-02T00:46:52Z</dcterms:created>
  <dcterms:modified xsi:type="dcterms:W3CDTF">2026-09-02T00:46:52Z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Reconstructible Epoch-Anchored Views: a theory of versioned partially-materialized state over an immutable ledger</vt:lpwstr>
  </property>
</Properties>
</file>