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2598D4F" w:rsidP="0055642D" w:rsidRDefault="32598D4F" w14:paraId="72AB9587" w14:textId="1A634B64">
      <w:pPr>
        <w:spacing w:after="0"/>
        <w:jc w:val="right"/>
        <w:rPr>
          <w:rFonts w:ascii="Trebuchet MS" w:hAnsi="Trebuchet MS" w:eastAsia="Trebuchet MS" w:cs="Trebuchet MS"/>
          <w:lang w:val="es-419"/>
        </w:rPr>
      </w:pPr>
      <w:r w:rsidRPr="59895BF2">
        <w:rPr>
          <w:rFonts w:ascii="Trebuchet MS" w:hAnsi="Trebuchet MS" w:eastAsia="Trebuchet MS" w:cs="Trebuchet MS"/>
          <w:lang w:val="es-419"/>
        </w:rPr>
        <w:t xml:space="preserve">______________, ___ de __________ </w:t>
      </w:r>
      <w:proofErr w:type="spellStart"/>
      <w:r w:rsidRPr="59895BF2">
        <w:rPr>
          <w:rFonts w:ascii="Trebuchet MS" w:hAnsi="Trebuchet MS" w:eastAsia="Trebuchet MS" w:cs="Trebuchet MS"/>
          <w:lang w:val="es-419"/>
        </w:rPr>
        <w:t>de</w:t>
      </w:r>
      <w:proofErr w:type="spellEnd"/>
      <w:r w:rsidRPr="59895BF2">
        <w:rPr>
          <w:rFonts w:ascii="Trebuchet MS" w:hAnsi="Trebuchet MS" w:eastAsia="Trebuchet MS" w:cs="Trebuchet MS"/>
          <w:lang w:val="es-419"/>
        </w:rPr>
        <w:t xml:space="preserve"> 2025 </w:t>
      </w:r>
    </w:p>
    <w:p w:rsidR="1F68122E" w:rsidP="59895BF2" w:rsidRDefault="1F68122E" w14:paraId="5D2E75AD" w14:textId="55B4EC26">
      <w:pPr>
        <w:spacing w:after="0"/>
        <w:jc w:val="both"/>
        <w:rPr>
          <w:rFonts w:ascii="Trebuchet MS" w:hAnsi="Trebuchet MS" w:eastAsia="Trebuchet MS" w:cs="Trebuchet MS"/>
          <w:lang w:val="es-419"/>
        </w:rPr>
      </w:pPr>
    </w:p>
    <w:p w:rsidRPr="0055642D" w:rsidR="32598D4F" w:rsidP="59895BF2" w:rsidRDefault="32598D4F" w14:paraId="76E75870" w14:textId="0C0B20E0">
      <w:pPr>
        <w:spacing w:after="0"/>
        <w:jc w:val="both"/>
        <w:rPr>
          <w:rFonts w:ascii="Trebuchet MS" w:hAnsi="Trebuchet MS" w:eastAsia="Trebuchet MS" w:cs="Trebuchet MS"/>
          <w:color w:val="000000" w:themeColor="text1"/>
          <w:lang w:val="es-CO"/>
        </w:rPr>
      </w:pPr>
      <w:r w:rsidRPr="59895BF2">
        <w:rPr>
          <w:rFonts w:ascii="Trebuchet MS" w:hAnsi="Trebuchet MS" w:eastAsia="Trebuchet MS" w:cs="Trebuchet MS"/>
          <w:lang w:val="es-419"/>
        </w:rPr>
        <w:t xml:space="preserve">Señor(a) </w:t>
      </w:r>
      <w:r w:rsidRPr="0055642D">
        <w:rPr>
          <w:lang w:val="es-CO"/>
        </w:rPr>
        <w:br/>
      </w:r>
      <w:r w:rsidRPr="59895BF2">
        <w:rPr>
          <w:rFonts w:ascii="Trebuchet MS" w:hAnsi="Trebuchet MS" w:eastAsia="Trebuchet MS" w:cs="Trebuchet MS"/>
          <w:lang w:val="es-419"/>
        </w:rPr>
        <w:t xml:space="preserve">Juez ___ de Ejecución de Penas y Medidas de Seguridad </w:t>
      </w:r>
      <w:r w:rsidR="0055642D">
        <w:rPr>
          <w:rFonts w:ascii="Trebuchet MS" w:hAnsi="Trebuchet MS" w:eastAsia="Trebuchet MS" w:cs="Trebuchet MS"/>
          <w:lang w:val="es-419"/>
        </w:rPr>
        <w:t>de _____________________</w:t>
      </w:r>
    </w:p>
    <w:p w:rsidR="32598D4F" w:rsidP="59895BF2" w:rsidRDefault="32598D4F" w14:paraId="223437C7" w14:textId="7421A6AD">
      <w:pPr>
        <w:spacing w:after="0"/>
        <w:jc w:val="both"/>
        <w:rPr>
          <w:rFonts w:ascii="Trebuchet MS" w:hAnsi="Trebuchet MS" w:eastAsia="Trebuchet MS" w:cs="Trebuchet MS"/>
          <w:color w:val="000000" w:themeColor="text1"/>
        </w:rPr>
      </w:pPr>
      <w:r w:rsidRPr="3EA66B39">
        <w:rPr>
          <w:rFonts w:ascii="Trebuchet MS" w:hAnsi="Trebuchet MS" w:eastAsia="Trebuchet MS" w:cs="Trebuchet MS"/>
          <w:color w:val="000000" w:themeColor="text1"/>
          <w:lang w:val="es-419"/>
        </w:rPr>
        <w:t>E.</w:t>
      </w:r>
      <w:r w:rsidR="0055642D">
        <w:rPr>
          <w:rFonts w:ascii="Trebuchet MS" w:hAnsi="Trebuchet MS" w:eastAsia="Trebuchet MS" w:cs="Trebuchet MS"/>
          <w:color w:val="000000" w:themeColor="text1"/>
          <w:lang w:val="es-419"/>
        </w:rPr>
        <w:tab/>
      </w:r>
      <w:r w:rsidRPr="3EA66B39">
        <w:rPr>
          <w:rFonts w:ascii="Trebuchet MS" w:hAnsi="Trebuchet MS" w:eastAsia="Trebuchet MS" w:cs="Trebuchet MS"/>
          <w:color w:val="000000" w:themeColor="text1"/>
          <w:lang w:val="es-419"/>
        </w:rPr>
        <w:t>S.</w:t>
      </w:r>
      <w:r w:rsidR="0055642D">
        <w:rPr>
          <w:rFonts w:ascii="Trebuchet MS" w:hAnsi="Trebuchet MS" w:eastAsia="Trebuchet MS" w:cs="Trebuchet MS"/>
          <w:color w:val="000000" w:themeColor="text1"/>
          <w:lang w:val="es-419"/>
        </w:rPr>
        <w:tab/>
      </w:r>
      <w:r w:rsidRPr="3EA66B39">
        <w:rPr>
          <w:rFonts w:ascii="Trebuchet MS" w:hAnsi="Trebuchet MS" w:eastAsia="Trebuchet MS" w:cs="Trebuchet MS"/>
          <w:color w:val="000000" w:themeColor="text1"/>
          <w:lang w:val="es-419"/>
        </w:rPr>
        <w:t>D.</w:t>
      </w:r>
    </w:p>
    <w:p w:rsidR="32598D4F" w:rsidP="3EA66B39" w:rsidRDefault="32598D4F" w14:paraId="24E21EB8" w14:textId="6C62E015">
      <w:pPr>
        <w:spacing w:after="0"/>
        <w:jc w:val="both"/>
        <w:rPr>
          <w:rFonts w:ascii="Trebuchet MS" w:hAnsi="Trebuchet MS" w:eastAsia="Trebuchet MS" w:cs="Trebuchet MS"/>
          <w:color w:val="000000" w:themeColor="text1"/>
          <w:lang w:val="es-419"/>
        </w:rPr>
      </w:pPr>
    </w:p>
    <w:tbl>
      <w:tblPr>
        <w:tblStyle w:val="Tablaconcuadrcula"/>
        <w:tblW w:w="0" w:type="auto"/>
        <w:tblLayout w:type="fixed"/>
        <w:tblLook w:val="06A0" w:firstRow="1" w:lastRow="0" w:firstColumn="1" w:lastColumn="0" w:noHBand="1" w:noVBand="1"/>
      </w:tblPr>
      <w:tblGrid>
        <w:gridCol w:w="2220"/>
        <w:gridCol w:w="7140"/>
      </w:tblGrid>
      <w:tr w:rsidR="3EA66B39" w:rsidTr="2B6D7332" w14:paraId="4D807CAB" w14:textId="77777777">
        <w:trPr>
          <w:trHeight w:val="300"/>
        </w:trPr>
        <w:tc>
          <w:tcPr>
            <w:tcW w:w="2220" w:type="dxa"/>
            <w:tcMar/>
          </w:tcPr>
          <w:p w:rsidR="60D5498A" w:rsidP="3EA66B39" w:rsidRDefault="60D5498A" w14:paraId="4A8B6FF2" w14:textId="63A6BC27">
            <w:pPr>
              <w:rPr>
                <w:rFonts w:ascii="Trebuchet MS" w:hAnsi="Trebuchet MS" w:eastAsia="Trebuchet MS" w:cs="Trebuchet MS"/>
                <w:color w:val="000000" w:themeColor="text1"/>
                <w:lang w:val="es-419"/>
              </w:rPr>
            </w:pPr>
            <w:r w:rsidRPr="3EA66B39">
              <w:rPr>
                <w:rFonts w:ascii="Trebuchet MS" w:hAnsi="Trebuchet MS" w:eastAsia="Trebuchet MS" w:cs="Trebuchet MS"/>
                <w:color w:val="000000" w:themeColor="text1"/>
                <w:lang w:val="es-419"/>
              </w:rPr>
              <w:t>Radicado:</w:t>
            </w:r>
          </w:p>
        </w:tc>
        <w:tc>
          <w:tcPr>
            <w:tcW w:w="7140" w:type="dxa"/>
            <w:tcMar/>
          </w:tcPr>
          <w:p w:rsidR="3EA66B39" w:rsidP="3EA66B39" w:rsidRDefault="3EA66B39" w14:paraId="7B984BE9" w14:textId="4DBBFC35">
            <w:pPr>
              <w:rPr>
                <w:rFonts w:ascii="Trebuchet MS" w:hAnsi="Trebuchet MS" w:eastAsia="Trebuchet MS" w:cs="Trebuchet MS"/>
                <w:color w:val="000000" w:themeColor="text1"/>
                <w:lang w:val="es-419"/>
              </w:rPr>
            </w:pPr>
          </w:p>
        </w:tc>
      </w:tr>
      <w:tr w:rsidRPr="0055642D" w:rsidR="3EA66B39" w:rsidTr="2B6D7332" w14:paraId="0D3A55C1" w14:textId="77777777">
        <w:trPr>
          <w:trHeight w:val="300"/>
        </w:trPr>
        <w:tc>
          <w:tcPr>
            <w:tcW w:w="2220" w:type="dxa"/>
            <w:tcMar/>
          </w:tcPr>
          <w:p w:rsidR="60D5498A" w:rsidP="3EA66B39" w:rsidRDefault="60D5498A" w14:paraId="1D5F39A4" w14:textId="6D587EAE">
            <w:pPr>
              <w:rPr>
                <w:rFonts w:ascii="Trebuchet MS" w:hAnsi="Trebuchet MS" w:eastAsia="Trebuchet MS" w:cs="Trebuchet MS"/>
                <w:color w:val="000000" w:themeColor="text1"/>
                <w:lang w:val="es-419"/>
              </w:rPr>
            </w:pPr>
            <w:r w:rsidRPr="3EA66B39">
              <w:rPr>
                <w:rFonts w:ascii="Trebuchet MS" w:hAnsi="Trebuchet MS" w:eastAsia="Trebuchet MS" w:cs="Trebuchet MS"/>
                <w:color w:val="000000" w:themeColor="text1"/>
                <w:lang w:val="es-419"/>
              </w:rPr>
              <w:t>Asunto:</w:t>
            </w:r>
          </w:p>
        </w:tc>
        <w:tc>
          <w:tcPr>
            <w:tcW w:w="7140" w:type="dxa"/>
            <w:tcMar/>
          </w:tcPr>
          <w:p w:rsidR="60D5498A" w:rsidP="2B6D7332" w:rsidRDefault="60D5498A" w14:paraId="31246E5D" w14:textId="67809AEC">
            <w:pPr>
              <w:pStyle w:val="Normal"/>
              <w:rPr>
                <w:rFonts w:ascii="Trebuchet MS" w:hAnsi="Trebuchet MS" w:eastAsia="Trebuchet MS" w:cs="Trebuchet MS"/>
                <w:lang w:val="es-419"/>
              </w:rPr>
            </w:pPr>
            <w:r w:rsidRPr="2B6D7332" w:rsidR="60D5498A">
              <w:rPr>
                <w:rFonts w:ascii="Trebuchet MS" w:hAnsi="Trebuchet MS" w:eastAsia="Trebuchet MS" w:cs="Trebuchet MS"/>
                <w:lang w:val="es-419"/>
              </w:rPr>
              <w:t>Solicitud de aplicación retroactiva y analógica del artículo 19 de la Ley 2466 de 2025 (redención de pena por trabajo) a otras actividades que reconocen redención de pena</w:t>
            </w:r>
            <w:r w:rsidRPr="2B6D7332" w:rsidR="6A12B33F">
              <w:rPr>
                <w:rFonts w:ascii="Trebuchet MS" w:hAnsi="Trebuchet MS" w:eastAsia="Trebuchet MS" w:cs="Trebuchet MS"/>
                <w:lang w:val="es-419"/>
              </w:rPr>
              <w:t xml:space="preserve"> </w:t>
            </w:r>
            <w:r w:rsidRPr="2B6D7332" w:rsidR="6A12B33F">
              <w:rPr>
                <w:rFonts w:ascii="Trebuchet MS" w:hAnsi="Trebuchet MS" w:eastAsia="Trebuchet MS" w:cs="Trebuchet MS"/>
                <w:lang w:val="es-419"/>
              </w:rPr>
              <w:t xml:space="preserve">- </w:t>
            </w:r>
            <w:r w:rsidRPr="2B6D7332" w:rsidR="42AD6AA6">
              <w:rPr>
                <w:rFonts w:ascii="Trebuchet MS" w:hAnsi="Trebuchet MS" w:eastAsia="Trebuchet MS" w:cs="Trebuchet MS"/>
                <w:b w:val="0"/>
                <w:bCs w:val="0"/>
                <w:i w:val="0"/>
                <w:iCs w:val="0"/>
                <w:caps w:val="0"/>
                <w:smallCaps w:val="0"/>
                <w:strike w:val="0"/>
                <w:dstrike w:val="0"/>
                <w:noProof w:val="0"/>
                <w:color w:val="000000" w:themeColor="text1" w:themeTint="FF" w:themeShade="FF"/>
                <w:sz w:val="24"/>
                <w:szCs w:val="24"/>
                <w:u w:val="none"/>
                <w:lang w:val="es-419"/>
              </w:rPr>
              <w:t>Brigadas jurídicas - Auto 1667 de 2025</w:t>
            </w:r>
          </w:p>
        </w:tc>
      </w:tr>
      <w:tr w:rsidRPr="0055642D" w:rsidR="3EA66B39" w:rsidTr="2B6D7332" w14:paraId="3EB6D2FC" w14:textId="77777777">
        <w:trPr>
          <w:trHeight w:val="300"/>
        </w:trPr>
        <w:tc>
          <w:tcPr>
            <w:tcW w:w="2220" w:type="dxa"/>
            <w:tcMar/>
          </w:tcPr>
          <w:p w:rsidR="60D5498A" w:rsidP="3EA66B39" w:rsidRDefault="60D5498A" w14:paraId="3914E42B" w14:textId="32A5DD91">
            <w:pPr>
              <w:rPr>
                <w:rFonts w:ascii="Trebuchet MS" w:hAnsi="Trebuchet MS" w:eastAsia="Trebuchet MS" w:cs="Trebuchet MS"/>
                <w:color w:val="000000" w:themeColor="text1"/>
                <w:lang w:val="es-419"/>
              </w:rPr>
            </w:pPr>
            <w:r w:rsidRPr="3EA66B39">
              <w:rPr>
                <w:rFonts w:ascii="Trebuchet MS" w:hAnsi="Trebuchet MS" w:eastAsia="Trebuchet MS" w:cs="Trebuchet MS"/>
                <w:color w:val="000000" w:themeColor="text1"/>
                <w:lang w:val="es-419"/>
              </w:rPr>
              <w:t>Persona privada de la libertad:</w:t>
            </w:r>
          </w:p>
        </w:tc>
        <w:tc>
          <w:tcPr>
            <w:tcW w:w="7140" w:type="dxa"/>
            <w:tcMar/>
          </w:tcPr>
          <w:p w:rsidR="3EA66B39" w:rsidP="3EA66B39" w:rsidRDefault="3EA66B39" w14:paraId="12284335" w14:textId="4DBBFC35">
            <w:pPr>
              <w:rPr>
                <w:rFonts w:ascii="Trebuchet MS" w:hAnsi="Trebuchet MS" w:eastAsia="Trebuchet MS" w:cs="Trebuchet MS"/>
                <w:color w:val="000000" w:themeColor="text1"/>
                <w:lang w:val="es-419"/>
              </w:rPr>
            </w:pPr>
          </w:p>
        </w:tc>
      </w:tr>
    </w:tbl>
    <w:p w:rsidR="32598D4F" w:rsidP="3EA66B39" w:rsidRDefault="32598D4F" w14:paraId="68AB7BE6" w14:textId="3E946E78">
      <w:pPr>
        <w:spacing w:after="0"/>
        <w:jc w:val="both"/>
        <w:rPr>
          <w:rFonts w:ascii="Trebuchet MS" w:hAnsi="Trebuchet MS" w:eastAsia="Trebuchet MS" w:cs="Trebuchet MS"/>
          <w:lang w:val="es-419"/>
        </w:rPr>
      </w:pPr>
    </w:p>
    <w:p w:rsidR="32598D4F" w:rsidP="59895BF2" w:rsidRDefault="32598D4F" w14:paraId="02F7BB97" w14:textId="433C69AE">
      <w:pPr>
        <w:spacing w:after="0"/>
        <w:jc w:val="both"/>
        <w:rPr>
          <w:rFonts w:ascii="Trebuchet MS" w:hAnsi="Trebuchet MS" w:eastAsia="Trebuchet MS" w:cs="Trebuchet MS"/>
          <w:lang w:val="es-419"/>
        </w:rPr>
      </w:pPr>
      <w:r w:rsidRPr="3EA66B39">
        <w:rPr>
          <w:rFonts w:ascii="Trebuchet MS" w:hAnsi="Trebuchet MS" w:eastAsia="Trebuchet MS" w:cs="Trebuchet MS"/>
          <w:lang w:val="es-419"/>
        </w:rPr>
        <w:t xml:space="preserve">Respetado(a) señor(a) Juez: </w:t>
      </w:r>
    </w:p>
    <w:p w:rsidR="1F68122E" w:rsidP="59895BF2" w:rsidRDefault="1F68122E" w14:paraId="47094AE1" w14:textId="5858B1DF">
      <w:pPr>
        <w:spacing w:after="0"/>
        <w:jc w:val="both"/>
        <w:rPr>
          <w:rFonts w:ascii="Trebuchet MS" w:hAnsi="Trebuchet MS" w:eastAsia="Trebuchet MS" w:cs="Trebuchet MS"/>
          <w:lang w:val="es-419"/>
        </w:rPr>
      </w:pPr>
    </w:p>
    <w:p w:rsidR="32598D4F" w:rsidP="59895BF2" w:rsidRDefault="3A1C2170" w14:paraId="2E3C5B46" w14:textId="55EDF97F">
      <w:pPr>
        <w:spacing w:after="0"/>
        <w:jc w:val="both"/>
        <w:rPr>
          <w:rFonts w:ascii="Trebuchet MS" w:hAnsi="Trebuchet MS" w:eastAsia="Trebuchet MS" w:cs="Trebuchet MS"/>
          <w:lang w:val="es-419"/>
        </w:rPr>
      </w:pPr>
      <w:r w:rsidRPr="2B6D7332" w:rsidR="3A1C2170">
        <w:rPr>
          <w:rFonts w:ascii="Trebuchet MS" w:hAnsi="Trebuchet MS" w:eastAsia="Trebuchet MS" w:cs="Trebuchet MS"/>
          <w:color w:val="000000" w:themeColor="text1" w:themeTint="FF" w:themeShade="FF"/>
          <w:lang w:val="es-419"/>
        </w:rPr>
        <w:t xml:space="preserve">________________________________________________, </w:t>
      </w:r>
      <w:r w:rsidRPr="2B6D7332" w:rsidR="3A1C2170">
        <w:rPr>
          <w:rFonts w:ascii="Trebuchet MS" w:hAnsi="Trebuchet MS" w:eastAsia="Trebuchet MS" w:cs="Trebuchet MS"/>
          <w:lang w:val="es-419"/>
        </w:rPr>
        <w:t>identificado(a) con cédula de ciudadanía No. ____________, y tarjeta profesional No. ____________,</w:t>
      </w:r>
      <w:r w:rsidRPr="2B6D7332" w:rsidR="3A1C2170">
        <w:rPr>
          <w:rFonts w:ascii="Trebuchet MS" w:hAnsi="Trebuchet MS" w:eastAsia="Trebuchet MS" w:cs="Trebuchet MS"/>
          <w:color w:val="000000" w:themeColor="text1" w:themeTint="FF" w:themeShade="FF"/>
          <w:lang w:val="es-419"/>
        </w:rPr>
        <w:t xml:space="preserve"> en mi calidad de Defensor(a) Público(a) de</w:t>
      </w:r>
      <w:r w:rsidRPr="2B6D7332" w:rsidR="32598D4F">
        <w:rPr>
          <w:rFonts w:ascii="Trebuchet MS" w:hAnsi="Trebuchet MS" w:eastAsia="Trebuchet MS" w:cs="Trebuchet MS"/>
          <w:lang w:val="es-419"/>
        </w:rPr>
        <w:t xml:space="preserve"> </w:t>
      </w:r>
      <w:r w:rsidRPr="2B6D7332" w:rsidR="32598D4F">
        <w:rPr>
          <w:rFonts w:ascii="Trebuchet MS" w:hAnsi="Trebuchet MS" w:eastAsia="Trebuchet MS" w:cs="Trebuchet MS"/>
          <w:color w:val="000000" w:themeColor="text1" w:themeTint="FF" w:themeShade="FF"/>
          <w:lang w:val="es-419"/>
        </w:rPr>
        <w:t>________________________________________________,</w:t>
      </w:r>
      <w:r w:rsidRPr="2B6D7332" w:rsidR="32598D4F">
        <w:rPr>
          <w:rFonts w:ascii="Trebuchet MS" w:hAnsi="Trebuchet MS" w:eastAsia="Trebuchet MS" w:cs="Trebuchet MS"/>
          <w:lang w:val="es-419"/>
        </w:rPr>
        <w:t xml:space="preserve"> identificado(a) con cédula de ciudadanía No. ____________</w:t>
      </w:r>
      <w:r w:rsidRPr="2B6D7332" w:rsidR="0055642D">
        <w:rPr>
          <w:rFonts w:ascii="Trebuchet MS" w:hAnsi="Trebuchet MS" w:eastAsia="Trebuchet MS" w:cs="Trebuchet MS"/>
          <w:lang w:val="es-419"/>
        </w:rPr>
        <w:t xml:space="preserve">, quien </w:t>
      </w:r>
      <w:r w:rsidRPr="2B6D7332" w:rsidR="32598D4F">
        <w:rPr>
          <w:rFonts w:ascii="Trebuchet MS" w:hAnsi="Trebuchet MS" w:eastAsia="Trebuchet MS" w:cs="Trebuchet MS"/>
          <w:lang w:val="es-419"/>
        </w:rPr>
        <w:t xml:space="preserve">actualmente privado(a) de la libertad en </w:t>
      </w:r>
      <w:r w:rsidRPr="2B6D7332" w:rsidR="32598D4F">
        <w:rPr>
          <w:rFonts w:ascii="Trebuchet MS" w:hAnsi="Trebuchet MS" w:eastAsia="Trebuchet MS" w:cs="Trebuchet MS"/>
          <w:color w:val="000000" w:themeColor="text1" w:themeTint="FF" w:themeShade="FF"/>
          <w:lang w:val="es-419"/>
        </w:rPr>
        <w:t>________________________________________________</w:t>
      </w:r>
      <w:r w:rsidRPr="2B6D7332" w:rsidR="32598D4F">
        <w:rPr>
          <w:rFonts w:ascii="Trebuchet MS" w:hAnsi="Trebuchet MS" w:eastAsia="Trebuchet MS" w:cs="Trebuchet MS"/>
          <w:lang w:val="es-419"/>
        </w:rPr>
        <w:t>, de manera respetuosa me permito solicitar</w:t>
      </w:r>
      <w:r w:rsidRPr="2B6D7332" w:rsidR="4165FCD0">
        <w:rPr>
          <w:rFonts w:ascii="Trebuchet MS" w:hAnsi="Trebuchet MS" w:eastAsia="Trebuchet MS" w:cs="Trebuchet MS"/>
          <w:lang w:val="es-419"/>
        </w:rPr>
        <w:t xml:space="preserve"> en favor de mi representado(a)</w:t>
      </w:r>
      <w:r w:rsidRPr="2B6D7332" w:rsidR="32598D4F">
        <w:rPr>
          <w:rFonts w:ascii="Trebuchet MS" w:hAnsi="Trebuchet MS" w:eastAsia="Trebuchet MS" w:cs="Trebuchet MS"/>
          <w:lang w:val="es-419"/>
        </w:rPr>
        <w:t xml:space="preserve"> la aplicación retroactiva </w:t>
      </w:r>
      <w:r w:rsidRPr="2B6D7332" w:rsidR="3A78691F">
        <w:rPr>
          <w:rFonts w:ascii="Trebuchet MS" w:hAnsi="Trebuchet MS" w:eastAsia="Trebuchet MS" w:cs="Trebuchet MS"/>
          <w:lang w:val="es-419"/>
        </w:rPr>
        <w:t xml:space="preserve">y analógica de la regla prevista en el artículo 19 de la Ley 2466 de 2025, que reconoce la redención de dos (2) días de pena por cada tres (3) días trabajados, a las demás actividades de redención reguladas en los artículos 97, 98, 99 y 99A de la Ley 65 de 1993. </w:t>
      </w:r>
    </w:p>
    <w:p w:rsidR="2B6D7332" w:rsidP="2B6D7332" w:rsidRDefault="2B6D7332" w14:paraId="7689E3C1" w14:textId="039587EB">
      <w:pPr>
        <w:spacing w:after="0"/>
        <w:jc w:val="both"/>
        <w:rPr>
          <w:rFonts w:ascii="Trebuchet MS" w:hAnsi="Trebuchet MS" w:eastAsia="Trebuchet MS" w:cs="Trebuchet MS"/>
          <w:lang w:val="es-419"/>
        </w:rPr>
      </w:pPr>
    </w:p>
    <w:p w:rsidR="3E95C2BC" w:rsidP="2B6D7332" w:rsidRDefault="3E95C2BC" w14:paraId="3CBD8875" w14:textId="250237A2">
      <w:pPr>
        <w:spacing w:after="0"/>
        <w:jc w:val="both"/>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pPr>
      <w:r w:rsidRPr="2B6D7332" w:rsidR="3E95C2BC">
        <w:rPr>
          <w:rFonts w:ascii="Trebuchet MS" w:hAnsi="Trebuchet MS" w:eastAsia="Trebuchet MS" w:cs="Trebuchet MS"/>
          <w:b w:val="0"/>
          <w:bCs w:val="0"/>
          <w:i w:val="0"/>
          <w:iCs w:val="0"/>
          <w:caps w:val="0"/>
          <w:smallCaps w:val="0"/>
          <w:noProof w:val="0"/>
          <w:color w:val="000000" w:themeColor="text1" w:themeTint="FF" w:themeShade="FF"/>
          <w:sz w:val="24"/>
          <w:szCs w:val="24"/>
          <w:lang w:val="es-419"/>
        </w:rPr>
        <w:t>La presente solicitud se enmarca en el cumplimiento de la realización de las brigadas jurídicas ordenadas por la Corte Constitucional en el Auto 1667 de 2025 a las autoridades: Defensoría del Pueblo, Procuraduría General de la Nación, Consejo Superior de la Judicatura y Ministerio de Justicia y del Derecho.</w:t>
      </w:r>
    </w:p>
    <w:p w:rsidR="1F68122E" w:rsidP="59895BF2" w:rsidRDefault="1F68122E" w14:paraId="3AFA7653" w14:textId="26C50F1B">
      <w:pPr>
        <w:spacing w:after="0"/>
        <w:jc w:val="both"/>
        <w:rPr>
          <w:rFonts w:ascii="Trebuchet MS" w:hAnsi="Trebuchet MS" w:eastAsia="Trebuchet MS" w:cs="Trebuchet MS"/>
          <w:lang w:val="es-419"/>
        </w:rPr>
      </w:pPr>
    </w:p>
    <w:p w:rsidR="32598D4F" w:rsidP="3EA66B39" w:rsidRDefault="32598D4F" w14:paraId="2433D975" w14:textId="7ACD1868">
      <w:pPr>
        <w:pStyle w:val="Prrafodelista"/>
        <w:numPr>
          <w:ilvl w:val="0"/>
          <w:numId w:val="1"/>
        </w:numPr>
        <w:spacing w:after="0"/>
        <w:jc w:val="center"/>
        <w:rPr>
          <w:rFonts w:ascii="Trebuchet MS" w:hAnsi="Trebuchet MS" w:eastAsia="Trebuchet MS" w:cs="Trebuchet MS"/>
          <w:b/>
          <w:bCs/>
          <w:lang w:val="es-419"/>
        </w:rPr>
      </w:pPr>
      <w:r w:rsidRPr="3EA66B39">
        <w:rPr>
          <w:rFonts w:ascii="Trebuchet MS" w:hAnsi="Trebuchet MS" w:eastAsia="Trebuchet MS" w:cs="Trebuchet MS"/>
          <w:b/>
          <w:bCs/>
          <w:lang w:val="es-419"/>
        </w:rPr>
        <w:t xml:space="preserve">Fundamentos jurídicos </w:t>
      </w:r>
    </w:p>
    <w:p w:rsidR="1F68122E" w:rsidP="59895BF2" w:rsidRDefault="1F68122E" w14:paraId="6858073C" w14:textId="1C978CA1">
      <w:pPr>
        <w:spacing w:after="0"/>
        <w:jc w:val="both"/>
        <w:rPr>
          <w:rFonts w:ascii="Trebuchet MS" w:hAnsi="Trebuchet MS" w:eastAsia="Trebuchet MS" w:cs="Trebuchet MS"/>
          <w:b/>
          <w:bCs/>
          <w:lang w:val="es-419"/>
        </w:rPr>
      </w:pPr>
    </w:p>
    <w:p w:rsidR="32598D4F" w:rsidP="59895BF2" w:rsidRDefault="32598D4F" w14:paraId="00D5F572" w14:textId="0876263C">
      <w:pPr>
        <w:pStyle w:val="Prrafodelista"/>
        <w:numPr>
          <w:ilvl w:val="0"/>
          <w:numId w:val="4"/>
        </w:numPr>
        <w:spacing w:after="0"/>
        <w:jc w:val="both"/>
        <w:rPr>
          <w:rFonts w:ascii="Trebuchet MS" w:hAnsi="Trebuchet MS" w:eastAsia="Trebuchet MS" w:cs="Trebuchet MS"/>
          <w:b/>
          <w:bCs/>
          <w:lang w:val="es-419"/>
        </w:rPr>
      </w:pPr>
      <w:r w:rsidRPr="59895BF2">
        <w:rPr>
          <w:rFonts w:ascii="Trebuchet MS" w:hAnsi="Trebuchet MS" w:eastAsia="Trebuchet MS" w:cs="Trebuchet MS"/>
          <w:b/>
          <w:bCs/>
          <w:lang w:val="es-419"/>
        </w:rPr>
        <w:t xml:space="preserve">Reconocimiento expreso en la Ley 2466 de 2025 </w:t>
      </w:r>
      <w:r w:rsidRPr="59895BF2" w:rsidR="48051F2C">
        <w:rPr>
          <w:rFonts w:ascii="Trebuchet MS" w:hAnsi="Trebuchet MS" w:eastAsia="Trebuchet MS" w:cs="Trebuchet MS"/>
          <w:b/>
          <w:bCs/>
          <w:lang w:val="es-419"/>
        </w:rPr>
        <w:t>de la regla de redención de pena de 2 días redimidos por 3 trabajados</w:t>
      </w:r>
    </w:p>
    <w:p w:rsidR="1F68122E" w:rsidP="59895BF2" w:rsidRDefault="1F68122E" w14:paraId="39AAA509" w14:textId="5239E56A">
      <w:pPr>
        <w:spacing w:after="0"/>
        <w:jc w:val="both"/>
        <w:rPr>
          <w:rFonts w:ascii="Trebuchet MS" w:hAnsi="Trebuchet MS" w:eastAsia="Trebuchet MS" w:cs="Trebuchet MS"/>
          <w:lang w:val="es-419"/>
        </w:rPr>
      </w:pPr>
    </w:p>
    <w:p w:rsidR="32598D4F" w:rsidP="59895BF2" w:rsidRDefault="32598D4F" w14:paraId="15228BDB" w14:textId="5183FD32">
      <w:p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 xml:space="preserve">El artículo 19 de la Ley 2466 de 2025 establece que las actividades productivas y ocupacionales de las personas privadas de la libertad serán reconocidas no solo como experiencia laboral, sino que además conceden redención de pena a razón de dos días por cada tres días de trabajo. Esta disposición refleja la voluntad del legislador de fortalecer el trabajo como mecanismo de resocialización y de reducción de reincidencia, otorgando un beneficio mayor al anteriormente reconocido. </w:t>
      </w:r>
    </w:p>
    <w:p w:rsidR="1F68122E" w:rsidP="59895BF2" w:rsidRDefault="1F68122E" w14:paraId="4EFFCF0E" w14:textId="2B597574">
      <w:pPr>
        <w:spacing w:after="0"/>
        <w:jc w:val="both"/>
        <w:rPr>
          <w:rFonts w:ascii="Trebuchet MS" w:hAnsi="Trebuchet MS" w:eastAsia="Trebuchet MS" w:cs="Trebuchet MS"/>
          <w:lang w:val="es-419"/>
        </w:rPr>
      </w:pPr>
    </w:p>
    <w:p w:rsidR="32598D4F" w:rsidP="59895BF2" w:rsidRDefault="32598D4F" w14:paraId="0825A3A1" w14:textId="51D9954B">
      <w:pPr>
        <w:pStyle w:val="Prrafodelista"/>
        <w:numPr>
          <w:ilvl w:val="0"/>
          <w:numId w:val="4"/>
        </w:numPr>
        <w:spacing w:after="0"/>
        <w:jc w:val="both"/>
        <w:rPr>
          <w:rFonts w:ascii="Trebuchet MS" w:hAnsi="Trebuchet MS" w:eastAsia="Trebuchet MS" w:cs="Trebuchet MS"/>
          <w:b/>
          <w:bCs/>
          <w:lang w:val="es-419"/>
        </w:rPr>
      </w:pPr>
      <w:r w:rsidRPr="59895BF2">
        <w:rPr>
          <w:rFonts w:ascii="Trebuchet MS" w:hAnsi="Trebuchet MS" w:eastAsia="Trebuchet MS" w:cs="Trebuchet MS"/>
          <w:b/>
          <w:bCs/>
          <w:lang w:val="es-419"/>
        </w:rPr>
        <w:t xml:space="preserve">Principio de favorabilidad en materia penal y de ejecución de penas </w:t>
      </w:r>
    </w:p>
    <w:p w:rsidR="1F68122E" w:rsidP="59895BF2" w:rsidRDefault="1F68122E" w14:paraId="48742057" w14:textId="483F7E85">
      <w:pPr>
        <w:spacing w:after="0"/>
        <w:jc w:val="both"/>
        <w:rPr>
          <w:rFonts w:ascii="Trebuchet MS" w:hAnsi="Trebuchet MS" w:eastAsia="Trebuchet MS" w:cs="Trebuchet MS"/>
          <w:lang w:val="es-419"/>
        </w:rPr>
      </w:pPr>
    </w:p>
    <w:p w:rsidR="32598D4F" w:rsidP="59895BF2" w:rsidRDefault="594A0533" w14:paraId="23000F55" w14:textId="15425B19">
      <w:pPr>
        <w:spacing w:after="0"/>
        <w:jc w:val="both"/>
        <w:rPr>
          <w:rFonts w:ascii="Trebuchet MS" w:hAnsi="Trebuchet MS" w:eastAsia="Trebuchet MS" w:cs="Trebuchet MS"/>
          <w:b/>
          <w:bCs/>
          <w:lang w:val="es-419"/>
        </w:rPr>
      </w:pPr>
      <w:r w:rsidRPr="59895BF2">
        <w:rPr>
          <w:rFonts w:ascii="Trebuchet MS" w:hAnsi="Trebuchet MS" w:eastAsia="Trebuchet MS" w:cs="Trebuchet MS"/>
          <w:b/>
          <w:bCs/>
          <w:lang w:val="es-419"/>
        </w:rPr>
        <w:lastRenderedPageBreak/>
        <w:t>2.1. Marco jurídico que reconoce el principio de favorabilidad en materia penal de ejecución de penas</w:t>
      </w:r>
    </w:p>
    <w:p w:rsidR="32598D4F" w:rsidP="59895BF2" w:rsidRDefault="32598D4F" w14:paraId="371C4C80" w14:textId="7B87B9FC">
      <w:pPr>
        <w:spacing w:after="0"/>
        <w:jc w:val="both"/>
        <w:rPr>
          <w:rFonts w:ascii="Trebuchet MS" w:hAnsi="Trebuchet MS" w:eastAsia="Trebuchet MS" w:cs="Trebuchet MS"/>
          <w:lang w:val="es-419"/>
        </w:rPr>
      </w:pPr>
    </w:p>
    <w:p w:rsidR="32598D4F" w:rsidP="59895BF2" w:rsidRDefault="32598D4F" w14:paraId="6F74B2EF" w14:textId="3A5A0389">
      <w:p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 xml:space="preserve">El artículo 29 de la Constitución Política, el artículo 9 de la Convención Americana sobre Derechos Humanos y el artículo 6 del Código Penal consagran el principio de favorabilidad, según el cual la norma más benigna debe aplicarse preferentemente, incluso si es posterior a la conducta o al inicio de la ejecución de la pena. Este principio ha sido entendido por la jurisprudencia como aplicable también a las fases de ejecución, en tanto la nueva regla favorece directamente la esfera de libertad del condenado, al acelerar la redención de la pena mediante el trabajo. </w:t>
      </w:r>
    </w:p>
    <w:p w:rsidR="1F68122E" w:rsidP="59895BF2" w:rsidRDefault="1F68122E" w14:paraId="74222405" w14:textId="53451A34">
      <w:pPr>
        <w:spacing w:after="0"/>
        <w:jc w:val="both"/>
        <w:rPr>
          <w:rFonts w:ascii="Trebuchet MS" w:hAnsi="Trebuchet MS" w:eastAsia="Trebuchet MS" w:cs="Trebuchet MS"/>
          <w:lang w:val="es-419"/>
        </w:rPr>
      </w:pPr>
    </w:p>
    <w:p w:rsidR="32598D4F" w:rsidP="59895BF2" w:rsidRDefault="6B26E7FD" w14:paraId="526D18FF" w14:textId="4316A137">
      <w:pPr>
        <w:spacing w:after="0"/>
        <w:jc w:val="both"/>
        <w:rPr>
          <w:rFonts w:ascii="Trebuchet MS" w:hAnsi="Trebuchet MS" w:eastAsia="Trebuchet MS" w:cs="Trebuchet MS"/>
          <w:b/>
          <w:bCs/>
          <w:lang w:val="es-419"/>
        </w:rPr>
      </w:pPr>
      <w:r w:rsidRPr="59895BF2">
        <w:rPr>
          <w:rFonts w:ascii="Trebuchet MS" w:hAnsi="Trebuchet MS" w:eastAsia="Trebuchet MS" w:cs="Trebuchet MS"/>
          <w:b/>
          <w:bCs/>
          <w:lang w:val="es-419"/>
        </w:rPr>
        <w:t xml:space="preserve">2.2. </w:t>
      </w:r>
      <w:r w:rsidRPr="59895BF2" w:rsidR="32598D4F">
        <w:rPr>
          <w:rFonts w:ascii="Trebuchet MS" w:hAnsi="Trebuchet MS" w:eastAsia="Trebuchet MS" w:cs="Trebuchet MS"/>
          <w:b/>
          <w:bCs/>
          <w:lang w:val="es-419"/>
        </w:rPr>
        <w:t xml:space="preserve">Precedente jurisprudencial de la Corte Suprema de Justicia </w:t>
      </w:r>
      <w:r w:rsidRPr="59895BF2" w:rsidR="5FF3AAF0">
        <w:rPr>
          <w:rFonts w:ascii="Trebuchet MS" w:hAnsi="Trebuchet MS" w:eastAsia="Trebuchet MS" w:cs="Trebuchet MS"/>
          <w:b/>
          <w:bCs/>
          <w:lang w:val="es-419"/>
        </w:rPr>
        <w:t>que reconoce el principio de favorabilidad en materia de ejecución de penas respecto del artículo 19 de la Ley 2466 de 2025</w:t>
      </w:r>
    </w:p>
    <w:p w:rsidR="1F68122E" w:rsidP="59895BF2" w:rsidRDefault="1F68122E" w14:paraId="6F9F4AE9" w14:textId="1A601E7B">
      <w:pPr>
        <w:spacing w:after="0"/>
        <w:jc w:val="both"/>
        <w:rPr>
          <w:rFonts w:ascii="Trebuchet MS" w:hAnsi="Trebuchet MS" w:eastAsia="Trebuchet MS" w:cs="Trebuchet MS"/>
          <w:lang w:val="es-419"/>
        </w:rPr>
      </w:pPr>
    </w:p>
    <w:p w:rsidR="32598D4F" w:rsidP="59895BF2" w:rsidRDefault="32598D4F" w14:paraId="700D9E06" w14:textId="337633C9">
      <w:p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 xml:space="preserve">La Sala de Casación Penal, en Sentencia STP1421-2025, reconoció que el artículo 19 de la Ley 2466 de 2025 debe aplicarse de manera retroactiva por favorabilidad, incluso respecto de condenas en curso, lo que implica la </w:t>
      </w:r>
      <w:proofErr w:type="spellStart"/>
      <w:r w:rsidRPr="59895BF2">
        <w:rPr>
          <w:rFonts w:ascii="Trebuchet MS" w:hAnsi="Trebuchet MS" w:eastAsia="Trebuchet MS" w:cs="Trebuchet MS"/>
          <w:lang w:val="es-419"/>
        </w:rPr>
        <w:t>redosificación</w:t>
      </w:r>
      <w:proofErr w:type="spellEnd"/>
      <w:r w:rsidRPr="59895BF2">
        <w:rPr>
          <w:rFonts w:ascii="Trebuchet MS" w:hAnsi="Trebuchet MS" w:eastAsia="Trebuchet MS" w:cs="Trebuchet MS"/>
          <w:lang w:val="es-419"/>
        </w:rPr>
        <w:t xml:space="preserve"> de las rebajas ya otorgadas. La Corte reafirmó que el principio de favorabilidad no se limita a supuestos de descriminalización o reducción de penas abstractas, sino que también opera frente a normas de ejecución que amplían beneficios redentores, en la medida en que impactan la libertad personal del condenado. </w:t>
      </w:r>
      <w:r w:rsidRPr="59895BF2" w:rsidR="711C630B">
        <w:rPr>
          <w:rFonts w:ascii="Trebuchet MS" w:hAnsi="Trebuchet MS" w:eastAsia="Trebuchet MS" w:cs="Trebuchet MS"/>
          <w:lang w:val="es-419"/>
        </w:rPr>
        <w:t>Dijo la Corte:</w:t>
      </w:r>
    </w:p>
    <w:p w:rsidR="1F68122E" w:rsidP="59895BF2" w:rsidRDefault="1F68122E" w14:paraId="4F733AAA" w14:textId="497311DB">
      <w:pPr>
        <w:spacing w:after="0"/>
        <w:jc w:val="both"/>
        <w:rPr>
          <w:rFonts w:ascii="Trebuchet MS" w:hAnsi="Trebuchet MS" w:eastAsia="Trebuchet MS" w:cs="Trebuchet MS"/>
          <w:lang w:val="es-419"/>
        </w:rPr>
      </w:pPr>
    </w:p>
    <w:p w:rsidRPr="0055642D" w:rsidR="711C630B" w:rsidP="59895BF2" w:rsidRDefault="711C630B" w14:paraId="01DDBF08" w14:textId="4D3AC4D2">
      <w:pPr>
        <w:spacing w:after="0"/>
        <w:ind w:left="720"/>
        <w:jc w:val="both"/>
        <w:rPr>
          <w:lang w:val="es-CO"/>
        </w:rPr>
      </w:pPr>
      <w:r w:rsidRPr="59895BF2">
        <w:rPr>
          <w:rFonts w:ascii="Trebuchet MS" w:hAnsi="Trebuchet MS" w:eastAsia="Trebuchet MS" w:cs="Trebuchet MS"/>
          <w:lang w:val="es-419"/>
        </w:rPr>
        <w:t xml:space="preserve">"como lo ha admitido pacíficamente doctrina y jurisprudencia nacional, la aplicación del principio de favorabilidad no puede estar limitado sólo a supuestos en los que la nueva norma penal descriminaliza la conducta típica o disminuye el quantum de su pena, sino también, cuando la nueva ley (ley penal material, procesal o de ejecución) beneficie al procesado, en el ámbito de su esfera de libertad; siendo comprensiva de tal ámbito, entre otras, las medidas cautelares personales y los parámetros de prescripción de la acción penal. </w:t>
      </w:r>
    </w:p>
    <w:p w:rsidR="1F68122E" w:rsidP="59895BF2" w:rsidRDefault="1F68122E" w14:paraId="1F4E0732" w14:textId="33558603">
      <w:pPr>
        <w:spacing w:after="0"/>
        <w:ind w:left="720"/>
        <w:jc w:val="both"/>
        <w:rPr>
          <w:rFonts w:ascii="Trebuchet MS" w:hAnsi="Trebuchet MS" w:eastAsia="Trebuchet MS" w:cs="Trebuchet MS"/>
          <w:lang w:val="es-419"/>
        </w:rPr>
      </w:pPr>
    </w:p>
    <w:p w:rsidR="711C630B" w:rsidP="59895BF2" w:rsidRDefault="711C630B" w14:paraId="73EA00F0" w14:textId="47A3E03B">
      <w:pPr>
        <w:spacing w:after="0"/>
        <w:ind w:left="720"/>
        <w:jc w:val="both"/>
        <w:rPr>
          <w:rFonts w:ascii="Trebuchet MS" w:hAnsi="Trebuchet MS" w:eastAsia="Trebuchet MS" w:cs="Trebuchet MS"/>
          <w:lang w:val="es-419"/>
        </w:rPr>
      </w:pPr>
      <w:r w:rsidRPr="59895BF2">
        <w:rPr>
          <w:rFonts w:ascii="Trebuchet MS" w:hAnsi="Trebuchet MS" w:eastAsia="Trebuchet MS" w:cs="Trebuchet MS"/>
          <w:lang w:val="es-419"/>
        </w:rPr>
        <w:t>De manera que conforme con la línea de pensamiento jurisprudencial, el principio de favorabilidad como garantía de raigambre constitucional debe ser garantizado en la fase de ejecución de la pena"</w:t>
      </w:r>
      <w:r w:rsidRPr="59895BF2" w:rsidR="3E1BD9FA">
        <w:rPr>
          <w:rFonts w:ascii="Trebuchet MS" w:hAnsi="Trebuchet MS" w:eastAsia="Trebuchet MS" w:cs="Trebuchet MS"/>
          <w:lang w:val="es-419"/>
        </w:rPr>
        <w:t xml:space="preserve"> (Corte Suprema de Justicia, Sala de </w:t>
      </w:r>
      <w:proofErr w:type="spellStart"/>
      <w:r w:rsidRPr="59895BF2" w:rsidR="3E1BD9FA">
        <w:rPr>
          <w:rFonts w:ascii="Trebuchet MS" w:hAnsi="Trebuchet MS" w:eastAsia="Trebuchet MS" w:cs="Trebuchet MS"/>
          <w:lang w:val="es-419"/>
        </w:rPr>
        <w:t>Casacióon</w:t>
      </w:r>
      <w:proofErr w:type="spellEnd"/>
      <w:r w:rsidRPr="59895BF2" w:rsidR="3E1BD9FA">
        <w:rPr>
          <w:rFonts w:ascii="Trebuchet MS" w:hAnsi="Trebuchet MS" w:eastAsia="Trebuchet MS" w:cs="Trebuchet MS"/>
          <w:lang w:val="es-419"/>
        </w:rPr>
        <w:t xml:space="preserve"> Penal, radicado N° 148378, </w:t>
      </w:r>
      <w:r w:rsidRPr="59895BF2" w:rsidR="1E95F731">
        <w:rPr>
          <w:rFonts w:ascii="Trebuchet MS" w:hAnsi="Trebuchet MS" w:eastAsia="Trebuchet MS" w:cs="Trebuchet MS"/>
          <w:lang w:val="es-419"/>
        </w:rPr>
        <w:t>STP14521-2025, del 11 de septiembre de 2025, M.P. Gerson Chaverra Castro).</w:t>
      </w:r>
      <w:r w:rsidRPr="59895BF2" w:rsidR="3E1BD9FA">
        <w:rPr>
          <w:rFonts w:ascii="Trebuchet MS" w:hAnsi="Trebuchet MS" w:eastAsia="Trebuchet MS" w:cs="Trebuchet MS"/>
          <w:lang w:val="es-419"/>
        </w:rPr>
        <w:t xml:space="preserve"> </w:t>
      </w:r>
    </w:p>
    <w:p w:rsidR="1F68122E" w:rsidP="59895BF2" w:rsidRDefault="1F68122E" w14:paraId="38D6401D" w14:textId="1E4841CE">
      <w:pPr>
        <w:spacing w:after="0"/>
        <w:jc w:val="both"/>
        <w:rPr>
          <w:rFonts w:ascii="Trebuchet MS" w:hAnsi="Trebuchet MS" w:eastAsia="Trebuchet MS" w:cs="Trebuchet MS"/>
          <w:lang w:val="es-419"/>
        </w:rPr>
      </w:pPr>
    </w:p>
    <w:p w:rsidR="150E762C" w:rsidP="59895BF2" w:rsidRDefault="150E762C" w14:paraId="110DD791" w14:textId="56D69990">
      <w:p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Bajo esa consideración, sostuvo la Corte Suprema de Justicia en el caso revisado:</w:t>
      </w:r>
    </w:p>
    <w:p w:rsidR="1F68122E" w:rsidP="59895BF2" w:rsidRDefault="1F68122E" w14:paraId="5B50771D" w14:textId="39F99665">
      <w:pPr>
        <w:spacing w:after="0"/>
        <w:jc w:val="both"/>
        <w:rPr>
          <w:rFonts w:ascii="Trebuchet MS" w:hAnsi="Trebuchet MS" w:eastAsia="Trebuchet MS" w:cs="Trebuchet MS"/>
          <w:lang w:val="es-419"/>
        </w:rPr>
      </w:pPr>
    </w:p>
    <w:p w:rsidR="79287298" w:rsidP="59895BF2" w:rsidRDefault="79287298" w14:paraId="00BC4ECE" w14:textId="680D7907">
      <w:pPr>
        <w:spacing w:after="0"/>
        <w:ind w:left="720"/>
        <w:jc w:val="both"/>
        <w:rPr>
          <w:rFonts w:ascii="Trebuchet MS" w:hAnsi="Trebuchet MS" w:eastAsia="Trebuchet MS" w:cs="Trebuchet MS"/>
          <w:lang w:val="es-419"/>
        </w:rPr>
      </w:pPr>
      <w:r w:rsidRPr="59895BF2">
        <w:rPr>
          <w:rFonts w:ascii="Trebuchet MS" w:hAnsi="Trebuchet MS" w:eastAsia="Trebuchet MS" w:cs="Trebuchet MS"/>
          <w:lang w:val="es-419"/>
        </w:rPr>
        <w:lastRenderedPageBreak/>
        <w:t>“</w:t>
      </w:r>
      <w:r w:rsidRPr="59895BF2" w:rsidR="150E762C">
        <w:rPr>
          <w:rFonts w:ascii="Trebuchet MS" w:hAnsi="Trebuchet MS" w:eastAsia="Trebuchet MS" w:cs="Trebuchet MS"/>
          <w:lang w:val="es-419"/>
        </w:rPr>
        <w:t>Los jueces demandados en sede de ejecución de penas, precisamente al analizar la postulación del penado optaron por una interpretación restrictiva del artículo 19 de la Ley 2466 de 2025, pues negaron su aplicación bajo la errada consideración que por ser una disposición insertada en una reforma laboral no tenía aplicación en el régimen penitenciario y carcelario, desconociendo que su contenido representa una modificación favorable al estándar cuantitativo de la forma como se debe contabilizar la redención de pena por trabajo y, por consiguiente, su aplicación bajo el principio universal de favorabilidad resultaba ineludible.</w:t>
      </w:r>
    </w:p>
    <w:p w:rsidRPr="0055642D" w:rsidR="150E762C" w:rsidP="59895BF2" w:rsidRDefault="150E762C" w14:paraId="682ED6C6" w14:textId="0CA431DA">
      <w:pPr>
        <w:spacing w:after="0"/>
        <w:jc w:val="both"/>
        <w:rPr>
          <w:lang w:val="es-CO"/>
        </w:rPr>
      </w:pPr>
      <w:r w:rsidRPr="59895BF2">
        <w:rPr>
          <w:rFonts w:ascii="Trebuchet MS" w:hAnsi="Trebuchet MS" w:eastAsia="Trebuchet MS" w:cs="Trebuchet MS"/>
          <w:lang w:val="es-419"/>
        </w:rPr>
        <w:t xml:space="preserve"> </w:t>
      </w:r>
    </w:p>
    <w:p w:rsidR="150E762C" w:rsidP="59895BF2" w:rsidRDefault="150E762C" w14:paraId="1F38939E" w14:textId="531EE69C">
      <w:pPr>
        <w:spacing w:after="0"/>
        <w:ind w:left="720"/>
        <w:jc w:val="both"/>
        <w:rPr>
          <w:rFonts w:ascii="Trebuchet MS" w:hAnsi="Trebuchet MS" w:eastAsia="Trebuchet MS" w:cs="Trebuchet MS"/>
          <w:lang w:val="es-419"/>
        </w:rPr>
      </w:pPr>
      <w:r w:rsidRPr="59895BF2">
        <w:rPr>
          <w:rFonts w:ascii="Trebuchet MS" w:hAnsi="Trebuchet MS" w:eastAsia="Trebuchet MS" w:cs="Trebuchet MS"/>
          <w:lang w:val="es-419"/>
        </w:rPr>
        <w:t>Así, más allá de que el artículo que reformuló el tiempo a reconocer por trabajo estuviese contenido en una reforma laboral (artículo 19 de la Ley 2466 de 2025), era claro que su expedición representa una condición objetivamente más benéfica para la población privada de la libertad, en tanto, reconoce una mayor reducción de tiempo a los privados de la libertad por días laborados.</w:t>
      </w:r>
      <w:r w:rsidRPr="59895BF2" w:rsidR="577144EF">
        <w:rPr>
          <w:rFonts w:ascii="Trebuchet MS" w:hAnsi="Trebuchet MS" w:eastAsia="Trebuchet MS" w:cs="Trebuchet MS"/>
          <w:lang w:val="es-419"/>
        </w:rPr>
        <w:t xml:space="preserve"> (...)</w:t>
      </w:r>
    </w:p>
    <w:p w:rsidR="1F68122E" w:rsidP="59895BF2" w:rsidRDefault="1F68122E" w14:paraId="6F152DE9" w14:textId="793866D7">
      <w:pPr>
        <w:spacing w:after="0"/>
        <w:ind w:left="720"/>
        <w:jc w:val="both"/>
        <w:rPr>
          <w:rFonts w:ascii="Trebuchet MS" w:hAnsi="Trebuchet MS" w:eastAsia="Trebuchet MS" w:cs="Trebuchet MS"/>
          <w:lang w:val="es-419"/>
        </w:rPr>
      </w:pPr>
    </w:p>
    <w:p w:rsidR="577144EF" w:rsidP="59895BF2" w:rsidRDefault="577144EF" w14:paraId="712F96D7" w14:textId="1B644E5E">
      <w:pPr>
        <w:spacing w:after="0"/>
        <w:ind w:left="720"/>
        <w:jc w:val="both"/>
        <w:rPr>
          <w:rFonts w:ascii="Trebuchet MS" w:hAnsi="Trebuchet MS" w:eastAsia="Trebuchet MS" w:cs="Trebuchet MS"/>
          <w:lang w:val="es-419"/>
        </w:rPr>
      </w:pPr>
      <w:r w:rsidRPr="59895BF2">
        <w:rPr>
          <w:rFonts w:ascii="Trebuchet MS" w:hAnsi="Trebuchet MS" w:eastAsia="Trebuchet MS" w:cs="Trebuchet MS"/>
          <w:lang w:val="es-419"/>
        </w:rPr>
        <w:t>En ese orden de ideas, cierto es que en el caso del accionante (...) en vigencia del artículo 82 de la Ley 65 de 1993 se definió el tiempo a reconocer por redención de pena por trabajo, como se consignó en los respectivos autos (...), sin embargo, como se viene exponiendo, ello no impide que ante una legislación sobreviniente y más favorable, se reexamine la situación que fuera resuelta en pretérita oportunidad, pues, precisamente, la Constitución Política de Colombia reconoció expresamente la aplicación del principio de favorabilidad en materia penal</w:t>
      </w:r>
      <w:r w:rsidRPr="59895BF2" w:rsidR="61C3E15D">
        <w:rPr>
          <w:rFonts w:ascii="Trebuchet MS" w:hAnsi="Trebuchet MS" w:eastAsia="Trebuchet MS" w:cs="Trebuchet MS"/>
          <w:lang w:val="es-419"/>
        </w:rPr>
        <w:t xml:space="preserve"> (...)” (Corte Suprema de Justicia, Sala de </w:t>
      </w:r>
      <w:proofErr w:type="spellStart"/>
      <w:r w:rsidRPr="59895BF2" w:rsidR="61C3E15D">
        <w:rPr>
          <w:rFonts w:ascii="Trebuchet MS" w:hAnsi="Trebuchet MS" w:eastAsia="Trebuchet MS" w:cs="Trebuchet MS"/>
          <w:lang w:val="es-419"/>
        </w:rPr>
        <w:t>Casacióon</w:t>
      </w:r>
      <w:proofErr w:type="spellEnd"/>
      <w:r w:rsidRPr="59895BF2" w:rsidR="61C3E15D">
        <w:rPr>
          <w:rFonts w:ascii="Trebuchet MS" w:hAnsi="Trebuchet MS" w:eastAsia="Trebuchet MS" w:cs="Trebuchet MS"/>
          <w:lang w:val="es-419"/>
        </w:rPr>
        <w:t xml:space="preserve"> Penal, radicado N° 148378, STP14521-2025, del 11 de septiembre de 2025, M.P. Gerson Chaverra Castro).</w:t>
      </w:r>
    </w:p>
    <w:p w:rsidR="1F68122E" w:rsidP="59895BF2" w:rsidRDefault="1F68122E" w14:paraId="3084E0C6" w14:textId="51F13959">
      <w:pPr>
        <w:spacing w:after="0"/>
        <w:jc w:val="both"/>
        <w:rPr>
          <w:rFonts w:ascii="Trebuchet MS" w:hAnsi="Trebuchet MS" w:eastAsia="Trebuchet MS" w:cs="Trebuchet MS"/>
          <w:b/>
          <w:bCs/>
          <w:lang w:val="es-419"/>
        </w:rPr>
      </w:pPr>
    </w:p>
    <w:p w:rsidR="574D56FF" w:rsidP="59895BF2" w:rsidRDefault="574D56FF" w14:paraId="350F652D" w14:textId="27F95C02">
      <w:pPr>
        <w:pStyle w:val="Prrafodelista"/>
        <w:numPr>
          <w:ilvl w:val="0"/>
          <w:numId w:val="4"/>
        </w:numPr>
        <w:spacing w:after="0"/>
        <w:jc w:val="both"/>
        <w:rPr>
          <w:rFonts w:ascii="Trebuchet MS" w:hAnsi="Trebuchet MS" w:eastAsia="Trebuchet MS" w:cs="Trebuchet MS"/>
          <w:b/>
          <w:bCs/>
          <w:lang w:val="es-419"/>
        </w:rPr>
      </w:pPr>
      <w:r w:rsidRPr="59895BF2">
        <w:rPr>
          <w:rFonts w:ascii="Trebuchet MS" w:hAnsi="Trebuchet MS" w:eastAsia="Trebuchet MS" w:cs="Trebuchet MS"/>
          <w:b/>
          <w:bCs/>
          <w:lang w:val="es-419"/>
        </w:rPr>
        <w:t>Aplicación analógica del artículo 19 de la Ley 2466 de 2025 a otras actividades que reconocen redención de pena</w:t>
      </w:r>
    </w:p>
    <w:p w:rsidR="59895BF2" w:rsidP="59895BF2" w:rsidRDefault="59895BF2" w14:paraId="0CAA5BE5" w14:textId="4005D8E1">
      <w:pPr>
        <w:spacing w:after="0"/>
        <w:jc w:val="both"/>
        <w:rPr>
          <w:rFonts w:ascii="Trebuchet MS" w:hAnsi="Trebuchet MS" w:eastAsia="Trebuchet MS" w:cs="Trebuchet MS"/>
          <w:lang w:val="es-419"/>
        </w:rPr>
      </w:pPr>
    </w:p>
    <w:p w:rsidRPr="0055642D" w:rsidR="574D56FF" w:rsidP="59895BF2" w:rsidRDefault="574D56FF" w14:paraId="01FC0E77" w14:textId="23EB7C0E">
      <w:pPr>
        <w:spacing w:after="0"/>
        <w:jc w:val="both"/>
        <w:rPr>
          <w:lang w:val="es-CO"/>
        </w:rPr>
      </w:pPr>
      <w:r w:rsidRPr="59895BF2">
        <w:rPr>
          <w:rFonts w:ascii="Trebuchet MS" w:hAnsi="Trebuchet MS" w:eastAsia="Trebuchet MS" w:cs="Trebuchet MS"/>
          <w:lang w:val="es-419"/>
        </w:rPr>
        <w:t>El artículo 19 de la Ley 2466 de 2025 modificó la regla de redención de pena por trabajo, aumentando el beneficio a dos días redimidos por cada tres trabajados. No obstante, la norma no introdujo cambios frente a las demás actividades que la Ley 65 de 1993 reconoce como factores de redención: estudio (art. 97), enseñanza (art. 98), actividades literarias, deportivas, artísticas o de comités de internos (art. 99) y trabajo comunitario (art. 99A). En principio, estas actividades continuarían bajo la regla de un (1) día redimido por cada dos (2) desarrollados.</w:t>
      </w:r>
    </w:p>
    <w:p w:rsidR="59895BF2" w:rsidP="59895BF2" w:rsidRDefault="59895BF2" w14:paraId="118088A0" w14:textId="2F8A2F21">
      <w:pPr>
        <w:spacing w:after="0"/>
        <w:jc w:val="both"/>
        <w:rPr>
          <w:rFonts w:ascii="Trebuchet MS" w:hAnsi="Trebuchet MS" w:eastAsia="Trebuchet MS" w:cs="Trebuchet MS"/>
          <w:lang w:val="es-419"/>
        </w:rPr>
      </w:pPr>
    </w:p>
    <w:p w:rsidRPr="0055642D" w:rsidR="031D7F39" w:rsidP="59895BF2" w:rsidRDefault="031D7F39" w14:paraId="444ED34D" w14:textId="14EF6479">
      <w:pPr>
        <w:spacing w:after="0"/>
        <w:jc w:val="both"/>
        <w:rPr>
          <w:lang w:val="es-CO"/>
        </w:rPr>
      </w:pPr>
      <w:r w:rsidRPr="59895BF2">
        <w:rPr>
          <w:rFonts w:ascii="Trebuchet MS" w:hAnsi="Trebuchet MS" w:eastAsia="Trebuchet MS" w:cs="Trebuchet MS"/>
          <w:lang w:val="es-419"/>
        </w:rPr>
        <w:t>Pese a lo anterior, a</w:t>
      </w:r>
      <w:r w:rsidRPr="59895BF2" w:rsidR="574D56FF">
        <w:rPr>
          <w:rFonts w:ascii="Trebuchet MS" w:hAnsi="Trebuchet MS" w:eastAsia="Trebuchet MS" w:cs="Trebuchet MS"/>
          <w:lang w:val="es-419"/>
        </w:rPr>
        <w:t xml:space="preserve">lgunas autoridades judiciales han sostenido que la nueva regla debe aplicarse analógicamente a dichas actividades, puesto que, aunque estudiar o enseñar </w:t>
      </w:r>
      <w:r w:rsidRPr="59895BF2" w:rsidR="574D56FF">
        <w:rPr>
          <w:rFonts w:ascii="Trebuchet MS" w:hAnsi="Trebuchet MS" w:eastAsia="Trebuchet MS" w:cs="Trebuchet MS"/>
          <w:lang w:val="es-419"/>
        </w:rPr>
        <w:lastRenderedPageBreak/>
        <w:t>no son lo mismo que trabajar, todas ellas comparten el mismo valor resocializador. E</w:t>
      </w:r>
      <w:r w:rsidRPr="59895BF2" w:rsidR="59E8B715">
        <w:rPr>
          <w:rFonts w:ascii="Trebuchet MS" w:hAnsi="Trebuchet MS" w:eastAsia="Trebuchet MS" w:cs="Trebuchet MS"/>
          <w:lang w:val="es-419"/>
        </w:rPr>
        <w:t>n concreto, el</w:t>
      </w:r>
      <w:r w:rsidRPr="59895BF2" w:rsidR="574D56FF">
        <w:rPr>
          <w:rFonts w:ascii="Trebuchet MS" w:hAnsi="Trebuchet MS" w:eastAsia="Trebuchet MS" w:cs="Trebuchet MS"/>
          <w:lang w:val="es-419"/>
        </w:rPr>
        <w:t xml:space="preserve"> Tribunal Superior de Medellín (Auto del 4 de septiembre de 2025, radicado 05-001-60-00000-2019-00867, M.P. Miguel Humberto Jaime Contreras) precisó que la igualdad constitucional impide otorgar un mayor beneficio por trabajar que por enseñar o estudiar, cuando todas cumplen una función análoga en el proceso de rehabilitación social. En consecuencia, el principio de igualdad y la técnica de la analogía exigen extender la misma regla de redención de 2x3 a estas demás actividades.</w:t>
      </w:r>
    </w:p>
    <w:p w:rsidR="59895BF2" w:rsidP="59895BF2" w:rsidRDefault="59895BF2" w14:paraId="59837284" w14:textId="40646E48">
      <w:pPr>
        <w:spacing w:after="0"/>
        <w:jc w:val="both"/>
        <w:rPr>
          <w:rFonts w:ascii="Trebuchet MS" w:hAnsi="Trebuchet MS" w:eastAsia="Trebuchet MS" w:cs="Trebuchet MS"/>
          <w:lang w:val="es-419"/>
        </w:rPr>
      </w:pPr>
    </w:p>
    <w:p w:rsidR="015857D5" w:rsidP="59895BF2" w:rsidRDefault="015857D5" w14:paraId="395CE482" w14:textId="6251D1B4">
      <w:pPr>
        <w:spacing w:after="0"/>
        <w:jc w:val="both"/>
        <w:rPr>
          <w:rFonts w:ascii="Trebuchet MS" w:hAnsi="Trebuchet MS" w:eastAsia="Trebuchet MS" w:cs="Trebuchet MS"/>
          <w:color w:val="000000" w:themeColor="text1"/>
          <w:lang w:val="es-419"/>
        </w:rPr>
      </w:pPr>
      <w:r w:rsidRPr="59895BF2">
        <w:rPr>
          <w:rFonts w:ascii="Trebuchet MS" w:hAnsi="Trebuchet MS" w:eastAsia="Trebuchet MS" w:cs="Trebuchet MS"/>
          <w:lang w:val="es-ES"/>
        </w:rPr>
        <w:t>En ese caso, la</w:t>
      </w:r>
      <w:r w:rsidR="0055642D">
        <w:rPr>
          <w:rFonts w:ascii="Trebuchet MS" w:hAnsi="Trebuchet MS" w:eastAsia="Trebuchet MS" w:cs="Trebuchet MS"/>
          <w:lang w:val="es-ES"/>
        </w:rPr>
        <w:t xml:space="preserve"> interpretación y aplicación análoga:</w:t>
      </w:r>
      <w:r w:rsidRPr="59895BF2">
        <w:rPr>
          <w:rFonts w:ascii="Trebuchet MS" w:hAnsi="Trebuchet MS" w:eastAsia="Trebuchet MS" w:cs="Trebuchet MS"/>
          <w:lang w:val="es-ES"/>
        </w:rPr>
        <w:t xml:space="preserve"> </w:t>
      </w:r>
    </w:p>
    <w:p w:rsidRPr="0055642D" w:rsidR="59895BF2" w:rsidP="59895BF2" w:rsidRDefault="59895BF2" w14:paraId="2A6F56B2" w14:textId="287187C8">
      <w:pPr>
        <w:spacing w:after="0"/>
        <w:jc w:val="both"/>
        <w:rPr>
          <w:rFonts w:ascii="Trebuchet MS" w:hAnsi="Trebuchet MS" w:eastAsia="Trebuchet MS" w:cs="Trebuchet MS"/>
          <w:color w:val="000000" w:themeColor="text1"/>
          <w:lang w:val="es-419"/>
        </w:rPr>
      </w:pPr>
    </w:p>
    <w:p w:rsidRPr="0055642D" w:rsidR="015857D5" w:rsidP="59895BF2" w:rsidRDefault="015857D5" w14:paraId="7EAA7325" w14:textId="17073E5C">
      <w:pPr>
        <w:spacing w:after="0"/>
        <w:ind w:left="720"/>
        <w:jc w:val="both"/>
        <w:rPr>
          <w:rFonts w:ascii="Trebuchet MS" w:hAnsi="Trebuchet MS" w:eastAsia="Trebuchet MS" w:cs="Trebuchet MS"/>
          <w:color w:val="000000" w:themeColor="text1"/>
          <w:lang w:val="es-CO"/>
        </w:rPr>
      </w:pPr>
      <w:r w:rsidRPr="59895BF2">
        <w:rPr>
          <w:rFonts w:ascii="Trebuchet MS" w:hAnsi="Trebuchet MS" w:eastAsia="Trebuchet MS" w:cs="Trebuchet MS"/>
          <w:lang w:val="es-ES"/>
        </w:rPr>
        <w:t xml:space="preserve">“no se hace porque trabajar y estudiar o enseñar sean lo mismo, sino por el mismo significado que tienen en la resocialización; es decir, el aspecto relevante no está en cómo se conceptualizan estos factores sino en la igual función de rehabilitación social que generan. En este aspecto, trabajo, enseñanza y educación son esencialmente iguales. </w:t>
      </w:r>
    </w:p>
    <w:p w:rsidRPr="0055642D" w:rsidR="59895BF2" w:rsidP="59895BF2" w:rsidRDefault="59895BF2" w14:paraId="7959933E" w14:textId="65E93E4C">
      <w:pPr>
        <w:spacing w:after="0"/>
        <w:ind w:left="720"/>
        <w:jc w:val="both"/>
        <w:rPr>
          <w:rFonts w:ascii="Trebuchet MS" w:hAnsi="Trebuchet MS" w:eastAsia="Trebuchet MS" w:cs="Trebuchet MS"/>
          <w:color w:val="000000" w:themeColor="text1"/>
          <w:lang w:val="es-CO"/>
        </w:rPr>
      </w:pPr>
    </w:p>
    <w:p w:rsidRPr="0055642D" w:rsidR="015857D5" w:rsidP="59895BF2" w:rsidRDefault="015857D5" w14:paraId="551158FA" w14:textId="6E54A9F5">
      <w:pPr>
        <w:spacing w:after="0"/>
        <w:ind w:left="720"/>
        <w:jc w:val="both"/>
        <w:rPr>
          <w:rFonts w:ascii="Trebuchet MS" w:hAnsi="Trebuchet MS" w:eastAsia="Trebuchet MS" w:cs="Trebuchet MS"/>
          <w:color w:val="000000" w:themeColor="text1"/>
          <w:lang w:val="es-CO"/>
        </w:rPr>
      </w:pPr>
      <w:r w:rsidRPr="59895BF2">
        <w:rPr>
          <w:rFonts w:ascii="Trebuchet MS" w:hAnsi="Trebuchet MS" w:eastAsia="Trebuchet MS" w:cs="Trebuchet MS"/>
          <w:lang w:val="es-ES"/>
        </w:rPr>
        <w:t>Por consiguiente, al no percibir causa razonable para que el abono del descuento punitivo se dé más ampliamente por trabajar que por enseñar o estudiar, el imperativo constitucional de la igualdad que se traduce en este ámbito de la aplicación del derecho de que en donde existe la misma razón deba aplicarse la misma disposición hará que por la vía de la analogía, que no es otra que la misma legislación matizada con la igualdad, se le aplique el mismo descuento de dos días por tres” (Tribunal Superior de Medellín, radicado 05-001-60-00000-2019-00867, auto del 4 de septiembre de 2025, M.P. Miguel Humberto Jaime Contreras).</w:t>
      </w:r>
    </w:p>
    <w:p w:rsidR="59895BF2" w:rsidP="59895BF2" w:rsidRDefault="59895BF2" w14:paraId="093A51F5" w14:textId="2A0A29A1">
      <w:pPr>
        <w:pStyle w:val="Prrafodelista"/>
        <w:spacing w:after="0"/>
        <w:jc w:val="both"/>
        <w:rPr>
          <w:rFonts w:ascii="Trebuchet MS" w:hAnsi="Trebuchet MS" w:eastAsia="Trebuchet MS" w:cs="Trebuchet MS"/>
          <w:lang w:val="es-419"/>
        </w:rPr>
      </w:pPr>
    </w:p>
    <w:p w:rsidR="32598D4F" w:rsidP="3EA66B39" w:rsidRDefault="32598D4F" w14:paraId="04D31529" w14:textId="5A9ADD93">
      <w:pPr>
        <w:pStyle w:val="Prrafodelista"/>
        <w:numPr>
          <w:ilvl w:val="0"/>
          <w:numId w:val="1"/>
        </w:numPr>
        <w:spacing w:after="0"/>
        <w:jc w:val="center"/>
        <w:rPr>
          <w:rFonts w:ascii="Trebuchet MS" w:hAnsi="Trebuchet MS" w:eastAsia="Trebuchet MS" w:cs="Trebuchet MS"/>
          <w:b/>
          <w:bCs/>
          <w:lang w:val="es-419"/>
        </w:rPr>
      </w:pPr>
      <w:r w:rsidRPr="3EA66B39">
        <w:rPr>
          <w:rFonts w:ascii="Trebuchet MS" w:hAnsi="Trebuchet MS" w:eastAsia="Trebuchet MS" w:cs="Trebuchet MS"/>
          <w:b/>
          <w:bCs/>
          <w:lang w:val="es-419"/>
        </w:rPr>
        <w:t xml:space="preserve">Solicitud </w:t>
      </w:r>
    </w:p>
    <w:p w:rsidR="1F68122E" w:rsidP="59895BF2" w:rsidRDefault="1F68122E" w14:paraId="2B5B7A19" w14:textId="1A698466">
      <w:pPr>
        <w:spacing w:after="0"/>
        <w:jc w:val="both"/>
        <w:rPr>
          <w:rFonts w:ascii="Trebuchet MS" w:hAnsi="Trebuchet MS" w:eastAsia="Trebuchet MS" w:cs="Trebuchet MS"/>
          <w:b/>
          <w:bCs/>
          <w:lang w:val="es-419"/>
        </w:rPr>
      </w:pPr>
    </w:p>
    <w:p w:rsidR="32598D4F" w:rsidP="59895BF2" w:rsidRDefault="32598D4F" w14:paraId="6D829EF9" w14:textId="01AB656B">
      <w:p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 xml:space="preserve">Con fundamento en lo anterior, solicito a su Despacho: </w:t>
      </w:r>
    </w:p>
    <w:p w:rsidR="1F68122E" w:rsidP="59895BF2" w:rsidRDefault="1F68122E" w14:paraId="0C335F88" w14:textId="7D19F638">
      <w:pPr>
        <w:spacing w:after="0"/>
        <w:jc w:val="both"/>
        <w:rPr>
          <w:rFonts w:ascii="Trebuchet MS" w:hAnsi="Trebuchet MS" w:eastAsia="Trebuchet MS" w:cs="Trebuchet MS"/>
          <w:lang w:val="es-419"/>
        </w:rPr>
      </w:pPr>
    </w:p>
    <w:p w:rsidR="159762DE" w:rsidP="59895BF2" w:rsidRDefault="159762DE" w14:paraId="20B2623C" w14:textId="60BED05F">
      <w:pPr>
        <w:pStyle w:val="Prrafodelista"/>
        <w:numPr>
          <w:ilvl w:val="0"/>
          <w:numId w:val="3"/>
        </w:num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Aplicar de forma analógica la regla de redención de pena contenida en el artículo 19 de la Ley 2466 de 2025 a las demás actividades de redención reguladas en los artículos 97, 98, 99 y 99A de la Ley 65 de 1993.</w:t>
      </w:r>
    </w:p>
    <w:p w:rsidR="59895BF2" w:rsidP="59895BF2" w:rsidRDefault="59895BF2" w14:paraId="6A105570" w14:textId="473E3662">
      <w:pPr>
        <w:pStyle w:val="Prrafodelista"/>
        <w:spacing w:after="0"/>
        <w:jc w:val="both"/>
        <w:rPr>
          <w:rFonts w:ascii="Trebuchet MS" w:hAnsi="Trebuchet MS" w:eastAsia="Trebuchet MS" w:cs="Trebuchet MS"/>
          <w:lang w:val="es-419"/>
        </w:rPr>
      </w:pPr>
    </w:p>
    <w:p w:rsidR="32598D4F" w:rsidP="59895BF2" w:rsidRDefault="32598D4F" w14:paraId="5100F945" w14:textId="2054D31A">
      <w:pPr>
        <w:pStyle w:val="Prrafodelista"/>
        <w:numPr>
          <w:ilvl w:val="0"/>
          <w:numId w:val="3"/>
        </w:numPr>
        <w:spacing w:after="0"/>
        <w:jc w:val="both"/>
        <w:rPr>
          <w:rFonts w:ascii="Trebuchet MS" w:hAnsi="Trebuchet MS" w:eastAsia="Trebuchet MS" w:cs="Trebuchet MS"/>
          <w:lang w:val="es-419"/>
        </w:rPr>
      </w:pPr>
      <w:r w:rsidRPr="59895BF2">
        <w:rPr>
          <w:rFonts w:ascii="Trebuchet MS" w:hAnsi="Trebuchet MS" w:eastAsia="Trebuchet MS" w:cs="Trebuchet MS"/>
          <w:lang w:val="es-419"/>
        </w:rPr>
        <w:t>Aplicar de manera retroactiva el artículo 19 de la Ley 2466 de 2025</w:t>
      </w:r>
      <w:r w:rsidRPr="59895BF2" w:rsidR="681D00D3">
        <w:rPr>
          <w:rFonts w:ascii="Trebuchet MS" w:hAnsi="Trebuchet MS" w:eastAsia="Trebuchet MS" w:cs="Trebuchet MS"/>
          <w:lang w:val="es-419"/>
        </w:rPr>
        <w:t xml:space="preserve"> y, en consecuencia, o</w:t>
      </w:r>
      <w:r w:rsidRPr="59895BF2">
        <w:rPr>
          <w:rFonts w:ascii="Trebuchet MS" w:hAnsi="Trebuchet MS" w:eastAsia="Trebuchet MS" w:cs="Trebuchet MS"/>
          <w:lang w:val="es-419"/>
        </w:rPr>
        <w:t xml:space="preserve">rdenar la </w:t>
      </w:r>
      <w:proofErr w:type="spellStart"/>
      <w:r w:rsidRPr="59895BF2" w:rsidR="41B877CB">
        <w:rPr>
          <w:rFonts w:ascii="Trebuchet MS" w:hAnsi="Trebuchet MS" w:eastAsia="Trebuchet MS" w:cs="Trebuchet MS"/>
          <w:lang w:val="es-419"/>
        </w:rPr>
        <w:t>redosificación</w:t>
      </w:r>
      <w:proofErr w:type="spellEnd"/>
      <w:r w:rsidRPr="59895BF2" w:rsidR="6CC0615E">
        <w:rPr>
          <w:rFonts w:ascii="Trebuchet MS" w:hAnsi="Trebuchet MS" w:eastAsia="Trebuchet MS" w:cs="Trebuchet MS"/>
          <w:lang w:val="es-419"/>
        </w:rPr>
        <w:t xml:space="preserve"> de la pena con base en la equivalencia de dos (2) días redimidos por cada tres (3) días de actividad, sea esta de </w:t>
      </w:r>
      <w:r w:rsidRPr="59895BF2" w:rsidR="765DACAE">
        <w:rPr>
          <w:rFonts w:ascii="Trebuchet MS" w:hAnsi="Trebuchet MS" w:eastAsia="Trebuchet MS" w:cs="Trebuchet MS"/>
          <w:lang w:val="es-419"/>
        </w:rPr>
        <w:t xml:space="preserve">trabajo, </w:t>
      </w:r>
      <w:r w:rsidRPr="59895BF2" w:rsidR="6CC0615E">
        <w:rPr>
          <w:rFonts w:ascii="Trebuchet MS" w:hAnsi="Trebuchet MS" w:eastAsia="Trebuchet MS" w:cs="Trebuchet MS"/>
          <w:lang w:val="es-419"/>
        </w:rPr>
        <w:t>estudio, enseñanza, actividades artísticas, culturales, deportivas, comités de internos o trabajo comunitario.</w:t>
      </w:r>
    </w:p>
    <w:p w:rsidR="59895BF2" w:rsidP="59895BF2" w:rsidRDefault="59895BF2" w14:paraId="0696C242" w14:textId="41C9F803">
      <w:pPr>
        <w:spacing w:after="0"/>
        <w:jc w:val="both"/>
        <w:rPr>
          <w:rFonts w:ascii="Trebuchet MS" w:hAnsi="Trebuchet MS" w:eastAsia="Trebuchet MS" w:cs="Trebuchet MS"/>
          <w:lang w:val="es-419"/>
        </w:rPr>
      </w:pPr>
    </w:p>
    <w:p w:rsidRPr="0055642D" w:rsidR="6CC0615E" w:rsidP="59895BF2" w:rsidRDefault="6CC0615E" w14:paraId="3685BB2C" w14:textId="63E91792">
      <w:pPr>
        <w:spacing w:after="0"/>
        <w:jc w:val="both"/>
        <w:rPr>
          <w:lang w:val="es-CO"/>
        </w:rPr>
      </w:pPr>
      <w:r w:rsidRPr="59895BF2">
        <w:rPr>
          <w:rFonts w:ascii="Trebuchet MS" w:hAnsi="Trebuchet MS" w:eastAsia="Trebuchet MS" w:cs="Trebuchet MS"/>
          <w:lang w:val="es-419"/>
        </w:rPr>
        <w:lastRenderedPageBreak/>
        <w:t>Lo anterior en aras de garantizar la igualdad, la finalidad resocializadora de la pena y el respeto a la dignidad de las personas privadas de la libertad.</w:t>
      </w:r>
    </w:p>
    <w:p w:rsidR="59895BF2" w:rsidP="59895BF2" w:rsidRDefault="59895BF2" w14:paraId="5D0EE2E3" w14:textId="5F8EB8C0">
      <w:pPr>
        <w:spacing w:after="0"/>
        <w:jc w:val="both"/>
        <w:rPr>
          <w:rFonts w:ascii="Trebuchet MS" w:hAnsi="Trebuchet MS" w:eastAsia="Trebuchet MS" w:cs="Trebuchet MS"/>
          <w:lang w:val="es-419"/>
        </w:rPr>
      </w:pPr>
    </w:p>
    <w:p w:rsidR="1F68122E" w:rsidP="3EA66B39" w:rsidRDefault="0A3C1B85" w14:paraId="1858301D" w14:textId="49BB2A61">
      <w:pPr>
        <w:pStyle w:val="Prrafodelista"/>
        <w:numPr>
          <w:ilvl w:val="0"/>
          <w:numId w:val="1"/>
        </w:numPr>
        <w:spacing w:after="0"/>
        <w:jc w:val="center"/>
        <w:rPr>
          <w:rFonts w:ascii="Trebuchet MS" w:hAnsi="Trebuchet MS" w:eastAsia="Trebuchet MS" w:cs="Trebuchet MS"/>
          <w:b/>
          <w:bCs/>
          <w:color w:val="000000" w:themeColor="text1"/>
          <w:lang w:val="es-419"/>
        </w:rPr>
      </w:pPr>
      <w:r w:rsidRPr="3EA66B39">
        <w:rPr>
          <w:rFonts w:ascii="Trebuchet MS" w:hAnsi="Trebuchet MS" w:eastAsia="Trebuchet MS" w:cs="Trebuchet MS"/>
          <w:b/>
          <w:bCs/>
          <w:color w:val="000000" w:themeColor="text1"/>
          <w:lang w:val="es-419"/>
        </w:rPr>
        <w:t>Notificación</w:t>
      </w:r>
    </w:p>
    <w:p w:rsidR="1F68122E" w:rsidP="3EA66B39" w:rsidRDefault="1F68122E" w14:paraId="4D660EE9" w14:textId="10DBA380">
      <w:pPr>
        <w:spacing w:after="0"/>
        <w:jc w:val="both"/>
        <w:rPr>
          <w:rFonts w:ascii="Trebuchet MS" w:hAnsi="Trebuchet MS" w:eastAsia="Trebuchet MS" w:cs="Trebuchet MS"/>
          <w:color w:val="000000" w:themeColor="text1"/>
        </w:rPr>
      </w:pPr>
    </w:p>
    <w:p w:rsidR="1F68122E" w:rsidP="4E5F7711" w:rsidRDefault="0A3C1B85" w14:paraId="41539A72" w14:textId="0F71665D" w14:noSpellErr="1">
      <w:pPr>
        <w:spacing w:after="0"/>
        <w:jc w:val="both"/>
        <w:rPr>
          <w:rFonts w:ascii="Trebuchet MS" w:hAnsi="Trebuchet MS" w:eastAsia="Trebuchet MS" w:cs="Trebuchet MS"/>
          <w:color w:val="000000" w:themeColor="text1"/>
          <w:lang w:val="en-US"/>
        </w:rPr>
      </w:pPr>
      <w:r w:rsidRPr="4E5F7711" w:rsidR="0A3C1B85">
        <w:rPr>
          <w:rFonts w:ascii="Trebuchet MS" w:hAnsi="Trebuchet MS" w:eastAsia="Trebuchet MS" w:cs="Trebuchet MS"/>
          <w:color w:val="000000" w:themeColor="text1" w:themeTint="FF" w:themeShade="FF"/>
          <w:lang w:val="en-US"/>
        </w:rPr>
        <w:t xml:space="preserve">Para efectos de notificación, señalo como dirección </w:t>
      </w:r>
      <w:r w:rsidRPr="4E5F7711" w:rsidR="26772C30">
        <w:rPr>
          <w:rFonts w:ascii="Trebuchet MS" w:hAnsi="Trebuchet MS" w:eastAsia="Trebuchet MS" w:cs="Trebuchet MS"/>
          <w:color w:val="000000" w:themeColor="text1" w:themeTint="FF" w:themeShade="FF"/>
          <w:lang w:val="en-US"/>
        </w:rPr>
        <w:t xml:space="preserve">virtual el correo electrónico </w:t>
      </w:r>
      <w:r w:rsidRPr="4E5F7711" w:rsidR="0A3C1B85">
        <w:rPr>
          <w:rFonts w:ascii="Trebuchet MS" w:hAnsi="Trebuchet MS" w:eastAsia="Trebuchet MS" w:cs="Trebuchet MS"/>
          <w:color w:val="000000" w:themeColor="text1" w:themeTint="FF" w:themeShade="FF"/>
          <w:lang w:val="en-US"/>
        </w:rPr>
        <w:t xml:space="preserve">____________________________________________________, </w:t>
      </w:r>
      <w:r w:rsidRPr="4E5F7711" w:rsidR="464FA0DE">
        <w:rPr>
          <w:rFonts w:ascii="Trebuchet MS" w:hAnsi="Trebuchet MS" w:eastAsia="Trebuchet MS" w:cs="Trebuchet MS"/>
          <w:color w:val="000000" w:themeColor="text1" w:themeTint="FF" w:themeShade="FF"/>
          <w:lang w:val="en-US"/>
        </w:rPr>
        <w:t xml:space="preserve">y mi teléfono de contacto </w:t>
      </w:r>
      <w:r w:rsidRPr="4E5F7711" w:rsidR="0A3C1B85">
        <w:rPr>
          <w:rFonts w:ascii="Trebuchet MS" w:hAnsi="Trebuchet MS" w:eastAsia="Trebuchet MS" w:cs="Trebuchet MS"/>
          <w:color w:val="000000" w:themeColor="text1" w:themeTint="FF" w:themeShade="FF"/>
          <w:lang w:val="en-US"/>
        </w:rPr>
        <w:t>____________________________.</w:t>
      </w:r>
    </w:p>
    <w:p w:rsidRPr="0055642D" w:rsidR="1F68122E" w:rsidP="3EA66B39" w:rsidRDefault="1F68122E" w14:paraId="7D115272" w14:textId="4B87D843">
      <w:pPr>
        <w:spacing w:after="0"/>
        <w:jc w:val="both"/>
        <w:rPr>
          <w:rFonts w:ascii="Trebuchet MS" w:hAnsi="Trebuchet MS" w:eastAsia="Trebuchet MS" w:cs="Trebuchet MS"/>
          <w:color w:val="000000" w:themeColor="text1"/>
          <w:lang w:val="es-CO"/>
        </w:rPr>
      </w:pPr>
    </w:p>
    <w:p w:rsidR="1F68122E" w:rsidP="3EA66B39" w:rsidRDefault="0A3C1B85" w14:paraId="0EE56125" w14:textId="4608CCFA">
      <w:pPr>
        <w:spacing w:after="0"/>
        <w:jc w:val="both"/>
        <w:rPr>
          <w:rFonts w:ascii="Trebuchet MS" w:hAnsi="Trebuchet MS" w:eastAsia="Trebuchet MS" w:cs="Trebuchet MS"/>
          <w:color w:val="000000" w:themeColor="text1"/>
          <w:lang w:val="es-419"/>
        </w:rPr>
      </w:pPr>
      <w:r w:rsidRPr="3EA66B39">
        <w:rPr>
          <w:rFonts w:ascii="Trebuchet MS" w:hAnsi="Trebuchet MS" w:eastAsia="Trebuchet MS" w:cs="Trebuchet MS"/>
          <w:color w:val="000000" w:themeColor="text1"/>
          <w:lang w:val="es-419"/>
        </w:rPr>
        <w:t xml:space="preserve">Atentamente, </w:t>
      </w:r>
    </w:p>
    <w:p w:rsidR="1F68122E" w:rsidP="3EA66B39" w:rsidRDefault="0A3C1B85" w14:paraId="401B66BA" w14:textId="37A4CB6A">
      <w:pPr>
        <w:spacing w:after="0"/>
        <w:jc w:val="both"/>
        <w:rPr>
          <w:rFonts w:ascii="Trebuchet MS" w:hAnsi="Trebuchet MS" w:eastAsia="Trebuchet MS" w:cs="Trebuchet MS"/>
          <w:color w:val="000000" w:themeColor="text1"/>
          <w:lang w:val="es-419"/>
        </w:rPr>
      </w:pPr>
      <w:r w:rsidRPr="3EA66B39">
        <w:rPr>
          <w:rFonts w:ascii="Trebuchet MS" w:hAnsi="Trebuchet MS" w:eastAsia="Trebuchet MS" w:cs="Trebuchet MS"/>
          <w:color w:val="000000" w:themeColor="text1"/>
          <w:lang w:val="es-419"/>
        </w:rPr>
        <w:t xml:space="preserve"> </w:t>
      </w:r>
    </w:p>
    <w:p w:rsidR="1F68122E" w:rsidP="3EA66B39" w:rsidRDefault="1F68122E" w14:paraId="506CAE7D" w14:textId="4A8E8509">
      <w:pPr>
        <w:spacing w:after="0"/>
        <w:jc w:val="both"/>
        <w:rPr>
          <w:rFonts w:ascii="Trebuchet MS" w:hAnsi="Trebuchet MS" w:eastAsia="Trebuchet MS" w:cs="Trebuchet MS"/>
          <w:color w:val="000000" w:themeColor="text1"/>
          <w:lang w:val="es-419"/>
        </w:rPr>
      </w:pPr>
    </w:p>
    <w:p w:rsidR="1F68122E" w:rsidP="3EA66B39" w:rsidRDefault="1F68122E" w14:paraId="63A8BAF2" w14:textId="6F287865">
      <w:pPr>
        <w:spacing w:after="0"/>
        <w:jc w:val="both"/>
        <w:rPr>
          <w:rFonts w:ascii="Trebuchet MS" w:hAnsi="Trebuchet MS" w:eastAsia="Trebuchet MS" w:cs="Trebuchet MS"/>
          <w:color w:val="000000" w:themeColor="text1"/>
          <w:lang w:val="es-419"/>
        </w:rPr>
      </w:pPr>
    </w:p>
    <w:p w:rsidR="1F68122E" w:rsidP="3EA66B39" w:rsidRDefault="1F68122E" w14:paraId="5C97CC65" w14:textId="039CBEE9">
      <w:pPr>
        <w:spacing w:after="0"/>
        <w:jc w:val="both"/>
        <w:rPr>
          <w:rFonts w:ascii="Trebuchet MS" w:hAnsi="Trebuchet MS" w:eastAsia="Trebuchet MS" w:cs="Trebuchet MS"/>
          <w:color w:val="000000" w:themeColor="text1"/>
          <w:lang w:val="es-419"/>
        </w:rPr>
      </w:pPr>
    </w:p>
    <w:p w:rsidR="1F68122E" w:rsidP="3EA66B39" w:rsidRDefault="0A3C1B85" w14:paraId="01D80795" w14:textId="6974110C">
      <w:pPr>
        <w:spacing w:after="0"/>
        <w:rPr>
          <w:rFonts w:ascii="Trebuchet MS" w:hAnsi="Trebuchet MS" w:eastAsia="Trebuchet MS" w:cs="Trebuchet MS"/>
          <w:color w:val="000000" w:themeColor="text1"/>
          <w:lang w:val="es-419"/>
        </w:rPr>
      </w:pPr>
      <w:r w:rsidRPr="3EA66B39">
        <w:rPr>
          <w:rFonts w:ascii="Trebuchet MS" w:hAnsi="Trebuchet MS" w:eastAsia="Trebuchet MS" w:cs="Trebuchet MS"/>
          <w:color w:val="000000" w:themeColor="text1"/>
          <w:lang w:val="es-419"/>
        </w:rPr>
        <w:t xml:space="preserve">Firma: ___________________________________________ </w:t>
      </w:r>
      <w:r w:rsidRPr="0055642D" w:rsidR="1F68122E">
        <w:rPr>
          <w:lang w:val="es-CO"/>
        </w:rPr>
        <w:br/>
      </w:r>
      <w:r w:rsidRPr="3EA66B39" w:rsidR="16E33C72">
        <w:rPr>
          <w:rFonts w:ascii="Trebuchet MS" w:hAnsi="Trebuchet MS" w:eastAsia="Trebuchet MS" w:cs="Trebuchet MS"/>
          <w:color w:val="000000" w:themeColor="text1"/>
          <w:lang w:val="es-419"/>
        </w:rPr>
        <w:t>Nombre Defensor(a) Público(a)</w:t>
      </w:r>
      <w:r w:rsidRPr="3EA66B39">
        <w:rPr>
          <w:rFonts w:ascii="Trebuchet MS" w:hAnsi="Trebuchet MS" w:eastAsia="Trebuchet MS" w:cs="Trebuchet MS"/>
          <w:color w:val="000000" w:themeColor="text1"/>
          <w:lang w:val="es-419"/>
        </w:rPr>
        <w:t xml:space="preserve">: _________________________________________ </w:t>
      </w:r>
      <w:r w:rsidRPr="0055642D" w:rsidR="1F68122E">
        <w:rPr>
          <w:lang w:val="es-CO"/>
        </w:rPr>
        <w:br/>
      </w:r>
      <w:r w:rsidRPr="3EA66B39">
        <w:rPr>
          <w:rFonts w:ascii="Trebuchet MS" w:hAnsi="Trebuchet MS" w:eastAsia="Trebuchet MS" w:cs="Trebuchet MS"/>
          <w:color w:val="000000" w:themeColor="text1"/>
          <w:lang w:val="es-419"/>
        </w:rPr>
        <w:t xml:space="preserve">Número de identificación: __________________ </w:t>
      </w:r>
    </w:p>
    <w:p w:rsidR="1F68122E" w:rsidP="3EA66B39" w:rsidRDefault="0055642D" w14:paraId="03E9FCA4" w14:textId="348A6A54">
      <w:pPr>
        <w:spacing w:after="0"/>
        <w:jc w:val="both"/>
        <w:rPr>
          <w:rFonts w:ascii="Trebuchet MS" w:hAnsi="Trebuchet MS" w:eastAsia="Trebuchet MS" w:cs="Trebuchet MS"/>
          <w:color w:val="000000" w:themeColor="text1"/>
          <w:lang w:val="es-419"/>
        </w:rPr>
      </w:pPr>
      <w:r>
        <w:rPr>
          <w:rFonts w:ascii="Trebuchet MS" w:hAnsi="Trebuchet MS" w:eastAsia="Trebuchet MS" w:cs="Trebuchet MS"/>
          <w:color w:val="000000" w:themeColor="text1"/>
          <w:lang w:val="es-419"/>
        </w:rPr>
        <w:t>Tarjeta profesional: __________________</w:t>
      </w:r>
    </w:p>
    <w:p w:rsidRPr="0055642D" w:rsidR="1F68122E" w:rsidP="3EA66B39" w:rsidRDefault="32598D4F" w14:paraId="4C404764" w14:textId="0C6D568D">
      <w:pPr>
        <w:spacing w:after="0"/>
        <w:rPr>
          <w:rFonts w:ascii="Trebuchet MS" w:hAnsi="Trebuchet MS" w:eastAsia="Trebuchet MS" w:cs="Trebuchet MS"/>
          <w:color w:val="000000" w:themeColor="text1"/>
          <w:lang w:val="es-CO"/>
        </w:rPr>
      </w:pPr>
      <w:r w:rsidRPr="3EA66B39">
        <w:rPr>
          <w:rFonts w:ascii="Trebuchet MS" w:hAnsi="Trebuchet MS" w:eastAsia="Trebuchet MS" w:cs="Trebuchet MS"/>
          <w:color w:val="000000" w:themeColor="text1"/>
          <w:lang w:val="es-419"/>
        </w:rPr>
        <w:t xml:space="preserve"> </w:t>
      </w:r>
    </w:p>
    <w:sectPr w:rsidRPr="0055642D" w:rsidR="1F68122E">
      <w:pgSz w:w="12240" w:h="15840" w:orient="portrait"/>
      <w:pgMar w:top="1440" w:right="1440" w:bottom="1440" w:left="1440" w:header="720" w:footer="720" w:gutter="0"/>
      <w:cols w:space="720"/>
      <w:docGrid w:linePitch="360"/>
      <w:headerReference w:type="default" r:id="R2638693a6efe44ca"/>
      <w:footerReference w:type="default" r:id="R6b777d6feca44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20"/>
      <w:gridCol w:w="3120"/>
      <w:gridCol w:w="3120"/>
    </w:tblGrid>
    <w:tr w:rsidR="2263BAA4" w:rsidTr="2263BAA4" w14:paraId="2BAFF09E">
      <w:trPr>
        <w:trHeight w:val="300"/>
      </w:trPr>
      <w:tc>
        <w:tcPr>
          <w:tcW w:w="3120" w:type="dxa"/>
          <w:tcMar/>
        </w:tcPr>
        <w:p w:rsidR="2263BAA4" w:rsidP="2263BAA4" w:rsidRDefault="2263BAA4" w14:paraId="6A5427B8" w14:textId="5AA62337">
          <w:pPr>
            <w:pStyle w:val="Header"/>
            <w:bidi w:val="0"/>
            <w:ind w:left="-115"/>
            <w:jc w:val="left"/>
          </w:pPr>
        </w:p>
      </w:tc>
      <w:tc>
        <w:tcPr>
          <w:tcW w:w="3120" w:type="dxa"/>
          <w:tcMar/>
        </w:tcPr>
        <w:p w:rsidR="2263BAA4" w:rsidP="2263BAA4" w:rsidRDefault="2263BAA4" w14:paraId="3E48DD9D" w14:textId="25425063">
          <w:pPr>
            <w:pStyle w:val="Header"/>
            <w:bidi w:val="0"/>
            <w:jc w:val="center"/>
          </w:pPr>
        </w:p>
      </w:tc>
      <w:tc>
        <w:tcPr>
          <w:tcW w:w="3120" w:type="dxa"/>
          <w:tcMar/>
        </w:tcPr>
        <w:p w:rsidR="2263BAA4" w:rsidP="2263BAA4" w:rsidRDefault="2263BAA4" w14:paraId="5E73556F" w14:textId="58A742F5">
          <w:pPr>
            <w:pStyle w:val="Header"/>
            <w:bidi w:val="0"/>
            <w:ind w:right="-115"/>
            <w:jc w:val="right"/>
          </w:pPr>
          <w:r>
            <w:fldChar w:fldCharType="begin"/>
          </w:r>
          <w:r>
            <w:instrText xml:space="preserve">PAGE</w:instrText>
          </w:r>
          <w:r>
            <w:fldChar w:fldCharType="separate"/>
          </w:r>
          <w:r>
            <w:fldChar w:fldCharType="end"/>
          </w:r>
        </w:p>
      </w:tc>
    </w:tr>
  </w:tbl>
  <w:p w:rsidR="2263BAA4" w:rsidP="2263BAA4" w:rsidRDefault="2263BAA4" w14:paraId="0D14655B" w14:textId="1E09CD07">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2263BAA4" w:rsidP="2263BAA4" w:rsidRDefault="2263BAA4" w14:paraId="6704C056" w14:textId="20CD861C">
    <w:pPr>
      <w:pStyle w:val="Header"/>
      <w:bidi w:val="0"/>
      <w:jc w:val="right"/>
    </w:pPr>
    <w:r w:rsidR="2263BAA4">
      <w:drawing>
        <wp:inline wp14:editId="333B2228" wp14:anchorId="5F73320F">
          <wp:extent cx="3524250" cy="923925"/>
          <wp:effectExtent l="0" t="0" r="0" b="0"/>
          <wp:docPr id="274962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962172" name="Picture 274962172"/>
                  <pic:cNvPicPr/>
                </pic:nvPicPr>
                <pic:blipFill>
                  <a:blip xmlns:r="http://schemas.openxmlformats.org/officeDocument/2006/relationships" r:embed="rId1726248652">
                    <a:extLst>
                      <a:ext uri="{28A0092B-C50C-407E-A947-70E740481C1C}">
                        <a14:useLocalDpi xmlns:a14="http://schemas.microsoft.com/office/drawing/2010/main"/>
                      </a:ext>
                    </a:extLst>
                  </a:blip>
                  <a:stretch>
                    <a:fillRect/>
                  </a:stretch>
                </pic:blipFill>
                <pic:spPr>
                  <a:xfrm>
                    <a:off x="0" y="0"/>
                    <a:ext cx="3524250" cy="923925"/>
                  </a:xfrm>
                  <a:prstGeom prst="rect">
                    <a:avLst/>
                  </a:prstGeom>
                </pic:spPr>
              </pic:pic>
            </a:graphicData>
          </a:graphic>
        </wp:inline>
      </w:drawing>
    </w:r>
  </w:p>
  <w:p w:rsidR="2263BAA4" w:rsidP="2263BAA4" w:rsidRDefault="2263BAA4" w14:paraId="4C7E2D44" w14:textId="58A713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38A5"/>
    <w:multiLevelType w:val="hybridMultilevel"/>
    <w:tmpl w:val="48E8844A"/>
    <w:lvl w:ilvl="0" w:tplc="901E545A">
      <w:start w:val="1"/>
      <w:numFmt w:val="decimal"/>
      <w:lvlText w:val="%1."/>
      <w:lvlJc w:val="left"/>
      <w:pPr>
        <w:ind w:left="720" w:hanging="360"/>
      </w:pPr>
    </w:lvl>
    <w:lvl w:ilvl="1" w:tplc="6E202298">
      <w:start w:val="1"/>
      <w:numFmt w:val="lowerLetter"/>
      <w:lvlText w:val="%2."/>
      <w:lvlJc w:val="left"/>
      <w:pPr>
        <w:ind w:left="1440" w:hanging="360"/>
      </w:pPr>
    </w:lvl>
    <w:lvl w:ilvl="2" w:tplc="75FA8EBA">
      <w:start w:val="1"/>
      <w:numFmt w:val="lowerRoman"/>
      <w:lvlText w:val="%3."/>
      <w:lvlJc w:val="right"/>
      <w:pPr>
        <w:ind w:left="2160" w:hanging="180"/>
      </w:pPr>
    </w:lvl>
    <w:lvl w:ilvl="3" w:tplc="DBF6098A">
      <w:start w:val="1"/>
      <w:numFmt w:val="decimal"/>
      <w:lvlText w:val="%4."/>
      <w:lvlJc w:val="left"/>
      <w:pPr>
        <w:ind w:left="2880" w:hanging="360"/>
      </w:pPr>
    </w:lvl>
    <w:lvl w:ilvl="4" w:tplc="5C6AC078">
      <w:start w:val="1"/>
      <w:numFmt w:val="lowerLetter"/>
      <w:lvlText w:val="%5."/>
      <w:lvlJc w:val="left"/>
      <w:pPr>
        <w:ind w:left="3600" w:hanging="360"/>
      </w:pPr>
    </w:lvl>
    <w:lvl w:ilvl="5" w:tplc="2CD6839E">
      <w:start w:val="1"/>
      <w:numFmt w:val="lowerRoman"/>
      <w:lvlText w:val="%6."/>
      <w:lvlJc w:val="right"/>
      <w:pPr>
        <w:ind w:left="4320" w:hanging="180"/>
      </w:pPr>
    </w:lvl>
    <w:lvl w:ilvl="6" w:tplc="ABE03920">
      <w:start w:val="1"/>
      <w:numFmt w:val="decimal"/>
      <w:lvlText w:val="%7."/>
      <w:lvlJc w:val="left"/>
      <w:pPr>
        <w:ind w:left="5040" w:hanging="360"/>
      </w:pPr>
    </w:lvl>
    <w:lvl w:ilvl="7" w:tplc="DA42A312">
      <w:start w:val="1"/>
      <w:numFmt w:val="lowerLetter"/>
      <w:lvlText w:val="%8."/>
      <w:lvlJc w:val="left"/>
      <w:pPr>
        <w:ind w:left="5760" w:hanging="360"/>
      </w:pPr>
    </w:lvl>
    <w:lvl w:ilvl="8" w:tplc="98C8CADA">
      <w:start w:val="1"/>
      <w:numFmt w:val="lowerRoman"/>
      <w:lvlText w:val="%9."/>
      <w:lvlJc w:val="right"/>
      <w:pPr>
        <w:ind w:left="6480" w:hanging="180"/>
      </w:pPr>
    </w:lvl>
  </w:abstractNum>
  <w:abstractNum w:abstractNumId="1" w15:restartNumberingAfterBreak="0">
    <w:nsid w:val="0F24C058"/>
    <w:multiLevelType w:val="hybridMultilevel"/>
    <w:tmpl w:val="37BEC756"/>
    <w:lvl w:ilvl="0" w:tplc="AFD044BA">
      <w:start w:val="1"/>
      <w:numFmt w:val="bullet"/>
      <w:lvlText w:val=""/>
      <w:lvlJc w:val="left"/>
      <w:pPr>
        <w:ind w:left="720" w:hanging="360"/>
      </w:pPr>
      <w:rPr>
        <w:rFonts w:hint="default" w:ascii="Symbol" w:hAnsi="Symbol"/>
      </w:rPr>
    </w:lvl>
    <w:lvl w:ilvl="1" w:tplc="EBF6CFC8">
      <w:start w:val="1"/>
      <w:numFmt w:val="bullet"/>
      <w:lvlText w:val="o"/>
      <w:lvlJc w:val="left"/>
      <w:pPr>
        <w:ind w:left="1440" w:hanging="360"/>
      </w:pPr>
      <w:rPr>
        <w:rFonts w:hint="default" w:ascii="Courier New" w:hAnsi="Courier New"/>
      </w:rPr>
    </w:lvl>
    <w:lvl w:ilvl="2" w:tplc="DE0C2760">
      <w:start w:val="1"/>
      <w:numFmt w:val="bullet"/>
      <w:lvlText w:val=""/>
      <w:lvlJc w:val="left"/>
      <w:pPr>
        <w:ind w:left="2160" w:hanging="360"/>
      </w:pPr>
      <w:rPr>
        <w:rFonts w:hint="default" w:ascii="Wingdings" w:hAnsi="Wingdings"/>
      </w:rPr>
    </w:lvl>
    <w:lvl w:ilvl="3" w:tplc="08E48D88">
      <w:start w:val="1"/>
      <w:numFmt w:val="bullet"/>
      <w:lvlText w:val=""/>
      <w:lvlJc w:val="left"/>
      <w:pPr>
        <w:ind w:left="2880" w:hanging="360"/>
      </w:pPr>
      <w:rPr>
        <w:rFonts w:hint="default" w:ascii="Symbol" w:hAnsi="Symbol"/>
      </w:rPr>
    </w:lvl>
    <w:lvl w:ilvl="4" w:tplc="FBD600CC">
      <w:start w:val="1"/>
      <w:numFmt w:val="bullet"/>
      <w:lvlText w:val="o"/>
      <w:lvlJc w:val="left"/>
      <w:pPr>
        <w:ind w:left="3600" w:hanging="360"/>
      </w:pPr>
      <w:rPr>
        <w:rFonts w:hint="default" w:ascii="Courier New" w:hAnsi="Courier New"/>
      </w:rPr>
    </w:lvl>
    <w:lvl w:ilvl="5" w:tplc="E6166B6A">
      <w:start w:val="1"/>
      <w:numFmt w:val="bullet"/>
      <w:lvlText w:val=""/>
      <w:lvlJc w:val="left"/>
      <w:pPr>
        <w:ind w:left="4320" w:hanging="360"/>
      </w:pPr>
      <w:rPr>
        <w:rFonts w:hint="default" w:ascii="Wingdings" w:hAnsi="Wingdings"/>
      </w:rPr>
    </w:lvl>
    <w:lvl w:ilvl="6" w:tplc="5F5CBFF6">
      <w:start w:val="1"/>
      <w:numFmt w:val="bullet"/>
      <w:lvlText w:val=""/>
      <w:lvlJc w:val="left"/>
      <w:pPr>
        <w:ind w:left="5040" w:hanging="360"/>
      </w:pPr>
      <w:rPr>
        <w:rFonts w:hint="default" w:ascii="Symbol" w:hAnsi="Symbol"/>
      </w:rPr>
    </w:lvl>
    <w:lvl w:ilvl="7" w:tplc="B0FEA528">
      <w:start w:val="1"/>
      <w:numFmt w:val="bullet"/>
      <w:lvlText w:val="o"/>
      <w:lvlJc w:val="left"/>
      <w:pPr>
        <w:ind w:left="5760" w:hanging="360"/>
      </w:pPr>
      <w:rPr>
        <w:rFonts w:hint="default" w:ascii="Courier New" w:hAnsi="Courier New"/>
      </w:rPr>
    </w:lvl>
    <w:lvl w:ilvl="8" w:tplc="80E8CC8A">
      <w:start w:val="1"/>
      <w:numFmt w:val="bullet"/>
      <w:lvlText w:val=""/>
      <w:lvlJc w:val="left"/>
      <w:pPr>
        <w:ind w:left="6480" w:hanging="360"/>
      </w:pPr>
      <w:rPr>
        <w:rFonts w:hint="default" w:ascii="Wingdings" w:hAnsi="Wingdings"/>
      </w:rPr>
    </w:lvl>
  </w:abstractNum>
  <w:abstractNum w:abstractNumId="2" w15:restartNumberingAfterBreak="0">
    <w:nsid w:val="24BECAF1"/>
    <w:multiLevelType w:val="hybridMultilevel"/>
    <w:tmpl w:val="7B0C0EDA"/>
    <w:lvl w:ilvl="0" w:tplc="28800626">
      <w:start w:val="1"/>
      <w:numFmt w:val="decimal"/>
      <w:lvlText w:val="%1."/>
      <w:lvlJc w:val="left"/>
      <w:pPr>
        <w:ind w:left="720" w:hanging="360"/>
      </w:pPr>
    </w:lvl>
    <w:lvl w:ilvl="1" w:tplc="26C231BE">
      <w:start w:val="1"/>
      <w:numFmt w:val="lowerLetter"/>
      <w:lvlText w:val="%2."/>
      <w:lvlJc w:val="left"/>
      <w:pPr>
        <w:ind w:left="1440" w:hanging="360"/>
      </w:pPr>
    </w:lvl>
    <w:lvl w:ilvl="2" w:tplc="9198E860">
      <w:start w:val="1"/>
      <w:numFmt w:val="lowerRoman"/>
      <w:lvlText w:val="%3."/>
      <w:lvlJc w:val="right"/>
      <w:pPr>
        <w:ind w:left="2160" w:hanging="180"/>
      </w:pPr>
    </w:lvl>
    <w:lvl w:ilvl="3" w:tplc="6B9475D0">
      <w:start w:val="1"/>
      <w:numFmt w:val="decimal"/>
      <w:lvlText w:val="%4."/>
      <w:lvlJc w:val="left"/>
      <w:pPr>
        <w:ind w:left="2880" w:hanging="360"/>
      </w:pPr>
    </w:lvl>
    <w:lvl w:ilvl="4" w:tplc="2C3AF5C6">
      <w:start w:val="1"/>
      <w:numFmt w:val="lowerLetter"/>
      <w:lvlText w:val="%5."/>
      <w:lvlJc w:val="left"/>
      <w:pPr>
        <w:ind w:left="3600" w:hanging="360"/>
      </w:pPr>
    </w:lvl>
    <w:lvl w:ilvl="5" w:tplc="4A66A978">
      <w:start w:val="1"/>
      <w:numFmt w:val="lowerRoman"/>
      <w:lvlText w:val="%6."/>
      <w:lvlJc w:val="right"/>
      <w:pPr>
        <w:ind w:left="4320" w:hanging="180"/>
      </w:pPr>
    </w:lvl>
    <w:lvl w:ilvl="6" w:tplc="F40E759A">
      <w:start w:val="1"/>
      <w:numFmt w:val="decimal"/>
      <w:lvlText w:val="%7."/>
      <w:lvlJc w:val="left"/>
      <w:pPr>
        <w:ind w:left="5040" w:hanging="360"/>
      </w:pPr>
    </w:lvl>
    <w:lvl w:ilvl="7" w:tplc="FDAE8D2A">
      <w:start w:val="1"/>
      <w:numFmt w:val="lowerLetter"/>
      <w:lvlText w:val="%8."/>
      <w:lvlJc w:val="left"/>
      <w:pPr>
        <w:ind w:left="5760" w:hanging="360"/>
      </w:pPr>
    </w:lvl>
    <w:lvl w:ilvl="8" w:tplc="EBB663A0">
      <w:start w:val="1"/>
      <w:numFmt w:val="lowerRoman"/>
      <w:lvlText w:val="%9."/>
      <w:lvlJc w:val="right"/>
      <w:pPr>
        <w:ind w:left="6480" w:hanging="180"/>
      </w:pPr>
    </w:lvl>
  </w:abstractNum>
  <w:abstractNum w:abstractNumId="3" w15:restartNumberingAfterBreak="0">
    <w:nsid w:val="2714CD62"/>
    <w:multiLevelType w:val="hybridMultilevel"/>
    <w:tmpl w:val="A582F998"/>
    <w:lvl w:ilvl="0" w:tplc="00A41026">
      <w:start w:val="1"/>
      <w:numFmt w:val="upperLetter"/>
      <w:lvlText w:val="%1."/>
      <w:lvlJc w:val="left"/>
      <w:pPr>
        <w:ind w:left="720" w:hanging="360"/>
      </w:pPr>
    </w:lvl>
    <w:lvl w:ilvl="1" w:tplc="E3B8BE7A">
      <w:start w:val="1"/>
      <w:numFmt w:val="lowerLetter"/>
      <w:lvlText w:val="%2."/>
      <w:lvlJc w:val="left"/>
      <w:pPr>
        <w:ind w:left="1440" w:hanging="360"/>
      </w:pPr>
    </w:lvl>
    <w:lvl w:ilvl="2" w:tplc="FC8AE98C">
      <w:start w:val="1"/>
      <w:numFmt w:val="lowerRoman"/>
      <w:lvlText w:val="%3."/>
      <w:lvlJc w:val="right"/>
      <w:pPr>
        <w:ind w:left="2160" w:hanging="180"/>
      </w:pPr>
    </w:lvl>
    <w:lvl w:ilvl="3" w:tplc="1F4ABCB4">
      <w:start w:val="1"/>
      <w:numFmt w:val="decimal"/>
      <w:lvlText w:val="%4."/>
      <w:lvlJc w:val="left"/>
      <w:pPr>
        <w:ind w:left="2880" w:hanging="360"/>
      </w:pPr>
    </w:lvl>
    <w:lvl w:ilvl="4" w:tplc="E80C9CD2">
      <w:start w:val="1"/>
      <w:numFmt w:val="lowerLetter"/>
      <w:lvlText w:val="%5."/>
      <w:lvlJc w:val="left"/>
      <w:pPr>
        <w:ind w:left="3600" w:hanging="360"/>
      </w:pPr>
    </w:lvl>
    <w:lvl w:ilvl="5" w:tplc="B4EC6200">
      <w:start w:val="1"/>
      <w:numFmt w:val="lowerRoman"/>
      <w:lvlText w:val="%6."/>
      <w:lvlJc w:val="right"/>
      <w:pPr>
        <w:ind w:left="4320" w:hanging="180"/>
      </w:pPr>
    </w:lvl>
    <w:lvl w:ilvl="6" w:tplc="27A07F2C">
      <w:start w:val="1"/>
      <w:numFmt w:val="decimal"/>
      <w:lvlText w:val="%7."/>
      <w:lvlJc w:val="left"/>
      <w:pPr>
        <w:ind w:left="5040" w:hanging="360"/>
      </w:pPr>
    </w:lvl>
    <w:lvl w:ilvl="7" w:tplc="3C2A8678">
      <w:start w:val="1"/>
      <w:numFmt w:val="lowerLetter"/>
      <w:lvlText w:val="%8."/>
      <w:lvlJc w:val="left"/>
      <w:pPr>
        <w:ind w:left="5760" w:hanging="360"/>
      </w:pPr>
    </w:lvl>
    <w:lvl w:ilvl="8" w:tplc="1A3EFDBE">
      <w:start w:val="1"/>
      <w:numFmt w:val="lowerRoman"/>
      <w:lvlText w:val="%9."/>
      <w:lvlJc w:val="right"/>
      <w:pPr>
        <w:ind w:left="6480" w:hanging="180"/>
      </w:pPr>
    </w:lvl>
  </w:abstractNum>
  <w:abstractNum w:abstractNumId="4" w15:restartNumberingAfterBreak="0">
    <w:nsid w:val="61E55ABB"/>
    <w:multiLevelType w:val="hybridMultilevel"/>
    <w:tmpl w:val="92BCCCA0"/>
    <w:lvl w:ilvl="0" w:tplc="8E84E3A0">
      <w:start w:val="1"/>
      <w:numFmt w:val="lowerRoman"/>
      <w:lvlText w:val="(%1)"/>
      <w:lvlJc w:val="left"/>
      <w:pPr>
        <w:ind w:left="720" w:hanging="360"/>
      </w:pPr>
    </w:lvl>
    <w:lvl w:ilvl="1" w:tplc="10E801DE">
      <w:start w:val="1"/>
      <w:numFmt w:val="lowerLetter"/>
      <w:lvlText w:val="%2."/>
      <w:lvlJc w:val="left"/>
      <w:pPr>
        <w:ind w:left="1440" w:hanging="360"/>
      </w:pPr>
    </w:lvl>
    <w:lvl w:ilvl="2" w:tplc="E72AF266">
      <w:start w:val="1"/>
      <w:numFmt w:val="lowerRoman"/>
      <w:lvlText w:val="%3."/>
      <w:lvlJc w:val="right"/>
      <w:pPr>
        <w:ind w:left="2160" w:hanging="180"/>
      </w:pPr>
    </w:lvl>
    <w:lvl w:ilvl="3" w:tplc="CF78E77C">
      <w:start w:val="1"/>
      <w:numFmt w:val="decimal"/>
      <w:lvlText w:val="%4."/>
      <w:lvlJc w:val="left"/>
      <w:pPr>
        <w:ind w:left="2880" w:hanging="360"/>
      </w:pPr>
    </w:lvl>
    <w:lvl w:ilvl="4" w:tplc="2C008480">
      <w:start w:val="1"/>
      <w:numFmt w:val="lowerLetter"/>
      <w:lvlText w:val="%5."/>
      <w:lvlJc w:val="left"/>
      <w:pPr>
        <w:ind w:left="3600" w:hanging="360"/>
      </w:pPr>
    </w:lvl>
    <w:lvl w:ilvl="5" w:tplc="91CA624E">
      <w:start w:val="1"/>
      <w:numFmt w:val="lowerRoman"/>
      <w:lvlText w:val="%6."/>
      <w:lvlJc w:val="right"/>
      <w:pPr>
        <w:ind w:left="4320" w:hanging="180"/>
      </w:pPr>
    </w:lvl>
    <w:lvl w:ilvl="6" w:tplc="D8C2497C">
      <w:start w:val="1"/>
      <w:numFmt w:val="decimal"/>
      <w:lvlText w:val="%7."/>
      <w:lvlJc w:val="left"/>
      <w:pPr>
        <w:ind w:left="5040" w:hanging="360"/>
      </w:pPr>
    </w:lvl>
    <w:lvl w:ilvl="7" w:tplc="9F3C695C">
      <w:start w:val="1"/>
      <w:numFmt w:val="lowerLetter"/>
      <w:lvlText w:val="%8."/>
      <w:lvlJc w:val="left"/>
      <w:pPr>
        <w:ind w:left="5760" w:hanging="360"/>
      </w:pPr>
    </w:lvl>
    <w:lvl w:ilvl="8" w:tplc="874854D0">
      <w:start w:val="1"/>
      <w:numFmt w:val="lowerRoman"/>
      <w:lvlText w:val="%9."/>
      <w:lvlJc w:val="right"/>
      <w:pPr>
        <w:ind w:left="6480" w:hanging="180"/>
      </w:pPr>
    </w:lvl>
  </w:abstractNum>
  <w:abstractNum w:abstractNumId="5" w15:restartNumberingAfterBreak="0">
    <w:nsid w:val="6A27EAAB"/>
    <w:multiLevelType w:val="hybridMultilevel"/>
    <w:tmpl w:val="2946DEFC"/>
    <w:lvl w:ilvl="0" w:tplc="26CE200E">
      <w:start w:val="1"/>
      <w:numFmt w:val="decimal"/>
      <w:lvlText w:val="%1."/>
      <w:lvlJc w:val="left"/>
      <w:pPr>
        <w:ind w:left="720" w:hanging="360"/>
      </w:pPr>
    </w:lvl>
    <w:lvl w:ilvl="1" w:tplc="0D6AF5C6">
      <w:start w:val="1"/>
      <w:numFmt w:val="lowerLetter"/>
      <w:lvlText w:val="%2."/>
      <w:lvlJc w:val="left"/>
      <w:pPr>
        <w:ind w:left="1440" w:hanging="360"/>
      </w:pPr>
    </w:lvl>
    <w:lvl w:ilvl="2" w:tplc="59D007DE">
      <w:start w:val="1"/>
      <w:numFmt w:val="lowerRoman"/>
      <w:lvlText w:val="%3."/>
      <w:lvlJc w:val="right"/>
      <w:pPr>
        <w:ind w:left="2160" w:hanging="180"/>
      </w:pPr>
    </w:lvl>
    <w:lvl w:ilvl="3" w:tplc="0F98B50E">
      <w:start w:val="1"/>
      <w:numFmt w:val="decimal"/>
      <w:lvlText w:val="%4."/>
      <w:lvlJc w:val="left"/>
      <w:pPr>
        <w:ind w:left="2880" w:hanging="360"/>
      </w:pPr>
    </w:lvl>
    <w:lvl w:ilvl="4" w:tplc="7E76FD76">
      <w:start w:val="1"/>
      <w:numFmt w:val="lowerLetter"/>
      <w:lvlText w:val="%5."/>
      <w:lvlJc w:val="left"/>
      <w:pPr>
        <w:ind w:left="3600" w:hanging="360"/>
      </w:pPr>
    </w:lvl>
    <w:lvl w:ilvl="5" w:tplc="2AA8DE24">
      <w:start w:val="1"/>
      <w:numFmt w:val="lowerRoman"/>
      <w:lvlText w:val="%6."/>
      <w:lvlJc w:val="right"/>
      <w:pPr>
        <w:ind w:left="4320" w:hanging="180"/>
      </w:pPr>
    </w:lvl>
    <w:lvl w:ilvl="6" w:tplc="C73CF2AE">
      <w:start w:val="1"/>
      <w:numFmt w:val="decimal"/>
      <w:lvlText w:val="%7."/>
      <w:lvlJc w:val="left"/>
      <w:pPr>
        <w:ind w:left="5040" w:hanging="360"/>
      </w:pPr>
    </w:lvl>
    <w:lvl w:ilvl="7" w:tplc="BBE01974">
      <w:start w:val="1"/>
      <w:numFmt w:val="lowerLetter"/>
      <w:lvlText w:val="%8."/>
      <w:lvlJc w:val="left"/>
      <w:pPr>
        <w:ind w:left="5760" w:hanging="360"/>
      </w:pPr>
    </w:lvl>
    <w:lvl w:ilvl="8" w:tplc="DC52D8C0">
      <w:start w:val="1"/>
      <w:numFmt w:val="lowerRoman"/>
      <w:lvlText w:val="%9."/>
      <w:lvlJc w:val="right"/>
      <w:pPr>
        <w:ind w:left="6480" w:hanging="180"/>
      </w:pPr>
    </w:lvl>
  </w:abstractNum>
  <w:num w:numId="1" w16cid:durableId="342753592">
    <w:abstractNumId w:val="3"/>
  </w:num>
  <w:num w:numId="2" w16cid:durableId="1407875493">
    <w:abstractNumId w:val="4"/>
  </w:num>
  <w:num w:numId="3" w16cid:durableId="249513638">
    <w:abstractNumId w:val="5"/>
  </w:num>
  <w:num w:numId="4" w16cid:durableId="546338992">
    <w:abstractNumId w:val="0"/>
  </w:num>
  <w:num w:numId="5" w16cid:durableId="1954554671">
    <w:abstractNumId w:val="1"/>
  </w:num>
  <w:num w:numId="6" w16cid:durableId="1510216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BBECBF"/>
    <w:rsid w:val="00413755"/>
    <w:rsid w:val="00475FC6"/>
    <w:rsid w:val="0055642D"/>
    <w:rsid w:val="00D16393"/>
    <w:rsid w:val="015857D5"/>
    <w:rsid w:val="017D2881"/>
    <w:rsid w:val="02D01C86"/>
    <w:rsid w:val="031D7F39"/>
    <w:rsid w:val="0327FDB6"/>
    <w:rsid w:val="07AE597A"/>
    <w:rsid w:val="08866F07"/>
    <w:rsid w:val="089AF474"/>
    <w:rsid w:val="09979DFB"/>
    <w:rsid w:val="0A3C1B85"/>
    <w:rsid w:val="0C05F09E"/>
    <w:rsid w:val="0ED5EAC7"/>
    <w:rsid w:val="0F079F85"/>
    <w:rsid w:val="0FFCA2FA"/>
    <w:rsid w:val="14646F74"/>
    <w:rsid w:val="150E762C"/>
    <w:rsid w:val="156941F4"/>
    <w:rsid w:val="159762DE"/>
    <w:rsid w:val="1670E197"/>
    <w:rsid w:val="16BBECBF"/>
    <w:rsid w:val="16CC64D0"/>
    <w:rsid w:val="16E33C72"/>
    <w:rsid w:val="17D7A7B0"/>
    <w:rsid w:val="180DE829"/>
    <w:rsid w:val="1B782B24"/>
    <w:rsid w:val="1BC0A4C1"/>
    <w:rsid w:val="1CCDAF47"/>
    <w:rsid w:val="1E95F731"/>
    <w:rsid w:val="1F68122E"/>
    <w:rsid w:val="2263BAA4"/>
    <w:rsid w:val="26772C30"/>
    <w:rsid w:val="26F30D9E"/>
    <w:rsid w:val="27B111F6"/>
    <w:rsid w:val="2B6D7332"/>
    <w:rsid w:val="2E05BA3C"/>
    <w:rsid w:val="2E9CEE91"/>
    <w:rsid w:val="2FA567B5"/>
    <w:rsid w:val="32598D4F"/>
    <w:rsid w:val="34C5F65B"/>
    <w:rsid w:val="3896F8C2"/>
    <w:rsid w:val="3A1C2170"/>
    <w:rsid w:val="3A78691F"/>
    <w:rsid w:val="3E1BD9FA"/>
    <w:rsid w:val="3E95C2BC"/>
    <w:rsid w:val="3EA66B39"/>
    <w:rsid w:val="403C9A08"/>
    <w:rsid w:val="408E3AE5"/>
    <w:rsid w:val="4131F3B2"/>
    <w:rsid w:val="4165FCD0"/>
    <w:rsid w:val="41B877CB"/>
    <w:rsid w:val="42AD6AA6"/>
    <w:rsid w:val="464FA0DE"/>
    <w:rsid w:val="48051F2C"/>
    <w:rsid w:val="4B6492EE"/>
    <w:rsid w:val="4BB4C417"/>
    <w:rsid w:val="4BE0D811"/>
    <w:rsid w:val="4DBAD4DF"/>
    <w:rsid w:val="4E5F7711"/>
    <w:rsid w:val="52983574"/>
    <w:rsid w:val="53506AFD"/>
    <w:rsid w:val="5666A9CD"/>
    <w:rsid w:val="567F69C0"/>
    <w:rsid w:val="56F5B4B1"/>
    <w:rsid w:val="571F08AE"/>
    <w:rsid w:val="573D00E9"/>
    <w:rsid w:val="574D56FF"/>
    <w:rsid w:val="577144EF"/>
    <w:rsid w:val="594A0533"/>
    <w:rsid w:val="59895BF2"/>
    <w:rsid w:val="59E8B715"/>
    <w:rsid w:val="5B2FD42F"/>
    <w:rsid w:val="5FA937D2"/>
    <w:rsid w:val="5FF3AAF0"/>
    <w:rsid w:val="60D4F149"/>
    <w:rsid w:val="60D5498A"/>
    <w:rsid w:val="61C3E15D"/>
    <w:rsid w:val="64A41556"/>
    <w:rsid w:val="681D00D3"/>
    <w:rsid w:val="68F27B8F"/>
    <w:rsid w:val="6A12B33F"/>
    <w:rsid w:val="6B26E7FD"/>
    <w:rsid w:val="6B33BB9C"/>
    <w:rsid w:val="6CC0615E"/>
    <w:rsid w:val="711C630B"/>
    <w:rsid w:val="738E3079"/>
    <w:rsid w:val="73A4E827"/>
    <w:rsid w:val="765DACAE"/>
    <w:rsid w:val="78EDD6C1"/>
    <w:rsid w:val="79287298"/>
    <w:rsid w:val="7CD68F6A"/>
    <w:rsid w:val="7D034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ECBF"/>
  <w15:chartTrackingRefBased/>
  <w15:docId w15:val="{DA753740-A8F2-4676-AFA0-EEE9E9C1B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2263BAA4"/>
    <w:pPr>
      <w:tabs>
        <w:tab w:val="center" w:leader="none" w:pos="4680"/>
        <w:tab w:val="right" w:leader="none" w:pos="9360"/>
      </w:tabs>
      <w:spacing w:after="0" w:line="240" w:lineRule="auto"/>
    </w:pPr>
  </w:style>
  <w:style w:type="paragraph" w:styleId="Footer">
    <w:uiPriority w:val="99"/>
    <w:name w:val="footer"/>
    <w:basedOn w:val="Normal"/>
    <w:unhideWhenUsed/>
    <w:rsid w:val="2263BAA4"/>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2638693a6efe44ca" /><Relationship Type="http://schemas.openxmlformats.org/officeDocument/2006/relationships/footer" Target="footer.xml" Id="R6b777d6feca44708" /></Relationships>
</file>

<file path=word/_rels/header.xml.rels>&#65279;<?xml version="1.0" encoding="utf-8"?><Relationships xmlns="http://schemas.openxmlformats.org/package/2006/relationships"><Relationship Type="http://schemas.openxmlformats.org/officeDocument/2006/relationships/image" Target="/media/image.png" Id="rId17262486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Diego Mauricio Olarte Rincon</dc:creator>
  <keywords/>
  <dc:description/>
  <lastModifiedBy>Diego Mauricio Olarte Rincon</lastModifiedBy>
  <revision>5</revision>
  <dcterms:created xsi:type="dcterms:W3CDTF">2025-09-23T16:28:00.0000000Z</dcterms:created>
  <dcterms:modified xsi:type="dcterms:W3CDTF">2025-11-25T00:41:54.3835061Z</dcterms:modified>
</coreProperties>
</file>