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b/>
          <w:sz w:val="24"/>
        </w:rPr>
        <w:t>Defensoría del Pueblo</w:t>
        <w:br/>
        <w:t>Dirección Nacional de Defensoría Pública (DNDP)</w:t>
        <w:br/>
        <w:t>Grupo de Transformación Digital</w:t>
      </w:r>
    </w:p>
    <w:p>
      <w:pPr>
        <w:jc w:val="center"/>
      </w:pPr>
      <w:r>
        <w:rPr>
          <w:b/>
          <w:sz w:val="36"/>
        </w:rPr>
        <w:t>Guía de despliegue Aurora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t>Campo</w:t>
            </w:r>
          </w:p>
        </w:tc>
        <w:tc>
          <w:tcPr>
            <w:tcW w:type="dxa" w:w="4419"/>
          </w:tcPr>
          <w:p>
            <w:r>
              <w:t>Valor</w:t>
            </w:r>
          </w:p>
        </w:tc>
      </w:tr>
      <w:tr>
        <w:tc>
          <w:tcPr>
            <w:tcW w:type="dxa" w:w="4419"/>
          </w:tcPr>
          <w:p>
            <w:r>
              <w:t>Proyecto</w:t>
            </w:r>
          </w:p>
        </w:tc>
        <w:tc>
          <w:tcPr>
            <w:tcW w:type="dxa" w:w="4419"/>
          </w:tcPr>
          <w:p>
            <w:r>
              <w:t>Aurora</w:t>
            </w:r>
          </w:p>
        </w:tc>
      </w:tr>
      <w:tr>
        <w:tc>
          <w:tcPr>
            <w:tcW w:type="dxa" w:w="4419"/>
          </w:tcPr>
          <w:p>
            <w:r>
              <w:t>Fecha</w:t>
            </w:r>
          </w:p>
        </w:tc>
        <w:tc>
          <w:tcPr>
            <w:tcW w:type="dxa" w:w="4419"/>
          </w:tcPr>
          <w:p>
            <w:r>
              <w:t>2026-05-28</w:t>
            </w:r>
          </w:p>
        </w:tc>
      </w:tr>
      <w:tr>
        <w:tc>
          <w:tcPr>
            <w:tcW w:type="dxa" w:w="4419"/>
          </w:tcPr>
          <w:p>
            <w:r>
              <w:t>Versión documental</w:t>
            </w:r>
          </w:p>
        </w:tc>
        <w:tc>
          <w:tcPr>
            <w:tcW w:type="dxa" w:w="4419"/>
          </w:tcPr>
          <w:p>
            <w:r>
              <w:t>1.1</w:t>
            </w:r>
          </w:p>
        </w:tc>
      </w:tr>
      <w:tr>
        <w:tc>
          <w:tcPr>
            <w:tcW w:type="dxa" w:w="4419"/>
          </w:tcPr>
          <w:p>
            <w:r>
              <w:t>Responsable</w:t>
            </w:r>
          </w:p>
        </w:tc>
        <w:tc>
          <w:tcPr>
            <w:tcW w:type="dxa" w:w="4419"/>
          </w:tcPr>
          <w:p>
            <w:r>
              <w:t>Dirección Nacional de Defensoría Pública (DNDP) - Grupo de Transformación Digital</w:t>
            </w:r>
          </w:p>
        </w:tc>
      </w:tr>
    </w:tbl>
    <w:p>
      <w:r>
        <w:br w:type="page"/>
      </w:r>
    </w:p>
    <w:p>
      <w:pPr>
        <w:pStyle w:val="Ttulo1"/>
      </w:pPr>
      <w:r>
        <w:t>Control de cambios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r>
              <w:t>Versión</w:t>
            </w:r>
          </w:p>
        </w:tc>
        <w:tc>
          <w:tcPr>
            <w:tcW w:type="dxa" w:w="1768"/>
          </w:tcPr>
          <w:p>
            <w:r>
              <w:t>Fecha</w:t>
            </w:r>
          </w:p>
        </w:tc>
        <w:tc>
          <w:tcPr>
            <w:tcW w:type="dxa" w:w="1768"/>
          </w:tcPr>
          <w:p>
            <w:r>
              <w:t>Responsable</w:t>
            </w:r>
          </w:p>
        </w:tc>
        <w:tc>
          <w:tcPr>
            <w:tcW w:type="dxa" w:w="1768"/>
          </w:tcPr>
          <w:p>
            <w:r>
              <w:t>Descripción del cambio</w:t>
            </w:r>
          </w:p>
        </w:tc>
        <w:tc>
          <w:tcPr>
            <w:tcW w:type="dxa" w:w="1768"/>
          </w:tcPr>
          <w:p>
            <w:r>
              <w:t>Aprobación</w:t>
            </w:r>
          </w:p>
        </w:tc>
      </w:tr>
      <w:tr>
        <w:tc>
          <w:tcPr>
            <w:tcW w:type="dxa" w:w="1768"/>
          </w:tcPr>
          <w:p>
            <w:r>
              <w:t>1.0</w:t>
            </w:r>
          </w:p>
        </w:tc>
        <w:tc>
          <w:tcPr>
            <w:tcW w:type="dxa" w:w="1768"/>
          </w:tcPr>
          <w:p>
            <w:r>
              <w:t>2026-05-19</w:t>
            </w:r>
          </w:p>
        </w:tc>
        <w:tc>
          <w:tcPr>
            <w:tcW w:type="dxa" w:w="1768"/>
          </w:tcPr>
          <w:p>
            <w:r>
              <w:t>Dirección Nacional de Defensoría Pública (DNDP) - Grupo de Transformación Digital</w:t>
            </w:r>
          </w:p>
        </w:tc>
        <w:tc>
          <w:tcPr>
            <w:tcW w:type="dxa" w:w="1768"/>
          </w:tcPr>
          <w:p>
            <w:r>
              <w:t>Versión inicial de entrega técnica.</w:t>
            </w:r>
          </w:p>
        </w:tc>
        <w:tc>
          <w:tcPr>
            <w:tcW w:type="dxa" w:w="1768"/>
          </w:tcPr>
          <w:p>
            <w:r>
              <w:t>Equipo DNDP</w:t>
            </w:r>
          </w:p>
        </w:tc>
      </w:tr>
      <w:tr>
        <w:tc>
          <w:tcPr>
            <w:tcW w:type="dxa" w:w="1768"/>
          </w:tcPr>
          <w:p>
            <w:r>
              <w:t>1.1</w:t>
            </w:r>
          </w:p>
        </w:tc>
        <w:tc>
          <w:tcPr>
            <w:tcW w:type="dxa" w:w="1768"/>
          </w:tcPr>
          <w:p>
            <w:r>
              <w:t>2026-05-28</w:t>
            </w:r>
          </w:p>
        </w:tc>
        <w:tc>
          <w:tcPr>
            <w:tcW w:type="dxa" w:w="1768"/>
          </w:tcPr>
          <w:p>
            <w:r>
              <w:t>Dirección Nacional de Defensoría Pública (DNDP) - Grupo de Transformación Digital</w:t>
            </w:r>
          </w:p>
        </w:tc>
        <w:tc>
          <w:tcPr>
            <w:tcW w:type="dxa" w:w="1768"/>
          </w:tcPr>
          <w:p>
            <w:r>
              <w:t>Ajuste de formato institucional, control documental, índice, repositorio institucional, despliegue, roles, URL de ambiente y pruebas.</w:t>
            </w:r>
          </w:p>
        </w:tc>
        <w:tc>
          <w:tcPr>
            <w:tcW w:type="dxa" w:w="1768"/>
          </w:tcPr>
          <w:p>
            <w:r>
              <w:t>Pendiente aprobación institucional</w:t>
            </w:r>
          </w:p>
        </w:tc>
      </w:tr>
    </w:tbl>
    <w:p>
      <w:r>
        <w:br w:type="page"/>
      </w:r>
    </w:p>
    <w:p>
      <w:pPr>
        <w:pStyle w:val="Ttulo1"/>
      </w:pPr>
      <w:r>
        <w:t>Tabla de contenido</w:t>
      </w:r>
    </w:p>
    <w:p>
      <w:fldSimple w:instr="TOC \o &quot;1-3&quot; \h \z \u">
        <w:r>
          <w:t>Tabla de contenido. Actualice este campo en Word con clic derecho &gt; Actualizar campo.</w:t>
        </w:r>
      </w:fldSimple>
    </w:p>
    <w:p>
      <w:r>
        <w:br w:type="page"/>
      </w:r>
    </w:p>
    <w:p>
      <w:pPr>
        <w:pStyle w:val="Ttulo1"/>
      </w:pPr>
      <w:r>
        <w:t>Objeto</w:t>
      </w:r>
    </w:p>
    <w:p>
      <w:r>
        <w:t>Esta guía describe el despliegue operativo de Aurora en ambiente institucional. El mecanismo recomendado para preproducción y producción es Docker Compose.</w:t>
      </w:r>
    </w:p>
    <w:p>
      <w:pPr>
        <w:pStyle w:val="Ttulo1"/>
      </w:pPr>
      <w:r>
        <w:t>Fuente oficial de código</w:t>
      </w:r>
    </w:p>
    <w:p>
      <w:r>
        <w:t>El código fuente de versión cero se entrega en SharePoint en la ruta Documentos &gt; Aurora &gt; codigo_fuente_Aurora.zip. Desde allí la entidad podrá realizar la publicación inicial en Azure DevOps y ejecutar el despliegue institucional.</w:t>
      </w:r>
    </w:p>
    <w:p>
      <w:r>
        <w:t>No se reconoce un repositorio externo como canal oficial de la entidad para preproducción o producción.</w:t>
      </w:r>
    </w:p>
    <w:p>
      <w:pPr>
        <w:pStyle w:val="Ttulo1"/>
      </w:pPr>
      <w:r>
        <w:t>Requisitos previos</w:t>
      </w:r>
    </w:p>
    <w:p>
      <w:r>
        <w:t>• Servidor con Docker instalado.</w:t>
      </w:r>
    </w:p>
    <w:p>
      <w:r>
        <w:t>• Docker Compose disponible como docker compose.</w:t>
      </w:r>
    </w:p>
    <w:p>
      <w:r>
        <w:t>• Acceso de red desde el servidor hacia Oracle.</w:t>
      </w:r>
    </w:p>
    <w:p>
      <w:r>
        <w:t>• Archivo .env configurado con variables reales y custodiado fuera del repositorio.</w:t>
      </w:r>
    </w:p>
    <w:p>
      <w:r>
        <w:t>• Puerto 7860 disponible o puerto alterno definido en HOST_PORT.</w:t>
      </w:r>
    </w:p>
    <w:p>
      <w:r>
        <w:t>• URL institucional o direccionamiento temporal validado por Infraestructura.</w:t>
      </w:r>
    </w:p>
    <w:p>
      <w:pPr>
        <w:pStyle w:val="Ttulo1"/>
      </w:pPr>
      <w:r>
        <w:t>Despliegue con Docker Compose</w:t>
      </w:r>
    </w:p>
    <w:p>
      <w:r>
        <w:rPr>
          <w:rFonts w:ascii="Courier New" w:hAnsi="Courier New"/>
          <w:sz w:val="18"/>
        </w:rPr>
        <w:t>cp .env.example .env</w:t>
        <w:br/>
        <w:t># editar .env con valores reales</w:t>
        <w:br/>
        <w:t>docker compose up --build -d</w:t>
        <w:br/>
        <w:t>docker compose ps</w:t>
        <w:br/>
        <w:t>docker compose logs -f aurora</w:t>
      </w:r>
    </w:p>
    <w:p>
      <w:r>
        <w:t>El Dockerfile construye el frontend React/Vite, lo integra al backend Express y publica un único servicio HTTP en el puerto configurado.</w:t>
      </w:r>
    </w:p>
    <w:p>
      <w:pPr>
        <w:pStyle w:val="Ttulo1"/>
      </w:pPr>
      <w:r>
        <w:t>URL de ambiente y validación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t>Uso</w:t>
            </w:r>
          </w:p>
        </w:tc>
        <w:tc>
          <w:tcPr>
            <w:tcW w:type="dxa" w:w="4419"/>
          </w:tcPr>
          <w:p>
            <w:r>
              <w:t>URL</w:t>
            </w:r>
          </w:p>
        </w:tc>
      </w:tr>
      <w:tr>
        <w:tc>
          <w:tcPr>
            <w:tcW w:type="dxa" w:w="4419"/>
          </w:tcPr>
          <w:p>
            <w:r>
              <w:t>Validación interna desde servidor</w:t>
            </w:r>
          </w:p>
        </w:tc>
        <w:tc>
          <w:tcPr>
            <w:tcW w:type="dxa" w:w="4419"/>
          </w:tcPr>
          <w:p>
            <w:r>
              <w:t>http://127.0.0.1:7860</w:t>
            </w:r>
          </w:p>
        </w:tc>
      </w:tr>
      <w:tr>
        <w:tc>
          <w:tcPr>
            <w:tcW w:type="dxa" w:w="4419"/>
          </w:tcPr>
          <w:p>
            <w:r>
              <w:t>URL temporal por IP privada si red/firewall lo permite</w:t>
            </w:r>
          </w:p>
        </w:tc>
        <w:tc>
          <w:tcPr>
            <w:tcW w:type="dxa" w:w="4419"/>
          </w:tcPr>
          <w:p>
            <w:r>
              <w:t>http://172.31.64.7:7860</w:t>
            </w:r>
          </w:p>
        </w:tc>
      </w:tr>
      <w:tr>
        <w:tc>
          <w:tcPr>
            <w:tcW w:type="dxa" w:w="4419"/>
          </w:tcPr>
          <w:p>
            <w:r>
              <w:t>Acceso de prueba por túnel SSH</w:t>
            </w:r>
          </w:p>
        </w:tc>
        <w:tc>
          <w:tcPr>
            <w:tcW w:type="dxa" w:w="4419"/>
          </w:tcPr>
          <w:p>
            <w:r>
              <w:t>http://localhost:8787</w:t>
            </w:r>
          </w:p>
        </w:tc>
      </w:tr>
      <w:tr>
        <w:tc>
          <w:tcPr>
            <w:tcW w:type="dxa" w:w="4419"/>
          </w:tcPr>
          <w:p>
            <w:r>
              <w:t>URL institucional definitiva</w:t>
            </w:r>
          </w:p>
        </w:tc>
        <w:tc>
          <w:tcPr>
            <w:tcW w:type="dxa" w:w="4419"/>
          </w:tcPr>
          <w:p>
            <w:r>
              <w:t>Pendiente de asignación por Infraestructura</w:t>
            </w:r>
          </w:p>
        </w:tc>
      </w:tr>
    </w:tbl>
    <w:p>
      <w:r>
        <w:rPr>
          <w:rFonts w:ascii="Courier New" w:hAnsi="Courier New"/>
          <w:sz w:val="18"/>
        </w:rPr>
        <w:t>curl http://127.0.0.1:7860/api/health</w:t>
        <w:br/>
        <w:t>curl http://127.0.0.1:7860/api/health/db</w:t>
      </w:r>
    </w:p>
    <w:p>
      <w:r>
        <w:t>Localhost o 127.0.0.1 aplica solamente a validaciones ejecutadas desde el servidor o mediante túnel SSH. Para usuarios finales se debe habilitar una URL institucional o direccionamiento autorizado.</w:t>
      </w:r>
    </w:p>
    <w:p>
      <w:pPr>
        <w:pStyle w:val="Ttulo1"/>
      </w:pPr>
      <w:r>
        <w:t>Validación posterior</w:t>
      </w:r>
    </w:p>
    <w:p>
      <w:r>
        <w:t>1. Confirmar docker compose ps con servicio aurora activo.</w:t>
      </w:r>
    </w:p>
    <w:p>
      <w:r>
        <w:t>2. Confirmar /api/health con ok:true.</w:t>
      </w:r>
    </w:p>
    <w:p>
      <w:r>
        <w:t>3. Confirmar /api/health/db con conexión exitosa.</w:t>
      </w:r>
    </w:p>
    <w:p>
      <w:r>
        <w:t>4. Abrir la aplicación en navegador.</w:t>
      </w:r>
    </w:p>
    <w:p>
      <w:r>
        <w:t>5. Validar login institucional o acceso temporal autorizado.</w:t>
      </w:r>
    </w:p>
    <w:p>
      <w:r>
        <w:t>6. Ejecutar pruebas funcionales definidas.</w:t>
      </w:r>
    </w:p>
    <w:p>
      <w:r>
        <w:br w:type="page"/>
      </w:r>
    </w:p>
    <w:p>
      <w:pPr>
        <w:pStyle w:val="Ttulo1"/>
      </w:pPr>
      <w:r>
        <w:t>Diagramas de apoyo</w:t>
      </w:r>
    </w:p>
    <w:p>
      <w:pPr>
        <w:pStyle w:val="Ttulo2"/>
      </w:pPr>
      <w:r>
        <w:t>Diagrama de despliegue de Aurora</w:t>
      </w:r>
    </w:p>
    <w:p>
      <w:r>
        <w:drawing>
          <wp:inline xmlns:a="http://schemas.openxmlformats.org/drawingml/2006/main" xmlns:pic="http://schemas.openxmlformats.org/drawingml/2006/picture">
            <wp:extent cx="5943600" cy="330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spliegue_auro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Figura. Diagrama de despliegue de Aurora.</w:t>
      </w:r>
    </w:p>
    <w:sectPr w:rsidR="00AA147C" w:rsidRPr="00E551B3" w:rsidSect="0005346C">
      <w:headerReference w:type="default" r:id="rId13"/>
      <w:footerReference w:type="default" r:id="rId14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EA563" w14:textId="77777777" w:rsidR="00B119D5" w:rsidRDefault="00B119D5" w:rsidP="004B2DF4">
      <w:pPr>
        <w:spacing w:after="0" w:line="240" w:lineRule="auto"/>
      </w:pPr>
      <w:r>
        <w:separator/>
      </w:r>
    </w:p>
  </w:endnote>
  <w:endnote w:type="continuationSeparator" w:id="0">
    <w:p w14:paraId="1AFAD277" w14:textId="77777777" w:rsidR="00B119D5" w:rsidRDefault="00B119D5" w:rsidP="004B2D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857DC" w14:textId="6EFB3226" w:rsidR="00C3299A" w:rsidRDefault="0098459B" w:rsidP="00AC4802">
    <w:pPr>
      <w:tabs>
        <w:tab w:val="right" w:pos="8838"/>
      </w:tabs>
      <w:spacing w:before="32" w:line="240" w:lineRule="auto"/>
      <w:ind w:left="20"/>
      <w:rPr>
        <w:noProof/>
      </w:rPr>
    </w:pPr>
    <w:r>
      <w:rPr>
        <w:noProof/>
      </w:rPr>
      <w:drawing>
        <wp:anchor distT="0" distB="0" distL="114300" distR="114300" simplePos="0" relativeHeight="251665408" behindDoc="1" locked="0" layoutInCell="1" allowOverlap="1" wp14:anchorId="5CBEF08C" wp14:editId="0DAA11F5">
          <wp:simplePos x="0" y="0"/>
          <wp:positionH relativeFrom="page">
            <wp:align>right</wp:align>
          </wp:positionH>
          <wp:positionV relativeFrom="paragraph">
            <wp:posOffset>-225425</wp:posOffset>
          </wp:positionV>
          <wp:extent cx="7736205" cy="1394460"/>
          <wp:effectExtent l="0" t="0" r="0" b="0"/>
          <wp:wrapNone/>
          <wp:docPr id="504568099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36205" cy="13944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C4802">
      <w:rPr>
        <w:noProof/>
      </w:rPr>
      <w:tab/>
    </w:r>
  </w:p>
  <w:p w14:paraId="093A8C2D" w14:textId="54B310F2" w:rsidR="00C3299A" w:rsidRPr="00C3299A" w:rsidRDefault="0095783E" w:rsidP="0095783E">
    <w:pPr>
      <w:tabs>
        <w:tab w:val="left" w:pos="8076"/>
      </w:tabs>
      <w:spacing w:before="32" w:line="240" w:lineRule="auto"/>
      <w:ind w:left="20"/>
      <w:rPr>
        <w:rFonts w:ascii="Arial" w:hAnsi="Arial" w:cs="Arial"/>
        <w:sz w:val="18"/>
      </w:rPr>
    </w:pPr>
    <w:r>
      <w:rPr>
        <w:rFonts w:ascii="Arial" w:hAnsi="Arial" w:cs="Arial"/>
        <w:sz w:val="18"/>
      </w:rPr>
      <w:tab/>
    </w:r>
  </w:p>
  <w:p w14:paraId="0370CB8A" w14:textId="6B2AFB2F" w:rsidR="00C3299A" w:rsidRDefault="00C3299A" w:rsidP="000D1414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3ACA7" w14:textId="77777777" w:rsidR="00B119D5" w:rsidRDefault="00B119D5" w:rsidP="004B2DF4">
      <w:pPr>
        <w:spacing w:after="0" w:line="240" w:lineRule="auto"/>
      </w:pPr>
      <w:r>
        <w:separator/>
      </w:r>
    </w:p>
  </w:footnote>
  <w:footnote w:type="continuationSeparator" w:id="0">
    <w:p w14:paraId="377F2EF5" w14:textId="77777777" w:rsidR="00B119D5" w:rsidRDefault="00B119D5" w:rsidP="004B2D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46143" w14:textId="1D50D409" w:rsidR="00822429" w:rsidRDefault="000550D8">
    <w:pPr>
      <w:pStyle w:val="Encabezado"/>
      <w:rPr>
        <w:noProof/>
      </w:rPr>
    </w:pPr>
    <w:r>
      <w:rPr>
        <w:noProof/>
      </w:rPr>
      <w:drawing>
        <wp:anchor distT="0" distB="0" distL="114300" distR="114300" simplePos="0" relativeHeight="251666432" behindDoc="0" locked="0" layoutInCell="1" allowOverlap="1" wp14:anchorId="28BF33E3" wp14:editId="244018D1">
          <wp:simplePos x="0" y="0"/>
          <wp:positionH relativeFrom="column">
            <wp:posOffset>-1179195</wp:posOffset>
          </wp:positionH>
          <wp:positionV relativeFrom="paragraph">
            <wp:posOffset>-434340</wp:posOffset>
          </wp:positionV>
          <wp:extent cx="7895590" cy="1554480"/>
          <wp:effectExtent l="0" t="0" r="0" b="7620"/>
          <wp:wrapSquare wrapText="bothSides"/>
          <wp:docPr id="439843546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95590" cy="1554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DF4"/>
    <w:rsid w:val="00020B2C"/>
    <w:rsid w:val="00022052"/>
    <w:rsid w:val="0004353B"/>
    <w:rsid w:val="0005346C"/>
    <w:rsid w:val="000550D8"/>
    <w:rsid w:val="000859A7"/>
    <w:rsid w:val="000A2A84"/>
    <w:rsid w:val="000C74B9"/>
    <w:rsid w:val="000D1414"/>
    <w:rsid w:val="000F5469"/>
    <w:rsid w:val="00154E64"/>
    <w:rsid w:val="00195C7C"/>
    <w:rsid w:val="001D4E5F"/>
    <w:rsid w:val="002369FA"/>
    <w:rsid w:val="002370F0"/>
    <w:rsid w:val="00291715"/>
    <w:rsid w:val="002C423A"/>
    <w:rsid w:val="002D6605"/>
    <w:rsid w:val="00314E39"/>
    <w:rsid w:val="003917BC"/>
    <w:rsid w:val="00400224"/>
    <w:rsid w:val="0041244A"/>
    <w:rsid w:val="00432EA3"/>
    <w:rsid w:val="0046170B"/>
    <w:rsid w:val="00480843"/>
    <w:rsid w:val="00485E52"/>
    <w:rsid w:val="004B2DF4"/>
    <w:rsid w:val="004C7BAD"/>
    <w:rsid w:val="004D63C4"/>
    <w:rsid w:val="004F4475"/>
    <w:rsid w:val="00557623"/>
    <w:rsid w:val="0060061D"/>
    <w:rsid w:val="00616C3A"/>
    <w:rsid w:val="00656A79"/>
    <w:rsid w:val="006E7527"/>
    <w:rsid w:val="006E78B3"/>
    <w:rsid w:val="007376A6"/>
    <w:rsid w:val="00776E19"/>
    <w:rsid w:val="0078714A"/>
    <w:rsid w:val="007B0902"/>
    <w:rsid w:val="00801FE8"/>
    <w:rsid w:val="00822429"/>
    <w:rsid w:val="00847C28"/>
    <w:rsid w:val="00853767"/>
    <w:rsid w:val="0089476B"/>
    <w:rsid w:val="008D5B4F"/>
    <w:rsid w:val="009469DC"/>
    <w:rsid w:val="0095783E"/>
    <w:rsid w:val="00971224"/>
    <w:rsid w:val="0098459B"/>
    <w:rsid w:val="009B4EF9"/>
    <w:rsid w:val="00A34DCA"/>
    <w:rsid w:val="00A42FD2"/>
    <w:rsid w:val="00A94061"/>
    <w:rsid w:val="00AA147C"/>
    <w:rsid w:val="00AC4802"/>
    <w:rsid w:val="00B119D5"/>
    <w:rsid w:val="00B450BC"/>
    <w:rsid w:val="00B70C97"/>
    <w:rsid w:val="00BB2A26"/>
    <w:rsid w:val="00C21900"/>
    <w:rsid w:val="00C3299A"/>
    <w:rsid w:val="00C80C56"/>
    <w:rsid w:val="00C83329"/>
    <w:rsid w:val="00CA0953"/>
    <w:rsid w:val="00CF2234"/>
    <w:rsid w:val="00D01106"/>
    <w:rsid w:val="00D660AF"/>
    <w:rsid w:val="00E11664"/>
    <w:rsid w:val="00E551B3"/>
    <w:rsid w:val="00E65B45"/>
    <w:rsid w:val="00E74017"/>
    <w:rsid w:val="00EE779B"/>
    <w:rsid w:val="00EF6A94"/>
    <w:rsid w:val="00F473F7"/>
    <w:rsid w:val="00FA2290"/>
    <w:rsid w:val="00FC1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429081"/>
  <w15:chartTrackingRefBased/>
  <w15:docId w15:val="{5CEE479D-9859-478E-BB3C-16562185F868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234"/>
  </w:style>
  <w:style w:type="paragraph" w:styleId="Ttulo1">
    <w:name w:val="heading 1"/>
    <w:basedOn w:val="Normal"/>
    <w:next w:val="Normal"/>
    <w:link w:val="Ttulo1Car"/>
    <w:uiPriority w:val="9"/>
    <w:qFormat/>
    <w:rsid w:val="00B45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78FF8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45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78FF8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50BC"/>
    <w:pPr>
      <w:keepNext/>
      <w:keepLines/>
      <w:spacing w:before="160" w:after="80"/>
      <w:outlineLvl w:val="2"/>
    </w:pPr>
    <w:rPr>
      <w:rFonts w:eastAsiaTheme="majorEastAsia" w:cstheme="majorBidi"/>
      <w:color w:val="278FF8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5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78FF8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50BC"/>
    <w:pPr>
      <w:keepNext/>
      <w:keepLines/>
      <w:spacing w:before="80" w:after="40"/>
      <w:outlineLvl w:val="4"/>
    </w:pPr>
    <w:rPr>
      <w:rFonts w:eastAsiaTheme="majorEastAsia" w:cstheme="majorBidi"/>
      <w:color w:val="278FF8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5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5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5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5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50BC"/>
    <w:rPr>
      <w:rFonts w:asciiTheme="majorHAnsi" w:eastAsiaTheme="majorEastAsia" w:hAnsiTheme="majorHAnsi" w:cstheme="majorBidi"/>
      <w:color w:val="278FF8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450BC"/>
    <w:rPr>
      <w:rFonts w:asciiTheme="majorHAnsi" w:eastAsiaTheme="majorEastAsia" w:hAnsiTheme="majorHAnsi" w:cstheme="majorBidi"/>
      <w:color w:val="278FF8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50BC"/>
    <w:rPr>
      <w:rFonts w:eastAsiaTheme="majorEastAsia" w:cstheme="majorBidi"/>
      <w:color w:val="278FF8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50BC"/>
    <w:rPr>
      <w:rFonts w:eastAsiaTheme="majorEastAsia" w:cstheme="majorBidi"/>
      <w:i/>
      <w:iCs/>
      <w:color w:val="278FF8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50BC"/>
    <w:rPr>
      <w:rFonts w:eastAsiaTheme="majorEastAsia" w:cstheme="majorBidi"/>
      <w:color w:val="278FF8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50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50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50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50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5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5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50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5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5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50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2D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50BC"/>
    <w:rPr>
      <w:i/>
      <w:iCs/>
      <w:color w:val="278FF8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50BC"/>
    <w:pPr>
      <w:pBdr>
        <w:top w:val="single" w:sz="4" w:space="10" w:color="278FF8" w:themeColor="accent1" w:themeShade="BF"/>
        <w:bottom w:val="single" w:sz="4" w:space="10" w:color="278FF8" w:themeColor="accent1" w:themeShade="BF"/>
      </w:pBdr>
      <w:spacing w:before="360" w:after="360"/>
      <w:ind w:left="864" w:right="864"/>
      <w:jc w:val="center"/>
    </w:pPr>
    <w:rPr>
      <w:i/>
      <w:iCs/>
      <w:color w:val="278FF8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50BC"/>
    <w:rPr>
      <w:i/>
      <w:iCs/>
      <w:color w:val="278FF8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50BC"/>
    <w:rPr>
      <w:b/>
      <w:bCs/>
      <w:smallCaps/>
      <w:color w:val="278FF8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B2D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B2DF4"/>
  </w:style>
  <w:style w:type="paragraph" w:styleId="Piedepgina">
    <w:name w:val="footer"/>
    <w:basedOn w:val="Normal"/>
    <w:link w:val="PiedepginaCar"/>
    <w:uiPriority w:val="99"/>
    <w:unhideWhenUsed/>
    <w:rsid w:val="004B2D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B2DF4"/>
  </w:style>
  <w:style w:type="paragraph" w:styleId="Descripcin">
    <w:name w:val="caption"/>
    <w:basedOn w:val="Normal"/>
    <w:next w:val="Normal"/>
    <w:uiPriority w:val="35"/>
    <w:semiHidden/>
    <w:unhideWhenUsed/>
    <w:qFormat/>
    <w:rsid w:val="00B450B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B450BC"/>
    <w:rPr>
      <w:b/>
      <w:bCs/>
    </w:rPr>
  </w:style>
  <w:style w:type="character" w:styleId="nfasis">
    <w:name w:val="Emphasis"/>
    <w:basedOn w:val="Fuentedeprrafopredeter"/>
    <w:uiPriority w:val="20"/>
    <w:qFormat/>
    <w:rsid w:val="00B450BC"/>
    <w:rPr>
      <w:i/>
      <w:iCs/>
    </w:rPr>
  </w:style>
  <w:style w:type="paragraph" w:styleId="Sinespaciado">
    <w:name w:val="No Spacing"/>
    <w:uiPriority w:val="1"/>
    <w:qFormat/>
    <w:rsid w:val="00B450BC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B450BC"/>
    <w:rPr>
      <w:i/>
      <w:iCs/>
      <w:color w:val="404040" w:themeColor="text1" w:themeTint="BF"/>
    </w:rPr>
  </w:style>
  <w:style w:type="character" w:styleId="Referenciasutil">
    <w:name w:val="Subtle Reference"/>
    <w:basedOn w:val="Fuentedeprrafopredeter"/>
    <w:uiPriority w:val="31"/>
    <w:qFormat/>
    <w:rsid w:val="00B450BC"/>
    <w:rPr>
      <w:smallCaps/>
      <w:color w:val="5A5A5A" w:themeColor="text1" w:themeTint="A5"/>
    </w:rPr>
  </w:style>
  <w:style w:type="character" w:styleId="Ttulodellibro">
    <w:name w:val="Book Title"/>
    <w:basedOn w:val="Fuentedeprrafopredeter"/>
    <w:uiPriority w:val="33"/>
    <w:qFormat/>
    <w:rsid w:val="00B450BC"/>
    <w:rPr>
      <w:b/>
      <w:bCs/>
      <w:i/>
      <w:iC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B450BC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33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3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5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Relationship Id="rId17" Type="http://schemas.openxmlformats.org/officeDocument/2006/relationships/image" Target="media/image9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8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Tema de Office">
  <a:themeElements>
    <a:clrScheme name="Doc defensorí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85C0FB"/>
      </a:accent1>
      <a:accent2>
        <a:srgbClr val="48A1FA"/>
      </a:accent2>
      <a:accent3>
        <a:srgbClr val="034A90"/>
      </a:accent3>
      <a:accent4>
        <a:srgbClr val="023160"/>
      </a:accent4>
      <a:accent5>
        <a:srgbClr val="FFD965"/>
      </a:accent5>
      <a:accent6>
        <a:srgbClr val="BF9000"/>
      </a:accent6>
      <a:hlink>
        <a:srgbClr val="00B0F0"/>
      </a:hlink>
      <a:folHlink>
        <a:srgbClr val="7030A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5A12D2-0262-41C7-B4E2-71F5FF88C2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2</Pages>
  <Words>54</Words>
  <Characters>357</Characters>
  <Application>Microsoft Office Word</Application>
  <DocSecurity>0</DocSecurity>
  <Lines>14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Barreto</dc:creator>
  <cp:keywords/>
  <dc:description/>
  <cp:lastModifiedBy>Andrés Barreto</cp:lastModifiedBy>
  <cp:revision>35</cp:revision>
  <dcterms:created xsi:type="dcterms:W3CDTF">2025-02-12T20:21:00Z</dcterms:created>
  <dcterms:modified xsi:type="dcterms:W3CDTF">2025-12-23T20:51:00Z</dcterms:modified>
</cp:coreProperties>
</file>