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Defensoría del Pueblo</w:t>
        <w:br/>
        <w:t>Dirección Nacional de Defensoría Pública (DNDP)</w:t>
        <w:br/>
        <w:t>Grupo de Transformación Digital</w:t>
      </w:r>
    </w:p>
    <w:p>
      <w:pPr>
        <w:jc w:val="center"/>
      </w:pPr>
      <w:r>
        <w:rPr>
          <w:b/>
          <w:sz w:val="36"/>
        </w:rPr>
        <w:t>Manual técnico Aurora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Campo</w:t>
            </w:r>
          </w:p>
        </w:tc>
        <w:tc>
          <w:tcPr>
            <w:tcW w:type="dxa" w:w="4419"/>
          </w:tcPr>
          <w:p>
            <w:r>
              <w:t>Valor</w:t>
            </w:r>
          </w:p>
        </w:tc>
      </w:tr>
      <w:tr>
        <w:tc>
          <w:tcPr>
            <w:tcW w:type="dxa" w:w="4419"/>
          </w:tcPr>
          <w:p>
            <w:r>
              <w:t>Proyecto</w:t>
            </w:r>
          </w:p>
        </w:tc>
        <w:tc>
          <w:tcPr>
            <w:tcW w:type="dxa" w:w="4419"/>
          </w:tcPr>
          <w:p>
            <w:r>
              <w:t>Aurora</w:t>
            </w:r>
          </w:p>
        </w:tc>
      </w:tr>
      <w:tr>
        <w:tc>
          <w:tcPr>
            <w:tcW w:type="dxa" w:w="4419"/>
          </w:tcPr>
          <w:p>
            <w:r>
              <w:t>Fecha</w:t>
            </w:r>
          </w:p>
        </w:tc>
        <w:tc>
          <w:tcPr>
            <w:tcW w:type="dxa" w:w="4419"/>
          </w:tcPr>
          <w:p>
            <w:r>
              <w:t>2026-05-28</w:t>
            </w:r>
          </w:p>
        </w:tc>
      </w:tr>
      <w:tr>
        <w:tc>
          <w:tcPr>
            <w:tcW w:type="dxa" w:w="4419"/>
          </w:tcPr>
          <w:p>
            <w:r>
              <w:t>Versión documental</w:t>
            </w:r>
          </w:p>
        </w:tc>
        <w:tc>
          <w:tcPr>
            <w:tcW w:type="dxa" w:w="4419"/>
          </w:tcPr>
          <w:p>
            <w:r>
              <w:t>1.1</w:t>
            </w:r>
          </w:p>
        </w:tc>
      </w:tr>
      <w:tr>
        <w:tc>
          <w:tcPr>
            <w:tcW w:type="dxa" w:w="4419"/>
          </w:tcPr>
          <w:p>
            <w:r>
              <w:t>Responsable</w:t>
            </w:r>
          </w:p>
        </w:tc>
        <w:tc>
          <w:tcPr>
            <w:tcW w:type="dxa" w:w="4419"/>
          </w:tcPr>
          <w:p>
            <w:r>
              <w:t>Dirección Nacional de Defensoría Pública (DNDP) - Grupo de Transformación Digital</w:t>
            </w:r>
          </w:p>
        </w:tc>
      </w:tr>
    </w:tbl>
    <w:p>
      <w:r>
        <w:br w:type="page"/>
      </w:r>
    </w:p>
    <w:p>
      <w:pPr>
        <w:pStyle w:val="Ttulo1"/>
      </w:pPr>
      <w:r>
        <w:t>Control de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Versión</w:t>
            </w:r>
          </w:p>
        </w:tc>
        <w:tc>
          <w:tcPr>
            <w:tcW w:type="dxa" w:w="1768"/>
          </w:tcPr>
          <w:p>
            <w:r>
              <w:t>Fecha</w:t>
            </w:r>
          </w:p>
        </w:tc>
        <w:tc>
          <w:tcPr>
            <w:tcW w:type="dxa" w:w="1768"/>
          </w:tcPr>
          <w:p>
            <w:r>
              <w:t>Responsable</w:t>
            </w:r>
          </w:p>
        </w:tc>
        <w:tc>
          <w:tcPr>
            <w:tcW w:type="dxa" w:w="1768"/>
          </w:tcPr>
          <w:p>
            <w:r>
              <w:t>Descripción del cambio</w:t>
            </w:r>
          </w:p>
        </w:tc>
        <w:tc>
          <w:tcPr>
            <w:tcW w:type="dxa" w:w="1768"/>
          </w:tcPr>
          <w:p>
            <w:r>
              <w:t>Aprobación</w:t>
            </w:r>
          </w:p>
        </w:tc>
      </w:tr>
      <w:tr>
        <w:tc>
          <w:tcPr>
            <w:tcW w:type="dxa" w:w="1768"/>
          </w:tcPr>
          <w:p>
            <w:r>
              <w:t>1.0</w:t>
            </w:r>
          </w:p>
        </w:tc>
        <w:tc>
          <w:tcPr>
            <w:tcW w:type="dxa" w:w="1768"/>
          </w:tcPr>
          <w:p>
            <w:r>
              <w:t>2026-05-19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Versión inicial de entrega técnica.</w:t>
            </w:r>
          </w:p>
        </w:tc>
        <w:tc>
          <w:tcPr>
            <w:tcW w:type="dxa" w:w="1768"/>
          </w:tcPr>
          <w:p>
            <w:r>
              <w:t>Equipo DNDP</w:t>
            </w:r>
          </w:p>
        </w:tc>
      </w:tr>
      <w:tr>
        <w:tc>
          <w:tcPr>
            <w:tcW w:type="dxa" w:w="1768"/>
          </w:tcPr>
          <w:p>
            <w:r>
              <w:t>1.1</w:t>
            </w:r>
          </w:p>
        </w:tc>
        <w:tc>
          <w:tcPr>
            <w:tcW w:type="dxa" w:w="1768"/>
          </w:tcPr>
          <w:p>
            <w:r>
              <w:t>2026-05-28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</w:tcPr>
          <w:p>
            <w:r>
              <w:t>Pendiente aprobación institucional</w:t>
            </w:r>
          </w:p>
        </w:tc>
      </w:tr>
    </w:tbl>
    <w:p>
      <w:r>
        <w:br w:type="page"/>
      </w:r>
    </w:p>
    <w:p>
      <w:pPr>
        <w:pStyle w:val="Ttulo1"/>
      </w:pPr>
      <w:r>
        <w:t>Tabla de contenido</w:t>
      </w:r>
    </w:p>
    <w:p>
      <w:fldSimple w:instr="TOC \o &quot;1-3&quot; \h \z \u">
        <w:r>
          <w:t>Tabla de contenido. Actualice este campo en Word con clic derecho &gt; Actualizar campo.</w:t>
        </w:r>
      </w:fldSimple>
    </w:p>
    <w:p>
      <w:r>
        <w:br w:type="page"/>
      </w:r>
    </w:p>
    <w:p>
      <w:pPr>
        <w:pStyle w:val="Ttulo1"/>
      </w:pPr>
      <w:r>
        <w:t>Objeto</w:t>
      </w:r>
    </w:p>
    <w:p>
      <w:r>
        <w:t>Este manual orienta la operación técnica de Aurora en ambientes institucionales, con énfasis en despliegue Docker, autenticación, roles, validaciones y mantenimiento.</w:t>
      </w:r>
    </w:p>
    <w:p>
      <w:pPr>
        <w:pStyle w:val="Ttulo1"/>
      </w:pPr>
      <w:r>
        <w:t>Despliegue recomendado</w:t>
      </w:r>
    </w:p>
    <w:p>
      <w:r>
        <w:t>El despliegue recomendado es Docker Compose. La ejecución directa con Node.js se conserva únicamente como contingencia técnica o diagnóstico cuando Docker no esté disponible.</w:t>
      </w:r>
    </w:p>
    <w:p>
      <w:r>
        <w:rPr>
          <w:rFonts w:ascii="Courier New" w:hAnsi="Courier New"/>
          <w:sz w:val="18"/>
        </w:rPr>
        <w:t>docker compose up --build -d</w:t>
        <w:br/>
        <w:t>docker compose ps</w:t>
        <w:br/>
        <w:t>docker compose logs -f aurora</w:t>
      </w:r>
    </w:p>
    <w:p>
      <w:pPr>
        <w:pStyle w:val="Ttulo1"/>
      </w:pPr>
      <w:r>
        <w:t>Validación de URL y salud</w:t>
      </w:r>
    </w:p>
    <w:p>
      <w:r>
        <w:rPr>
          <w:rFonts w:ascii="Courier New" w:hAnsi="Courier New"/>
          <w:sz w:val="18"/>
        </w:rPr>
        <w:t>curl http://127.0.0.1:7860/api/health</w:t>
        <w:br/>
        <w:t>curl http://127.0.0.1:7860/api/health/db</w:t>
      </w:r>
    </w:p>
    <w:p>
      <w:r>
        <w:t>Para acceso desde usuarios se requiere URL institucional o direccionamiento autorizado. La IP temporal documentada es http://172.31.64.7:7860, sujeta a reglas de red. Para pruebas por túnel SSH se validó http://localhost:8787.</w:t>
      </w:r>
    </w:p>
    <w:p>
      <w:pPr>
        <w:pStyle w:val="Ttulo1"/>
      </w:pPr>
      <w:r>
        <w:t>Autenticación institucional y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Elemento</w:t>
            </w:r>
          </w:p>
        </w:tc>
        <w:tc>
          <w:tcPr>
            <w:tcW w:type="dxa" w:w="4419"/>
          </w:tcPr>
          <w:p>
            <w:r>
              <w:t>Configuración / comportamiento</w:t>
            </w:r>
          </w:p>
        </w:tc>
      </w:tr>
      <w:tr>
        <w:tc>
          <w:tcPr>
            <w:tcW w:type="dxa" w:w="4419"/>
          </w:tcPr>
          <w:p>
            <w:r>
              <w:t>Autenticación institucional</w:t>
            </w:r>
          </w:p>
        </w:tc>
        <w:tc>
          <w:tcPr>
            <w:tcW w:type="dxa" w:w="4419"/>
          </w:tcPr>
          <w:p>
            <w:r>
              <w:t>Microsoft Entra ID / Azure AD mediante App Registration y MSAL.</w:t>
            </w:r>
          </w:p>
        </w:tc>
      </w:tr>
      <w:tr>
        <w:tc>
          <w:tcPr>
            <w:tcW w:type="dxa" w:w="4419"/>
          </w:tcPr>
          <w:p>
            <w:r>
              <w:t>Rol usuario</w:t>
            </w:r>
          </w:p>
        </w:tc>
        <w:tc>
          <w:tcPr>
            <w:tcW w:type="dxa" w:w="4419"/>
          </w:tcPr>
          <w:p>
            <w:r>
              <w:t>Consulta, diligenciamiento de formularios, descarga de formatos y operación ordinaria.</w:t>
            </w:r>
          </w:p>
        </w:tc>
      </w:tr>
      <w:tr>
        <w:tc>
          <w:tcPr>
            <w:tcW w:type="dxa" w:w="4419"/>
          </w:tcPr>
          <w:p>
            <w:r>
              <w:t>Rol admin</w:t>
            </w:r>
          </w:p>
        </w:tc>
        <w:tc>
          <w:tcPr>
            <w:tcW w:type="dxa" w:w="4419"/>
          </w:tcPr>
          <w:p>
            <w:r>
              <w:t>Acceso a módulos administrativos como Cargas mensuales y actividades de soporte.</w:t>
            </w:r>
          </w:p>
        </w:tc>
      </w:tr>
      <w:tr>
        <w:tc>
          <w:tcPr>
            <w:tcW w:type="dxa" w:w="4419"/>
          </w:tcPr>
          <w:p>
            <w:r>
              <w:t>Variables</w:t>
            </w:r>
          </w:p>
        </w:tc>
        <w:tc>
          <w:tcPr>
            <w:tcW w:type="dxa" w:w="4419"/>
          </w:tcPr>
          <w:p>
            <w:r>
              <w:t>AZURE_AD_REQUIRED_APP_ROLES, AZURE_AD_REQUIRED_GROUP_IDS y CARGUEBD_ADMIN_ROLES.</w:t>
            </w:r>
          </w:p>
        </w:tc>
      </w:tr>
      <w:tr>
        <w:tc>
          <w:tcPr>
            <w:tcW w:type="dxa" w:w="4419"/>
          </w:tcPr>
          <w:p>
            <w:r>
              <w:t>Azure DevOps</w:t>
            </w:r>
          </w:p>
        </w:tc>
        <w:tc>
          <w:tcPr>
            <w:tcW w:type="dxa" w:w="4419"/>
          </w:tcPr>
          <w:p>
            <w:r>
              <w:t>Repositorio institucional de código; no administra el ingreso funcional de usuarios finales.</w:t>
            </w:r>
          </w:p>
        </w:tc>
      </w:tr>
    </w:tbl>
    <w:p>
      <w:r>
        <w:t>El rol admin se usa para módulos administrativos. El rol user o usuario se usa para operación funcional regular. La entidad define los nombres exactos de roles o grupos en Microsoft Entra ID y los configura en las variables del despliegue.</w:t>
      </w:r>
    </w:p>
    <w:p>
      <w:pPr>
        <w:pStyle w:val="Ttulo1"/>
      </w:pPr>
      <w:r>
        <w:t>Trazabilidad y auditoría</w:t>
      </w:r>
    </w:p>
    <w:p>
      <w:r>
        <w:t>El sistema conserva identidad y roles en la sesión. El módulo de cargas registra usuario que sube archivos. Para auditoría de edición de formularios en Oracle, se recomienda ampliar el modelo con columnas o tabla de auditoría, ya que el modelo vigente registra principalmente fechas de operación, no usuario modificador por formulario.</w:t>
      </w:r>
    </w:p>
    <w:p>
      <w:pPr>
        <w:pStyle w:val="Ttulo1"/>
      </w:pPr>
      <w:r>
        <w:t>Mantenimiento básico</w:t>
      </w:r>
    </w:p>
    <w:p>
      <w:r>
        <w:t>• Revisar docker compose ps.</w:t>
      </w:r>
    </w:p>
    <w:p>
      <w:r>
        <w:t>• Revisar docker compose logs -f aurora.</w:t>
      </w:r>
    </w:p>
    <w:p>
      <w:r>
        <w:t>• Validar /api/health y /api/health/db.</w:t>
      </w:r>
    </w:p>
    <w:p>
      <w:r>
        <w:t>• Confirmar que .env no esté versionado.</w:t>
      </w:r>
    </w:p>
    <w:p>
      <w:r>
        <w:t>• Confirmar disponibilidad de Oracle y procedimientos ETL.</w:t>
      </w:r>
    </w:p>
    <w:p>
      <w:r>
        <w:t>• Respaldar evidencias de despliegue y pruebas.</w:t>
      </w:r>
    </w:p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componentes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es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componentes de Aurora.</w:t>
      </w:r>
    </w:p>
    <w:p>
      <w:pPr>
        <w:pStyle w:val="Ttulo2"/>
      </w:pPr>
      <w:r>
        <w:t>Diagrama de despliegue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pliegue_aur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despliegue de Aurora.</w:t>
      </w:r>
    </w:p>
    <w:p>
      <w:pPr>
        <w:pStyle w:val="Ttulo2"/>
      </w:pPr>
      <w:r>
        <w:t>Diagrama de autenticación y roles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enticacion_roles_auro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autenticación y roles de Aurora.</w:t>
      </w:r>
    </w:p>
    <w:p>
      <w:pPr>
        <w:pStyle w:val="Ttulo2"/>
      </w:pPr>
      <w:r>
        <w:t>Diagrama de cargas Excel, staging y ETL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gas_excel_staging_etl_aur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cargas Excel, staging y ETL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50456809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439843546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278FF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