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Defensoría del Pueblo</w:t>
        <w:br/>
      </w:r>
      <w:r>
        <w:rPr>
          <w:b/>
          <w:sz w:val="26"/>
        </w:rPr>
        <w:t>Dirección Nacional de Defensoría Pública (DNDP)</w:t>
        <w:br/>
      </w:r>
      <w:r>
        <w:rPr>
          <w:b w:val="0"/>
          <w:sz w:val="22"/>
        </w:rPr>
        <w:t>Grupo de Transformación Digital</w:t>
        <w:br/>
      </w:r>
    </w:p>
    <w:p>
      <w:r>
        <w:br/>
      </w:r>
    </w:p>
    <w:p>
      <w:pPr>
        <w:jc w:val="center"/>
      </w:pPr>
      <w:r>
        <w:rPr>
          <w:b/>
          <w:color w:val="1F4E79"/>
          <w:sz w:val="36"/>
        </w:rPr>
        <w:t>Manual técnico Aurora</w:t>
      </w:r>
    </w:p>
    <w:p>
      <w:pPr>
        <w:jc w:val="center"/>
      </w:pPr>
      <w:r>
        <w:rPr>
          <w:sz w:val="20"/>
        </w:rPr>
        <w:t>Proyecto Aurora</w:t>
        <w:br/>
        <w:t>Fecha: 2026-05-19</w:t>
        <w:br/>
        <w:t>Versión documental: 1.0</w:t>
      </w:r>
    </w:p>
    <w:p>
      <w:r>
        <w:br w:type="page"/>
      </w:r>
    </w:p>
    <w:p>
      <w:r>
        <w:rPr>
          <w:i/>
        </w:rPr>
        <w:t>Documento elaborado para la Defensoría del Pueblo, Dirección Nacional de Defensoría Pública (DNDP), Grupo de Transformación Digital.</w:t>
      </w:r>
    </w:p>
    <w:p/>
    <w:p>
      <w:pPr>
        <w:pStyle w:val="Heading2"/>
      </w:pPr>
      <w:r>
        <w:t>Introducción</w:t>
      </w:r>
    </w:p>
    <w:p>
      <w:pPr>
        <w:spacing w:after="80"/>
      </w:pPr>
      <w:r>
        <w:rPr>
          <w:sz w:val="21"/>
        </w:rPr>
        <w:t>Este manual integra la información técnica básica de Aurora para apoyar instalación, despliegue, mantenimiento y validación. Fue elaborado a partir del repositorio, documentación existente y pruebas registradas.</w:t>
      </w:r>
    </w:p>
    <w:p>
      <w:pPr>
        <w:pStyle w:val="Heading2"/>
      </w:pPr>
      <w:r>
        <w:t>Objetivo del sistema</w:t>
      </w:r>
    </w:p>
    <w:p>
      <w:pPr>
        <w:spacing w:after="80"/>
      </w:pPr>
      <w:r>
        <w:rPr>
          <w:sz w:val="21"/>
        </w:rPr>
        <w:t>Aurora apoya la gestión de atención jurídica de personas privadas de la libertad. Desde el código se observan funciones de consulta, formulario de atención, gestión de actuaciones, asignación de defensores, validación PAG y descarga de formatos.</w:t>
      </w:r>
    </w:p>
    <w:p>
      <w:pPr>
        <w:pStyle w:val="Heading2"/>
      </w:pPr>
      <w:r>
        <w:t>Tecnologías utilizadas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r/>
            <w:r>
              <w:rPr>
                <w:b/>
                <w:color w:val="FFFFFF"/>
                <w:sz w:val="18"/>
              </w:rPr>
              <w:t>Capa</w:t>
            </w:r>
          </w:p>
        </w:tc>
        <w:tc>
          <w:tcPr>
            <w:tcW w:type="dxa" w:w="4896"/>
            <w:vAlign w:val="center"/>
            <w:shd w:fill="1F4E79"/>
          </w:tcPr>
          <w:p>
            <w:r/>
            <w:r>
              <w:rPr>
                <w:b/>
                <w:color w:val="FFFFFF"/>
                <w:sz w:val="18"/>
              </w:rPr>
              <w:t>Tecnología</w:t>
            </w:r>
          </w:p>
        </w:tc>
      </w:tr>
      <w:tr>
        <w:tc>
          <w:tcPr>
            <w:tcW w:type="dxa" w:w="4896"/>
            <w:vAlign w:val="center"/>
          </w:tcPr>
          <w:p>
            <w:r/>
            <w:r>
              <w:rPr>
                <w:b w:val="0"/>
                <w:sz w:val="18"/>
              </w:rPr>
              <w:t>Frontend</w:t>
            </w:r>
          </w:p>
        </w:tc>
        <w:tc>
          <w:tcPr>
            <w:tcW w:type="dxa" w:w="4896"/>
            <w:vAlign w:val="center"/>
          </w:tcPr>
          <w:p>
            <w:r/>
            <w:r>
              <w:rPr>
                <w:b w:val="0"/>
                <w:sz w:val="18"/>
              </w:rPr>
              <w:t>React, Vite, JavaScript/TypeScript, PWA</w:t>
            </w:r>
          </w:p>
        </w:tc>
      </w:tr>
      <w:tr>
        <w:tc>
          <w:tcPr>
            <w:tcW w:type="dxa" w:w="4896"/>
            <w:vAlign w:val="center"/>
          </w:tcPr>
          <w:p>
            <w:r/>
            <w:r>
              <w:rPr>
                <w:b w:val="0"/>
                <w:sz w:val="18"/>
              </w:rPr>
              <w:t>Backend</w:t>
            </w:r>
          </w:p>
        </w:tc>
        <w:tc>
          <w:tcPr>
            <w:tcW w:type="dxa" w:w="4896"/>
            <w:vAlign w:val="center"/>
          </w:tcPr>
          <w:p>
            <w:r/>
            <w:r>
              <w:rPr>
                <w:b w:val="0"/>
                <w:sz w:val="18"/>
              </w:rPr>
              <w:t>Node.js, Express</w:t>
            </w:r>
          </w:p>
        </w:tc>
      </w:tr>
      <w:tr>
        <w:tc>
          <w:tcPr>
            <w:tcW w:type="dxa" w:w="4896"/>
            <w:vAlign w:val="center"/>
          </w:tcPr>
          <w:p>
            <w:r/>
            <w:r>
              <w:rPr>
                <w:b w:val="0"/>
                <w:sz w:val="18"/>
              </w:rPr>
              <w:t>Autenticación</w:t>
            </w:r>
          </w:p>
        </w:tc>
        <w:tc>
          <w:tcPr>
            <w:tcW w:type="dxa" w:w="4896"/>
            <w:vAlign w:val="center"/>
          </w:tcPr>
          <w:p>
            <w:r/>
            <w:r>
              <w:rPr>
                <w:b w:val="0"/>
                <w:sz w:val="18"/>
              </w:rPr>
              <w:t>JWT, Azure AD opcional</w:t>
            </w:r>
          </w:p>
        </w:tc>
      </w:tr>
      <w:tr>
        <w:tc>
          <w:tcPr>
            <w:tcW w:type="dxa" w:w="4896"/>
            <w:vAlign w:val="center"/>
          </w:tcPr>
          <w:p>
            <w:r/>
            <w:r>
              <w:rPr>
                <w:b w:val="0"/>
                <w:sz w:val="18"/>
              </w:rPr>
              <w:t>Base de datos</w:t>
            </w:r>
          </w:p>
        </w:tc>
        <w:tc>
          <w:tcPr>
            <w:tcW w:type="dxa" w:w="4896"/>
            <w:vAlign w:val="center"/>
          </w:tcPr>
          <w:p>
            <w:r/>
            <w:r>
              <w:rPr>
                <w:b w:val="0"/>
                <w:sz w:val="18"/>
              </w:rPr>
              <w:t>Oracle mediante oracledb</w:t>
            </w:r>
          </w:p>
        </w:tc>
      </w:tr>
      <w:tr>
        <w:tc>
          <w:tcPr>
            <w:tcW w:type="dxa" w:w="4896"/>
            <w:vAlign w:val="center"/>
          </w:tcPr>
          <w:p>
            <w:r/>
            <w:r>
              <w:rPr>
                <w:b w:val="0"/>
                <w:sz w:val="18"/>
              </w:rPr>
              <w:t>Datos complementarios</w:t>
            </w:r>
          </w:p>
        </w:tc>
        <w:tc>
          <w:tcPr>
            <w:tcW w:type="dxa" w:w="4896"/>
            <w:vAlign w:val="center"/>
          </w:tcPr>
          <w:p>
            <w:r/>
            <w:r>
              <w:rPr>
                <w:b w:val="0"/>
                <w:sz w:val="18"/>
              </w:rPr>
              <w:t>CSV y mock de formatos</w:t>
            </w:r>
          </w:p>
        </w:tc>
      </w:tr>
      <w:tr>
        <w:tc>
          <w:tcPr>
            <w:tcW w:type="dxa" w:w="4896"/>
            <w:vAlign w:val="center"/>
          </w:tcPr>
          <w:p>
            <w:r/>
            <w:r>
              <w:rPr>
                <w:b w:val="0"/>
                <w:sz w:val="18"/>
              </w:rPr>
              <w:t>Pruebas</w:t>
            </w:r>
          </w:p>
        </w:tc>
        <w:tc>
          <w:tcPr>
            <w:tcW w:type="dxa" w:w="4896"/>
            <w:vAlign w:val="center"/>
          </w:tcPr>
          <w:p>
            <w:r/>
            <w:r>
              <w:rPr>
                <w:b w:val="0"/>
                <w:sz w:val="18"/>
              </w:rPr>
              <w:t>Vitest, scripts Node</w:t>
            </w:r>
          </w:p>
        </w:tc>
      </w:tr>
      <w:tr>
        <w:tc>
          <w:tcPr>
            <w:tcW w:type="dxa" w:w="4896"/>
            <w:vAlign w:val="center"/>
          </w:tcPr>
          <w:p>
            <w:r/>
            <w:r>
              <w:rPr>
                <w:b w:val="0"/>
                <w:sz w:val="18"/>
              </w:rPr>
              <w:t>Despliegue</w:t>
            </w:r>
          </w:p>
        </w:tc>
        <w:tc>
          <w:tcPr>
            <w:tcW w:type="dxa" w:w="4896"/>
            <w:vAlign w:val="center"/>
          </w:tcPr>
          <w:p>
            <w:r/>
            <w:r>
              <w:rPr>
                <w:b w:val="0"/>
                <w:sz w:val="18"/>
              </w:rPr>
              <w:t>Docker y ejecución tradicional Node</w:t>
            </w:r>
          </w:p>
        </w:tc>
      </w:tr>
    </w:tbl>
    <w:p/>
    <w:p>
      <w:pPr>
        <w:pStyle w:val="Heading2"/>
      </w:pPr>
      <w:r>
        <w:t>Arquitectura general</w:t>
      </w:r>
    </w:p>
    <w:p>
      <w:pPr>
        <w:pStyle w:val="NoSpacing"/>
      </w:pPr>
      <w:r>
        <w:rPr>
          <w:rFonts w:ascii="Courier New" w:hAnsi="Courier New" w:eastAsia="Courier New"/>
          <w:sz w:val="17"/>
        </w:rPr>
        <w:t>Usuario -&gt; Frontend React -&gt; Backend Express /api -&gt; Oracle / CSV / formatos</w:t>
      </w:r>
    </w:p>
    <w:p/>
    <w:p>
      <w:pPr>
        <w:spacing w:after="80"/>
      </w:pPr>
      <w:r>
        <w:rPr>
          <w:sz w:val="21"/>
        </w:rPr>
        <w:t>En producción, el backend puede servir el frontend compilado. El despliegue Docker usa un contenedor único que compila frontend/ y copia dist a backend/public/app.</w:t>
      </w:r>
    </w:p>
    <w:p>
      <w:pPr>
        <w:pStyle w:val="Heading2"/>
      </w:pPr>
      <w:r>
        <w:t>Estructura del proyecto</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r/>
            <w:r>
              <w:rPr>
                <w:b/>
                <w:color w:val="FFFFFF"/>
                <w:sz w:val="18"/>
              </w:rPr>
              <w:t>Ruta</w:t>
            </w:r>
          </w:p>
        </w:tc>
        <w:tc>
          <w:tcPr>
            <w:tcW w:type="dxa" w:w="4896"/>
            <w:vAlign w:val="center"/>
            <w:shd w:fill="1F4E79"/>
          </w:tcPr>
          <w:p>
            <w:r/>
            <w:r>
              <w:rPr>
                <w:b/>
                <w:color w:val="FFFFFF"/>
                <w:sz w:val="18"/>
              </w:rPr>
              <w:t>Uso</w:t>
            </w:r>
          </w:p>
        </w:tc>
      </w:tr>
      <w:tr>
        <w:tc>
          <w:tcPr>
            <w:tcW w:type="dxa" w:w="4896"/>
            <w:vAlign w:val="center"/>
          </w:tcPr>
          <w:p>
            <w:r/>
            <w:r>
              <w:rPr>
                <w:b w:val="0"/>
                <w:sz w:val="18"/>
              </w:rPr>
              <w:t>frontend/</w:t>
            </w:r>
          </w:p>
        </w:tc>
        <w:tc>
          <w:tcPr>
            <w:tcW w:type="dxa" w:w="4896"/>
            <w:vAlign w:val="center"/>
          </w:tcPr>
          <w:p>
            <w:r/>
            <w:r>
              <w:rPr>
                <w:b w:val="0"/>
                <w:sz w:val="18"/>
              </w:rPr>
              <w:t>Interfaz de usuario.</w:t>
            </w:r>
          </w:p>
        </w:tc>
      </w:tr>
      <w:tr>
        <w:tc>
          <w:tcPr>
            <w:tcW w:type="dxa" w:w="4896"/>
            <w:vAlign w:val="center"/>
          </w:tcPr>
          <w:p>
            <w:r/>
            <w:r>
              <w:rPr>
                <w:b w:val="0"/>
                <w:sz w:val="18"/>
              </w:rPr>
              <w:t>backend/</w:t>
            </w:r>
          </w:p>
        </w:tc>
        <w:tc>
          <w:tcPr>
            <w:tcW w:type="dxa" w:w="4896"/>
            <w:vAlign w:val="center"/>
          </w:tcPr>
          <w:p>
            <w:r/>
            <w:r>
              <w:rPr>
                <w:b w:val="0"/>
                <w:sz w:val="18"/>
              </w:rPr>
              <w:t>API y acceso a datos.</w:t>
            </w:r>
          </w:p>
        </w:tc>
      </w:tr>
      <w:tr>
        <w:tc>
          <w:tcPr>
            <w:tcW w:type="dxa" w:w="4896"/>
            <w:vAlign w:val="center"/>
          </w:tcPr>
          <w:p>
            <w:r/>
            <w:r>
              <w:rPr>
                <w:b w:val="0"/>
                <w:sz w:val="18"/>
              </w:rPr>
              <w:t>CargueBD/</w:t>
            </w:r>
          </w:p>
        </w:tc>
        <w:tc>
          <w:tcPr>
            <w:tcW w:type="dxa" w:w="4896"/>
            <w:vAlign w:val="center"/>
          </w:tcPr>
          <w:p>
            <w:r/>
            <w:r>
              <w:rPr>
                <w:b w:val="0"/>
                <w:sz w:val="18"/>
              </w:rPr>
              <w:t>Servicios de carga Excel hacia staging Oracle y ejecución ETL.</w:t>
            </w:r>
          </w:p>
        </w:tc>
      </w:tr>
      <w:tr>
        <w:tc>
          <w:tcPr>
            <w:tcW w:type="dxa" w:w="4896"/>
            <w:vAlign w:val="center"/>
          </w:tcPr>
          <w:p>
            <w:r/>
            <w:r>
              <w:rPr>
                <w:b w:val="0"/>
                <w:sz w:val="18"/>
              </w:rPr>
              <w:t>docs/</w:t>
            </w:r>
          </w:p>
        </w:tc>
        <w:tc>
          <w:tcPr>
            <w:tcW w:type="dxa" w:w="4896"/>
            <w:vAlign w:val="center"/>
          </w:tcPr>
          <w:p>
            <w:r/>
            <w:r>
              <w:rPr>
                <w:b w:val="0"/>
                <w:sz w:val="18"/>
              </w:rPr>
              <w:t>Documentos técnicos previos.</w:t>
            </w:r>
          </w:p>
        </w:tc>
      </w:tr>
      <w:tr>
        <w:tc>
          <w:tcPr>
            <w:tcW w:type="dxa" w:w="4896"/>
            <w:vAlign w:val="center"/>
          </w:tcPr>
          <w:p>
            <w:r/>
            <w:r>
              <w:rPr>
                <w:b w:val="0"/>
                <w:sz w:val="18"/>
              </w:rPr>
              <w:t>BD Documentation/</w:t>
            </w:r>
          </w:p>
        </w:tc>
        <w:tc>
          <w:tcPr>
            <w:tcW w:type="dxa" w:w="4896"/>
            <w:vAlign w:val="center"/>
          </w:tcPr>
          <w:p>
            <w:r/>
            <w:r>
              <w:rPr>
                <w:b w:val="0"/>
                <w:sz w:val="18"/>
              </w:rPr>
              <w:t>Documentos del modelo de datos.</w:t>
            </w:r>
          </w:p>
        </w:tc>
      </w:tr>
      <w:tr>
        <w:tc>
          <w:tcPr>
            <w:tcW w:type="dxa" w:w="4896"/>
            <w:vAlign w:val="center"/>
          </w:tcPr>
          <w:p>
            <w:r/>
            <w:r>
              <w:rPr>
                <w:b w:val="0"/>
                <w:sz w:val="18"/>
              </w:rPr>
              <w:t>DOCUMENTACION_TECNICA_AURORA/</w:t>
            </w:r>
          </w:p>
        </w:tc>
        <w:tc>
          <w:tcPr>
            <w:tcW w:type="dxa" w:w="4896"/>
            <w:vAlign w:val="center"/>
          </w:tcPr>
          <w:p>
            <w:r/>
            <w:r>
              <w:rPr>
                <w:b w:val="0"/>
                <w:sz w:val="18"/>
              </w:rPr>
              <w:t>Documentación técnica generada.</w:t>
            </w:r>
          </w:p>
        </w:tc>
      </w:tr>
      <w:tr>
        <w:tc>
          <w:tcPr>
            <w:tcW w:type="dxa" w:w="4896"/>
            <w:vAlign w:val="center"/>
          </w:tcPr>
          <w:p>
            <w:r/>
            <w:r>
              <w:rPr>
                <w:b w:val="0"/>
                <w:sz w:val="18"/>
              </w:rPr>
              <w:t>SET_PRUEBAS_AURORA.md</w:t>
            </w:r>
          </w:p>
        </w:tc>
        <w:tc>
          <w:tcPr>
            <w:tcW w:type="dxa" w:w="4896"/>
            <w:vAlign w:val="center"/>
          </w:tcPr>
          <w:p>
            <w:r/>
            <w:r>
              <w:rPr>
                <w:b w:val="0"/>
                <w:sz w:val="18"/>
              </w:rPr>
              <w:t>Evidencia de revisión y pruebas.</w:t>
            </w:r>
          </w:p>
        </w:tc>
      </w:tr>
    </w:tbl>
    <w:p/>
    <w:p>
      <w:pPr>
        <w:pStyle w:val="Heading2"/>
      </w:pPr>
      <w:r>
        <w:t>Configuración del backend</w:t>
      </w:r>
    </w:p>
    <w:p>
      <w:pPr>
        <w:spacing w:after="80"/>
      </w:pPr>
      <w:r>
        <w:rPr>
          <w:sz w:val="21"/>
        </w:rPr>
        <w:t>El backend se inicia desde backend/index.js. Carga variables con dotenv, usando DOTENV_CONFIG_PATH si se define o backend/.env por defecto.</w:t>
      </w:r>
    </w:p>
    <w:p>
      <w:pPr>
        <w:spacing w:after="80"/>
      </w:pPr>
      <w:r>
        <w:rPr>
          <w:sz w:val="21"/>
        </w:rPr>
        <w:t>Funciones principales:</w:t>
      </w:r>
    </w:p>
    <w:p>
      <w:pPr>
        <w:pStyle w:val="ListBullet"/>
      </w:pPr>
      <w:r>
        <w:t>Configuración de Helmet.</w:t>
      </w:r>
    </w:p>
    <w:p>
      <w:pPr>
        <w:pStyle w:val="ListBullet"/>
      </w:pPr>
      <w:r>
        <w:t>Configuración de CORS.</w:t>
      </w:r>
    </w:p>
    <w:p>
      <w:pPr>
        <w:pStyle w:val="ListBullet"/>
      </w:pPr>
      <w:r>
        <w:t>Límite JSON de 256kb.</w:t>
      </w:r>
    </w:p>
    <w:p>
      <w:pPr>
        <w:pStyle w:val="ListBullet"/>
      </w:pPr>
      <w:r>
        <w:t>Rutas públicas de salud y autenticación.</w:t>
      </w:r>
    </w:p>
    <w:p>
      <w:pPr>
        <w:pStyle w:val="ListBullet"/>
      </w:pPr>
      <w:r>
        <w:t>Rutas protegidas de negocio.</w:t>
      </w:r>
    </w:p>
    <w:p>
      <w:pPr>
        <w:pStyle w:val="ListBullet"/>
      </w:pPr>
      <w:r>
        <w:t>Rutas administrativas para carga mensual de archivos Excel a staging/ETL.</w:t>
      </w:r>
    </w:p>
    <w:p>
      <w:pPr>
        <w:pStyle w:val="ListBullet"/>
      </w:pPr>
      <w:r>
        <w:t>Servicio estático de frontend compilado.</w:t>
      </w:r>
    </w:p>
    <w:p>
      <w:pPr>
        <w:pStyle w:val="ListBullet"/>
      </w:pPr>
      <w:r>
        <w:t>Cierre ordenado del pool Oracle.</w:t>
      </w:r>
    </w:p>
    <w:p>
      <w:pPr>
        <w:pStyle w:val="Heading2"/>
      </w:pPr>
      <w:r>
        <w:t>Configuración del frontend</w:t>
      </w:r>
    </w:p>
    <w:p>
      <w:pPr>
        <w:spacing w:after="80"/>
      </w:pPr>
      <w:r>
        <w:rPr>
          <w:sz w:val="21"/>
        </w:rPr>
        <w:t>El frontend está en frontend/ y se compila con Vite.</w:t>
      </w:r>
    </w:p>
    <w:p>
      <w:pPr>
        <w:spacing w:after="80"/>
      </w:pPr>
      <w:r>
        <w:rPr>
          <w:sz w:val="21"/>
        </w:rPr>
        <w:t>Variables relevantes:</w:t>
      </w:r>
    </w:p>
    <w:p>
      <w:pPr>
        <w:pStyle w:val="ListBullet"/>
      </w:pPr>
      <w:r>
        <w:t>VITE_API_BASE_URL</w:t>
      </w:r>
    </w:p>
    <w:p>
      <w:pPr>
        <w:pStyle w:val="ListBullet"/>
      </w:pPr>
      <w:r>
        <w:t>VITE_DEV_API_TARGET</w:t>
      </w:r>
    </w:p>
    <w:p>
      <w:pPr>
        <w:pStyle w:val="ListBullet"/>
      </w:pPr>
      <w:r>
        <w:t>VITE_DEV_PORT</w:t>
      </w:r>
    </w:p>
    <w:p>
      <w:pPr>
        <w:spacing w:after="80"/>
      </w:pPr>
      <w:r>
        <w:rPr>
          <w:sz w:val="21"/>
        </w:rPr>
        <w:t>En desarrollo, Vite usa proxy para /api y /downloads. En producción con el backend como servidor único, se recomienda VITE_API_BASE_URL=/api.</w:t>
      </w:r>
    </w:p>
    <w:p>
      <w:pPr>
        <w:pStyle w:val="Heading3"/>
      </w:pPr>
      <w:r>
        <w:t>Estados e historial de actuaciones</w:t>
      </w:r>
    </w:p>
    <w:p>
      <w:pPr>
        <w:pStyle w:val="ListBullet"/>
      </w:pPr>
      <w:r>
        <w:t>frontend/src/config/estadoActuaciones.rules.ts es el punto común para derivar etiquetas de estado.</w:t>
      </w:r>
    </w:p>
    <w:p>
      <w:pPr>
        <w:pStyle w:val="ListBullet"/>
      </w:pPr>
      <w:r>
        <w:t>FormularioAtencion.jsx sincroniza Estado del trámite y Estado del caso al guardar.</w:t>
      </w:r>
    </w:p>
    <w:p>
      <w:pPr>
        <w:pStyle w:val="ListBullet"/>
      </w:pPr>
      <w:r>
        <w:t>HistorialActuacionesPPL.jsx recalcula la fila activa con el registro vivo del formulario.</w:t>
      </w:r>
    </w:p>
    <w:p>
      <w:pPr>
        <w:pStyle w:val="ListBullet"/>
      </w:pPr>
      <w:r>
        <w:t>AsignacionDefensores.jsx usa el mismo derivador para Acción a impulsar.</w:t>
      </w:r>
    </w:p>
    <w:p>
      <w:pPr>
        <w:pStyle w:val="Heading3"/>
      </w:pPr>
      <w:r>
        <w:t>PWA y operación offline</w:t>
      </w:r>
    </w:p>
    <w:p>
      <w:pPr>
        <w:spacing w:after="80"/>
      </w:pPr>
      <w:r>
        <w:rPr>
          <w:sz w:val="21"/>
        </w:rPr>
        <w:t>Aurora incluye manifest y service worker de producción. El build de frontend ejecuta frontend/scripts/inject-pwa-assets.mjs para precachear los assets hash generados por Vite en dist/assets.</w:t>
      </w:r>
    </w:p>
    <w:p>
      <w:pPr>
        <w:spacing w:after="80"/>
      </w:pPr>
      <w:r>
        <w:rPr>
          <w:sz w:val="21"/>
        </w:rPr>
        <w:t>El service worker cachea el shell de la aplicación y excluye las consultas /api para evitar datos de negocio obsoletos. Las escrituras críticas se pueden guardar en una cola IndexedDB acotada y reintentar con Background Sync o cuando el navegador emite online.</w:t>
      </w:r>
    </w:p>
    <w:p>
      <w:pPr>
        <w:spacing w:after="80"/>
      </w:pPr>
      <w:r>
        <w:rPr>
          <w:sz w:val="21"/>
        </w:rPr>
        <w:t>Escrituras cubiertas: PUT /api/ppl/:documento, POST /api/ppl/:documento/actuaciones, POST /api/ppl/asignar-defensor y POST /api/defensores.</w:t>
      </w:r>
    </w:p>
    <w:p>
      <w:pPr>
        <w:pStyle w:val="Heading2"/>
      </w:pPr>
      <w:r>
        <w:t>Configuración de base de datos</w:t>
      </w:r>
    </w:p>
    <w:p>
      <w:pPr>
        <w:spacing w:after="80"/>
      </w:pPr>
      <w:r>
        <w:rPr>
          <w:sz w:val="21"/>
        </w:rPr>
        <w:t>La conexión Oracle se configura en backend/config/oracle.js y backend/db/oraclePool.js.</w:t>
      </w:r>
    </w:p>
    <w:p>
      <w:pPr>
        <w:spacing w:after="80"/>
      </w:pPr>
      <w:r>
        <w:rPr>
          <w:sz w:val="21"/>
        </w:rPr>
        <w:t>Variables requeridas:</w:t>
      </w:r>
    </w:p>
    <w:p>
      <w:pPr>
        <w:pStyle w:val="ListBullet"/>
      </w:pPr>
      <w:r>
        <w:t>ORACLE_USER</w:t>
      </w:r>
    </w:p>
    <w:p>
      <w:pPr>
        <w:pStyle w:val="ListBullet"/>
      </w:pPr>
      <w:r>
        <w:t>ORACLE_PASSWORD</w:t>
      </w:r>
    </w:p>
    <w:p>
      <w:pPr>
        <w:pStyle w:val="ListBullet"/>
      </w:pPr>
      <w:r>
        <w:t>ORACLE_HOST</w:t>
      </w:r>
    </w:p>
    <w:p>
      <w:pPr>
        <w:pStyle w:val="ListBullet"/>
      </w:pPr>
      <w:r>
        <w:t>ORACLE_PORT</w:t>
      </w:r>
    </w:p>
    <w:p>
      <w:pPr>
        <w:pStyle w:val="ListBullet"/>
      </w:pPr>
      <w:r>
        <w:t>ORACLE_SERVICE_NAME</w:t>
      </w:r>
    </w:p>
    <w:p>
      <w:pPr>
        <w:pStyle w:val="ListBullet"/>
      </w:pPr>
      <w:r>
        <w:t>ORACLE_SCHEMA</w:t>
      </w:r>
    </w:p>
    <w:p>
      <w:pPr>
        <w:spacing w:after="80"/>
      </w:pPr>
      <w:r>
        <w:rPr>
          <w:sz w:val="21"/>
        </w:rPr>
        <w:t>El backend reemplaza referencias DNDP. por el esquema configurado en ORACLE_SCHEMA. Si no se define, usa ORACLE_USER.</w:t>
      </w:r>
    </w:p>
    <w:p>
      <w:pPr>
        <w:pStyle w:val="Heading3"/>
      </w:pPr>
      <w:r>
        <w:t>Cargas mensuales staging/ETL</w:t>
      </w:r>
    </w:p>
    <w:p>
      <w:pPr>
        <w:spacing w:after="80"/>
      </w:pPr>
      <w:r>
        <w:rPr>
          <w:sz w:val="21"/>
        </w:rPr>
        <w:t>Aurora incorpora una vista administrativa Cargas mensuales para subir archivos Excel de PONAL, SISIPEC y Aurora 1.0, cargarlos a tablas staging y ejecutar los procedimientos ETL de Oracle.</w:t>
      </w:r>
    </w:p>
    <w:p>
      <w:pPr>
        <w:spacing w:after="80"/>
      </w:pPr>
      <w:r>
        <w:rPr>
          <w:sz w:val="21"/>
        </w:rPr>
        <w:t>Componentes:</w:t>
      </w:r>
    </w:p>
    <w:p>
      <w:pPr>
        <w:pStyle w:val="ListBullet"/>
      </w:pPr>
      <w:r>
        <w:t>frontend/src/pages/AdminCargasBD.jsx: UI de carga, historial, log y reintento.</w:t>
      </w:r>
    </w:p>
    <w:p>
      <w:pPr>
        <w:pStyle w:val="ListBullet"/>
      </w:pPr>
      <w:r>
        <w:t>backend/routes/adminCargas.js: endpoints /api/admin/cargas.</w:t>
      </w:r>
    </w:p>
    <w:p>
      <w:pPr>
        <w:pStyle w:val="ListBullet"/>
      </w:pPr>
      <w:r>
        <w:t>backend/services/cargaBdService.js: almacenamiento, registro y ejecución en segundo plano.</w:t>
      </w:r>
    </w:p>
    <w:p>
      <w:pPr>
        <w:pStyle w:val="ListBullet"/>
      </w:pPr>
      <w:r>
        <w:t>CargueBD/loader_service.py: lectura de Excel, validación, carga Oracle y llamada a procedimiento ETL.</w:t>
      </w:r>
    </w:p>
    <w:p>
      <w:pPr>
        <w:spacing w:after="80"/>
      </w:pPr>
      <w:r>
        <w:rPr>
          <w:sz w:val="21"/>
        </w:rPr>
        <w:t>Variables relevantes: AURORA_CARGAS_DIR, CARGUEBD_ADMIN_ROLES, CARGUEBD_PYTHON, CARGUEBD_AURORA10_ENABLED, CARGUEBD_SISIPEC_PROCEDURE, CARGUEBD_SKIP_ETL y CARGUEBD_MAX_FILE_MB.</w:t>
      </w:r>
    </w:p>
    <w:p>
      <w:pPr>
        <w:pStyle w:val="Heading2"/>
      </w:pPr>
      <w:r>
        <w:t>Variables de entorno</w:t>
      </w:r>
    </w:p>
    <w:p>
      <w:pPr>
        <w:spacing w:after="80"/>
      </w:pPr>
      <w:r>
        <w:rPr>
          <w:sz w:val="21"/>
        </w:rPr>
        <w:t>Mantener las variables reales fuera del repositorio. Usar .env.example o backend/.env.example como plantilla.</w:t>
      </w:r>
    </w:p>
    <w:p>
      <w:pPr>
        <w:spacing w:after="80"/>
      </w:pPr>
      <w:r>
        <w:rPr>
          <w:sz w:val="21"/>
        </w:rPr>
        <w:t>No incluir en documentación:</w:t>
      </w:r>
    </w:p>
    <w:p>
      <w:pPr>
        <w:pStyle w:val="ListBullet"/>
      </w:pPr>
      <w:r>
        <w:t>Contraseñas.</w:t>
      </w:r>
    </w:p>
    <w:p>
      <w:pPr>
        <w:pStyle w:val="ListBullet"/>
      </w:pPr>
      <w:r>
        <w:t>Tokens.</w:t>
      </w:r>
    </w:p>
    <w:p>
      <w:pPr>
        <w:pStyle w:val="ListBullet"/>
      </w:pPr>
      <w:r>
        <w:t>Cadenas completas de conexión.</w:t>
      </w:r>
    </w:p>
    <w:p>
      <w:pPr>
        <w:pStyle w:val="ListBullet"/>
      </w:pPr>
      <w:r>
        <w:t>Hosts sensibles si la política interna lo restringe.</w:t>
      </w:r>
    </w:p>
    <w:p>
      <w:pPr>
        <w:pStyle w:val="Heading2"/>
      </w:pPr>
      <w:r>
        <w:t>Ejecución local</w:t>
      </w:r>
    </w:p>
    <w:p>
      <w:pPr>
        <w:spacing w:after="80"/>
      </w:pPr>
      <w:r>
        <w:rPr>
          <w:sz w:val="21"/>
        </w:rPr>
        <w:t>Instalar dependencias:</w:t>
      </w:r>
    </w:p>
    <w:p>
      <w:pPr>
        <w:pStyle w:val="NoSpacing"/>
      </w:pPr>
      <w:r>
        <w:rPr>
          <w:rFonts w:ascii="Courier New" w:hAnsi="Courier New" w:eastAsia="Courier New"/>
          <w:sz w:val="17"/>
        </w:rPr>
        <w:t>npm install</w:t>
      </w:r>
    </w:p>
    <w:p>
      <w:pPr>
        <w:pStyle w:val="NoSpacing"/>
      </w:pPr>
      <w:r>
        <w:rPr>
          <w:rFonts w:ascii="Courier New" w:hAnsi="Courier New" w:eastAsia="Courier New"/>
          <w:sz w:val="17"/>
        </w:rPr>
        <w:t>npm --prefix backend install</w:t>
      </w:r>
    </w:p>
    <w:p>
      <w:pPr>
        <w:pStyle w:val="NoSpacing"/>
      </w:pPr>
      <w:r>
        <w:rPr>
          <w:rFonts w:ascii="Courier New" w:hAnsi="Courier New" w:eastAsia="Courier New"/>
          <w:sz w:val="17"/>
        </w:rPr>
        <w:t>npm --prefix frontend install</w:t>
      </w:r>
    </w:p>
    <w:p>
      <w:pPr>
        <w:pStyle w:val="NoSpacing"/>
      </w:pPr>
      <w:r>
        <w:rPr>
          <w:rFonts w:ascii="Courier New" w:hAnsi="Courier New" w:eastAsia="Courier New"/>
          <w:sz w:val="17"/>
        </w:rPr>
        <w:t>pip install -r CargueBD/requirements.txt</w:t>
      </w:r>
    </w:p>
    <w:p/>
    <w:p>
      <w:pPr>
        <w:spacing w:after="80"/>
      </w:pPr>
      <w:r>
        <w:rPr>
          <w:sz w:val="21"/>
        </w:rPr>
        <w:t>Backend:</w:t>
      </w:r>
    </w:p>
    <w:p>
      <w:pPr>
        <w:pStyle w:val="NoSpacing"/>
      </w:pPr>
      <w:r>
        <w:rPr>
          <w:rFonts w:ascii="Courier New" w:hAnsi="Courier New" w:eastAsia="Courier New"/>
          <w:sz w:val="17"/>
        </w:rPr>
        <w:t>npm --prefix backend run dev</w:t>
      </w:r>
    </w:p>
    <w:p/>
    <w:p>
      <w:pPr>
        <w:spacing w:after="80"/>
      </w:pPr>
      <w:r>
        <w:rPr>
          <w:sz w:val="21"/>
        </w:rPr>
        <w:t>Frontend:</w:t>
      </w:r>
    </w:p>
    <w:p>
      <w:pPr>
        <w:pStyle w:val="NoSpacing"/>
      </w:pPr>
      <w:r>
        <w:rPr>
          <w:rFonts w:ascii="Courier New" w:hAnsi="Courier New" w:eastAsia="Courier New"/>
          <w:sz w:val="17"/>
        </w:rPr>
        <w:t>npm --prefix frontend run dev</w:t>
      </w:r>
    </w:p>
    <w:p/>
    <w:p>
      <w:pPr>
        <w:pStyle w:val="Heading2"/>
      </w:pPr>
      <w:r>
        <w:t>Despliegue</w:t>
      </w:r>
    </w:p>
    <w:p>
      <w:pPr>
        <w:spacing w:after="80"/>
      </w:pPr>
      <w:r>
        <w:rPr>
          <w:sz w:val="21"/>
        </w:rPr>
        <w:t>Opción tradicional:</w:t>
      </w:r>
    </w:p>
    <w:p>
      <w:pPr>
        <w:pStyle w:val="NoSpacing"/>
      </w:pPr>
      <w:r>
        <w:rPr>
          <w:rFonts w:ascii="Courier New" w:hAnsi="Courier New" w:eastAsia="Courier New"/>
          <w:sz w:val="17"/>
        </w:rPr>
        <w:t>npm --prefix frontend run build</w:t>
      </w:r>
    </w:p>
    <w:p>
      <w:pPr>
        <w:pStyle w:val="NoSpacing"/>
      </w:pPr>
      <w:r>
        <w:rPr>
          <w:rFonts w:ascii="Courier New" w:hAnsi="Courier New" w:eastAsia="Courier New"/>
          <w:sz w:val="17"/>
        </w:rPr>
        <w:t>NODE_ENV=production npm --prefix backend run start:prod</w:t>
      </w:r>
    </w:p>
    <w:p/>
    <w:p>
      <w:pPr>
        <w:spacing w:after="80"/>
      </w:pPr>
      <w:r>
        <w:rPr>
          <w:sz w:val="21"/>
        </w:rPr>
        <w:t>Opción Docker:</w:t>
      </w:r>
    </w:p>
    <w:p>
      <w:pPr>
        <w:pStyle w:val="NoSpacing"/>
      </w:pPr>
      <w:r>
        <w:rPr>
          <w:rFonts w:ascii="Courier New" w:hAnsi="Courier New" w:eastAsia="Courier New"/>
          <w:sz w:val="17"/>
        </w:rPr>
        <w:t>cp .env.example .env</w:t>
      </w:r>
    </w:p>
    <w:p>
      <w:pPr>
        <w:pStyle w:val="NoSpacing"/>
      </w:pPr>
      <w:r>
        <w:rPr>
          <w:rFonts w:ascii="Courier New" w:hAnsi="Courier New" w:eastAsia="Courier New"/>
          <w:sz w:val="17"/>
        </w:rPr>
        <w:t>docker compose up --build -d</w:t>
      </w:r>
    </w:p>
    <w:p/>
    <w:p>
      <w:pPr>
        <w:spacing w:after="80"/>
      </w:pPr>
      <w:r>
        <w:rPr>
          <w:sz w:val="21"/>
        </w:rPr>
        <w:t>No se pudo validar en esta revisión el build Docker real porque Docker no estaba instalado en el ambiente de trabajo.</w:t>
      </w:r>
    </w:p>
    <w:p>
      <w:pPr>
        <w:pStyle w:val="Heading2"/>
      </w:pPr>
      <w:r>
        <w:t>Validaciones posteriores al despliegue</w:t>
      </w:r>
    </w:p>
    <w:p>
      <w:pPr>
        <w:spacing w:after="80"/>
      </w:pPr>
      <w:r>
        <w:rPr>
          <w:sz w:val="21"/>
        </w:rPr>
        <w:t>Validar:</w:t>
      </w:r>
    </w:p>
    <w:p>
      <w:pPr>
        <w:pStyle w:val="NoSpacing"/>
      </w:pPr>
      <w:r>
        <w:rPr>
          <w:rFonts w:ascii="Courier New" w:hAnsi="Courier New" w:eastAsia="Courier New"/>
          <w:sz w:val="17"/>
        </w:rPr>
        <w:t>curl http://localhost:7860/api/health</w:t>
      </w:r>
    </w:p>
    <w:p>
      <w:pPr>
        <w:pStyle w:val="NoSpacing"/>
      </w:pPr>
      <w:r>
        <w:rPr>
          <w:rFonts w:ascii="Courier New" w:hAnsi="Courier New" w:eastAsia="Courier New"/>
          <w:sz w:val="17"/>
        </w:rPr>
        <w:t>curl http://localhost:7860/api/health/db</w:t>
      </w:r>
    </w:p>
    <w:p/>
    <w:p>
      <w:pPr>
        <w:spacing w:after="80"/>
      </w:pPr>
      <w:r>
        <w:rPr>
          <w:sz w:val="21"/>
        </w:rPr>
        <w:t>También se debe validar:</w:t>
      </w:r>
    </w:p>
    <w:p>
      <w:pPr>
        <w:pStyle w:val="ListBullet"/>
      </w:pPr>
      <w:r>
        <w:t>Login.</w:t>
      </w:r>
    </w:p>
    <w:p>
      <w:pPr>
        <w:pStyle w:val="ListBullet"/>
      </w:pPr>
      <w:r>
        <w:t>Consulta de registros.</w:t>
      </w:r>
    </w:p>
    <w:p>
      <w:pPr>
        <w:pStyle w:val="ListBullet"/>
      </w:pPr>
      <w:r>
        <w:t>Filtros.</w:t>
      </w:r>
    </w:p>
    <w:p>
      <w:pPr>
        <w:pStyle w:val="ListBullet"/>
      </w:pPr>
      <w:r>
        <w:t>Formulario de atención.</w:t>
      </w:r>
    </w:p>
    <w:p>
      <w:pPr>
        <w:pStyle w:val="ListBullet"/>
      </w:pPr>
      <w:r>
        <w:t>Descarga de formatos.</w:t>
      </w:r>
    </w:p>
    <w:p>
      <w:pPr>
        <w:pStyle w:val="ListBullet"/>
      </w:pPr>
      <w:r>
        <w:t>Logs sin errores críticos.</w:t>
      </w:r>
    </w:p>
    <w:p>
      <w:pPr>
        <w:pStyle w:val="Heading2"/>
      </w:pPr>
      <w:r>
        <w:t>Pruebas disponibles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r/>
            <w:r>
              <w:rPr>
                <w:b/>
                <w:color w:val="FFFFFF"/>
                <w:sz w:val="18"/>
              </w:rPr>
              <w:t>Alcance</w:t>
            </w:r>
          </w:p>
        </w:tc>
        <w:tc>
          <w:tcPr>
            <w:tcW w:type="dxa" w:w="4896"/>
            <w:vAlign w:val="center"/>
            <w:shd w:fill="1F4E79"/>
          </w:tcPr>
          <w:p>
            <w:r/>
            <w:r>
              <w:rPr>
                <w:b/>
                <w:color w:val="FFFFFF"/>
                <w:sz w:val="18"/>
              </w:rPr>
              <w:t>Comando</w:t>
            </w:r>
          </w:p>
        </w:tc>
      </w:tr>
      <w:tr>
        <w:tc>
          <w:tcPr>
            <w:tcW w:type="dxa" w:w="4896"/>
            <w:vAlign w:val="center"/>
          </w:tcPr>
          <w:p>
            <w:r/>
            <w:r>
              <w:rPr>
                <w:b w:val="0"/>
                <w:sz w:val="18"/>
              </w:rPr>
              <w:t>QA general</w:t>
            </w:r>
          </w:p>
        </w:tc>
        <w:tc>
          <w:tcPr>
            <w:tcW w:type="dxa" w:w="4896"/>
            <w:vAlign w:val="center"/>
          </w:tcPr>
          <w:p>
            <w:r/>
            <w:r>
              <w:rPr>
                <w:b w:val="0"/>
                <w:sz w:val="18"/>
              </w:rPr>
              <w:t>npm run qa:smoke</w:t>
            </w:r>
          </w:p>
        </w:tc>
      </w:tr>
      <w:tr>
        <w:tc>
          <w:tcPr>
            <w:tcW w:type="dxa" w:w="4896"/>
            <w:vAlign w:val="center"/>
          </w:tcPr>
          <w:p>
            <w:r/>
            <w:r>
              <w:rPr>
                <w:b w:val="0"/>
                <w:sz w:val="18"/>
              </w:rPr>
              <w:t>Backend</w:t>
            </w:r>
          </w:p>
        </w:tc>
        <w:tc>
          <w:tcPr>
            <w:tcW w:type="dxa" w:w="4896"/>
            <w:vAlign w:val="center"/>
          </w:tcPr>
          <w:p>
            <w:r/>
            <w:r>
              <w:rPr>
                <w:b w:val="0"/>
                <w:sz w:val="18"/>
              </w:rPr>
              <w:t>npm --prefix backend test</w:t>
            </w:r>
          </w:p>
        </w:tc>
      </w:tr>
      <w:tr>
        <w:tc>
          <w:tcPr>
            <w:tcW w:type="dxa" w:w="4896"/>
            <w:vAlign w:val="center"/>
          </w:tcPr>
          <w:p>
            <w:r/>
            <w:r>
              <w:rPr>
                <w:b w:val="0"/>
                <w:sz w:val="18"/>
              </w:rPr>
              <w:t>Oracle smoke</w:t>
            </w:r>
          </w:p>
        </w:tc>
        <w:tc>
          <w:tcPr>
            <w:tcW w:type="dxa" w:w="4896"/>
            <w:vAlign w:val="center"/>
          </w:tcPr>
          <w:p>
            <w:r/>
            <w:r>
              <w:rPr>
                <w:b w:val="0"/>
                <w:sz w:val="18"/>
              </w:rPr>
              <w:t>npm --prefix backend run smoke:oracle</w:t>
            </w:r>
          </w:p>
        </w:tc>
      </w:tr>
      <w:tr>
        <w:tc>
          <w:tcPr>
            <w:tcW w:type="dxa" w:w="4896"/>
            <w:vAlign w:val="center"/>
          </w:tcPr>
          <w:p>
            <w:r/>
            <w:r>
              <w:rPr>
                <w:b w:val="0"/>
                <w:sz w:val="18"/>
              </w:rPr>
              <w:t>API lectura</w:t>
            </w:r>
          </w:p>
        </w:tc>
        <w:tc>
          <w:tcPr>
            <w:tcW w:type="dxa" w:w="4896"/>
            <w:vAlign w:val="center"/>
          </w:tcPr>
          <w:p>
            <w:r/>
            <w:r>
              <w:rPr>
                <w:b w:val="0"/>
                <w:sz w:val="18"/>
              </w:rPr>
              <w:t>npm --prefix backend run test:api</w:t>
            </w:r>
          </w:p>
        </w:tc>
      </w:tr>
      <w:tr>
        <w:tc>
          <w:tcPr>
            <w:tcW w:type="dxa" w:w="4896"/>
            <w:vAlign w:val="center"/>
          </w:tcPr>
          <w:p>
            <w:r/>
            <w:r>
              <w:rPr>
                <w:b w:val="0"/>
                <w:sz w:val="18"/>
              </w:rPr>
              <w:t>API escritura controlada</w:t>
            </w:r>
          </w:p>
        </w:tc>
        <w:tc>
          <w:tcPr>
            <w:tcW w:type="dxa" w:w="4896"/>
            <w:vAlign w:val="center"/>
          </w:tcPr>
          <w:p>
            <w:r/>
            <w:r>
              <w:rPr>
                <w:b w:val="0"/>
                <w:sz w:val="18"/>
              </w:rPr>
              <w:t>npm --prefix backend run test:api:write</w:t>
            </w:r>
          </w:p>
        </w:tc>
      </w:tr>
      <w:tr>
        <w:tc>
          <w:tcPr>
            <w:tcW w:type="dxa" w:w="4896"/>
            <w:vAlign w:val="center"/>
          </w:tcPr>
          <w:p>
            <w:r/>
            <w:r>
              <w:rPr>
                <w:b w:val="0"/>
                <w:sz w:val="18"/>
              </w:rPr>
              <w:t>Frontend lint</w:t>
            </w:r>
          </w:p>
        </w:tc>
        <w:tc>
          <w:tcPr>
            <w:tcW w:type="dxa" w:w="4896"/>
            <w:vAlign w:val="center"/>
          </w:tcPr>
          <w:p>
            <w:r/>
            <w:r>
              <w:rPr>
                <w:b w:val="0"/>
                <w:sz w:val="18"/>
              </w:rPr>
              <w:t>npm --prefix frontend run lint</w:t>
            </w:r>
          </w:p>
        </w:tc>
      </w:tr>
      <w:tr>
        <w:tc>
          <w:tcPr>
            <w:tcW w:type="dxa" w:w="4896"/>
            <w:vAlign w:val="center"/>
          </w:tcPr>
          <w:p>
            <w:r/>
            <w:r>
              <w:rPr>
                <w:b w:val="0"/>
                <w:sz w:val="18"/>
              </w:rPr>
              <w:t>Frontend tests</w:t>
            </w:r>
          </w:p>
        </w:tc>
        <w:tc>
          <w:tcPr>
            <w:tcW w:type="dxa" w:w="4896"/>
            <w:vAlign w:val="center"/>
          </w:tcPr>
          <w:p>
            <w:r/>
            <w:r>
              <w:rPr>
                <w:b w:val="0"/>
                <w:sz w:val="18"/>
              </w:rPr>
              <w:t>npm --prefix frontend run test</w:t>
            </w:r>
          </w:p>
        </w:tc>
      </w:tr>
      <w:tr>
        <w:tc>
          <w:tcPr>
            <w:tcW w:type="dxa" w:w="4896"/>
            <w:vAlign w:val="center"/>
          </w:tcPr>
          <w:p>
            <w:r/>
            <w:r>
              <w:rPr>
                <w:b w:val="0"/>
                <w:sz w:val="18"/>
              </w:rPr>
              <w:t>PWA</w:t>
            </w:r>
          </w:p>
        </w:tc>
        <w:tc>
          <w:tcPr>
            <w:tcW w:type="dxa" w:w="4896"/>
            <w:vAlign w:val="center"/>
          </w:tcPr>
          <w:p>
            <w:r/>
            <w:r>
              <w:rPr>
                <w:b w:val="0"/>
                <w:sz w:val="18"/>
              </w:rPr>
              <w:t>npm --prefix frontend run test -- pwaConfig.test.ts</w:t>
            </w:r>
          </w:p>
        </w:tc>
      </w:tr>
      <w:tr>
        <w:tc>
          <w:tcPr>
            <w:tcW w:type="dxa" w:w="4896"/>
            <w:vAlign w:val="center"/>
          </w:tcPr>
          <w:p>
            <w:r/>
            <w:r>
              <w:rPr>
                <w:b w:val="0"/>
                <w:sz w:val="18"/>
              </w:rPr>
              <w:t>Reglas de estado</w:t>
            </w:r>
          </w:p>
        </w:tc>
        <w:tc>
          <w:tcPr>
            <w:tcW w:type="dxa" w:w="4896"/>
            <w:vAlign w:val="center"/>
          </w:tcPr>
          <w:p>
            <w:r/>
            <w:r>
              <w:rPr>
                <w:b w:val="0"/>
                <w:sz w:val="18"/>
              </w:rPr>
              <w:t>npm --prefix frontend run test -- estadoActuaciones.rules.test.ts evaluateAuroraRules.test.ts</w:t>
            </w:r>
          </w:p>
        </w:tc>
      </w:tr>
      <w:tr>
        <w:tc>
          <w:tcPr>
            <w:tcW w:type="dxa" w:w="4896"/>
            <w:vAlign w:val="center"/>
          </w:tcPr>
          <w:p>
            <w:r/>
            <w:r>
              <w:rPr>
                <w:b w:val="0"/>
                <w:sz w:val="18"/>
              </w:rPr>
              <w:t>Frontend build</w:t>
            </w:r>
          </w:p>
        </w:tc>
        <w:tc>
          <w:tcPr>
            <w:tcW w:type="dxa" w:w="4896"/>
            <w:vAlign w:val="center"/>
          </w:tcPr>
          <w:p>
            <w:r/>
            <w:r>
              <w:rPr>
                <w:b w:val="0"/>
                <w:sz w:val="18"/>
              </w:rPr>
              <w:t>npm --prefix frontend run build</w:t>
            </w:r>
          </w:p>
        </w:tc>
      </w:tr>
      <w:tr>
        <w:tc>
          <w:tcPr>
            <w:tcW w:type="dxa" w:w="4896"/>
            <w:vAlign w:val="center"/>
          </w:tcPr>
          <w:p>
            <w:r/>
            <w:r>
              <w:rPr>
                <w:b w:val="0"/>
                <w:sz w:val="18"/>
              </w:rPr>
              <w:t>Python cargas</w:t>
            </w:r>
          </w:p>
        </w:tc>
        <w:tc>
          <w:tcPr>
            <w:tcW w:type="dxa" w:w="4896"/>
            <w:vAlign w:val="center"/>
          </w:tcPr>
          <w:p>
            <w:r/>
            <w:r>
              <w:rPr>
                <w:b w:val="0"/>
                <w:sz w:val="18"/>
              </w:rPr>
              <w:t>python -m py_compile CargueBD/*.py</w:t>
            </w:r>
          </w:p>
        </w:tc>
      </w:tr>
    </w:tbl>
    <w:p/>
    <w:p>
      <w:pPr>
        <w:spacing w:after="80"/>
      </w:pPr>
      <w:r>
        <w:rPr>
          <w:sz w:val="21"/>
        </w:rPr>
        <w:t>Las pruebas de escritura deben ejecutarse únicamente contra un esquema temporal distinto a DNDP.</w:t>
      </w:r>
    </w:p>
    <w:p>
      <w:pPr>
        <w:pStyle w:val="Heading2"/>
      </w:pPr>
      <w:r>
        <w:t>Logs y solución de problemas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r/>
            <w:r>
              <w:rPr>
                <w:b/>
                <w:color w:val="FFFFFF"/>
                <w:sz w:val="18"/>
              </w:rPr>
              <w:t>Situación</w:t>
            </w:r>
          </w:p>
        </w:tc>
        <w:tc>
          <w:tcPr>
            <w:tcW w:type="dxa" w:w="4896"/>
            <w:vAlign w:val="center"/>
            <w:shd w:fill="1F4E79"/>
          </w:tcPr>
          <w:p>
            <w:r/>
            <w:r>
              <w:rPr>
                <w:b/>
                <w:color w:val="FFFFFF"/>
                <w:sz w:val="18"/>
              </w:rPr>
              <w:t>Acción sugerida</w:t>
            </w:r>
          </w:p>
        </w:tc>
      </w:tr>
      <w:tr>
        <w:tc>
          <w:tcPr>
            <w:tcW w:type="dxa" w:w="4896"/>
            <w:vAlign w:val="center"/>
          </w:tcPr>
          <w:p>
            <w:r/>
            <w:r>
              <w:rPr>
                <w:b w:val="0"/>
                <w:sz w:val="18"/>
              </w:rPr>
              <w:t>Backend no inicia</w:t>
            </w:r>
          </w:p>
        </w:tc>
        <w:tc>
          <w:tcPr>
            <w:tcW w:type="dxa" w:w="4896"/>
            <w:vAlign w:val="center"/>
          </w:tcPr>
          <w:p>
            <w:r/>
            <w:r>
              <w:rPr>
                <w:b w:val="0"/>
                <w:sz w:val="18"/>
              </w:rPr>
              <w:t>Revisar PORT, variables obligatorias y logs.</w:t>
            </w:r>
          </w:p>
        </w:tc>
      </w:tr>
      <w:tr>
        <w:tc>
          <w:tcPr>
            <w:tcW w:type="dxa" w:w="4896"/>
            <w:vAlign w:val="center"/>
          </w:tcPr>
          <w:p>
            <w:r/>
            <w:r>
              <w:rPr>
                <w:b w:val="0"/>
                <w:sz w:val="18"/>
              </w:rPr>
              <w:t>Oracle no responde</w:t>
            </w:r>
          </w:p>
        </w:tc>
        <w:tc>
          <w:tcPr>
            <w:tcW w:type="dxa" w:w="4896"/>
            <w:vAlign w:val="center"/>
          </w:tcPr>
          <w:p>
            <w:r/>
            <w:r>
              <w:rPr>
                <w:b w:val="0"/>
                <w:sz w:val="18"/>
              </w:rPr>
              <w:t>Revisar red, service name y credenciales.</w:t>
            </w:r>
          </w:p>
        </w:tc>
      </w:tr>
      <w:tr>
        <w:tc>
          <w:tcPr>
            <w:tcW w:type="dxa" w:w="4896"/>
            <w:vAlign w:val="center"/>
          </w:tcPr>
          <w:p>
            <w:r/>
            <w:r>
              <w:rPr>
                <w:b w:val="0"/>
                <w:sz w:val="18"/>
              </w:rPr>
              <w:t>Carga mensual falla</w:t>
            </w:r>
          </w:p>
        </w:tc>
        <w:tc>
          <w:tcPr>
            <w:tcW w:type="dxa" w:w="4896"/>
            <w:vAlign w:val="center"/>
          </w:tcPr>
          <w:p>
            <w:r/>
            <w:r>
              <w:rPr>
                <w:b w:val="0"/>
                <w:sz w:val="18"/>
              </w:rPr>
              <w:t>Revisar log en Cargas mensuales, variables ORACLE_*, dependencias Python y formato del Excel.</w:t>
            </w:r>
          </w:p>
        </w:tc>
      </w:tr>
      <w:tr>
        <w:tc>
          <w:tcPr>
            <w:tcW w:type="dxa" w:w="4896"/>
            <w:vAlign w:val="center"/>
          </w:tcPr>
          <w:p>
            <w:r/>
            <w:r>
              <w:rPr>
                <w:b w:val="0"/>
                <w:sz w:val="18"/>
              </w:rPr>
              <w:t>Login local falla</w:t>
            </w:r>
          </w:p>
        </w:tc>
        <w:tc>
          <w:tcPr>
            <w:tcW w:type="dxa" w:w="4896"/>
            <w:vAlign w:val="center"/>
          </w:tcPr>
          <w:p>
            <w:r/>
            <w:r>
              <w:rPr>
                <w:b w:val="0"/>
                <w:sz w:val="18"/>
              </w:rPr>
              <w:t>Revisar estado de AUTH_LOCAL_ADMIN_ENABLED.</w:t>
            </w:r>
          </w:p>
        </w:tc>
      </w:tr>
      <w:tr>
        <w:tc>
          <w:tcPr>
            <w:tcW w:type="dxa" w:w="4896"/>
            <w:vAlign w:val="center"/>
          </w:tcPr>
          <w:p>
            <w:r/>
            <w:r>
              <w:rPr>
                <w:b w:val="0"/>
                <w:sz w:val="18"/>
              </w:rPr>
              <w:t>Azure AD falla</w:t>
            </w:r>
          </w:p>
        </w:tc>
        <w:tc>
          <w:tcPr>
            <w:tcW w:type="dxa" w:w="4896"/>
            <w:vAlign w:val="center"/>
          </w:tcPr>
          <w:p>
            <w:r/>
            <w:r>
              <w:rPr>
                <w:b w:val="0"/>
                <w:sz w:val="18"/>
              </w:rPr>
              <w:t>Revisar tenant, client ID, grupos y roles.</w:t>
            </w:r>
          </w:p>
        </w:tc>
      </w:tr>
      <w:tr>
        <w:tc>
          <w:tcPr>
            <w:tcW w:type="dxa" w:w="4896"/>
            <w:vAlign w:val="center"/>
          </w:tcPr>
          <w:p>
            <w:r/>
            <w:r>
              <w:rPr>
                <w:b w:val="0"/>
                <w:sz w:val="18"/>
              </w:rPr>
              <w:t>Frontend muestra errores de API</w:t>
            </w:r>
          </w:p>
        </w:tc>
        <w:tc>
          <w:tcPr>
            <w:tcW w:type="dxa" w:w="4896"/>
            <w:vAlign w:val="center"/>
          </w:tcPr>
          <w:p>
            <w:r/>
            <w:r>
              <w:rPr>
                <w:b w:val="0"/>
                <w:sz w:val="18"/>
              </w:rPr>
              <w:t>Revisar VITE_API_BASE_URL, CORS y backend.</w:t>
            </w:r>
          </w:p>
        </w:tc>
      </w:tr>
    </w:tbl>
    <w:p/>
    <w:p>
      <w:pPr>
        <w:pStyle w:val="Heading2"/>
      </w:pPr>
      <w:r>
        <w:t>Mantenimiento básico</w:t>
      </w:r>
    </w:p>
    <w:p>
      <w:pPr>
        <w:pStyle w:val="ListBullet"/>
      </w:pPr>
      <w:r>
        <w:t>Mantener dependencias actualizadas con revisión previa.</w:t>
      </w:r>
    </w:p>
    <w:p>
      <w:pPr>
        <w:pStyle w:val="ListBullet"/>
      </w:pPr>
      <w:r>
        <w:t>Ejecutar pruebas antes de desplegar.</w:t>
      </w:r>
    </w:p>
    <w:p>
      <w:pPr>
        <w:pStyle w:val="ListBullet"/>
      </w:pPr>
      <w:r>
        <w:t>Actualizar documentación cuando cambien rutas o variables.</w:t>
      </w:r>
    </w:p>
    <w:p>
      <w:pPr>
        <w:pStyle w:val="ListBullet"/>
      </w:pPr>
      <w:r>
        <w:t>Revisar periódicamente datos sensibles versionados.</w:t>
      </w:r>
    </w:p>
    <w:p>
      <w:pPr>
        <w:pStyle w:val="ListBullet"/>
      </w:pPr>
      <w:r>
        <w:t>Mantener respaldos de base de datos gestionados por DBA.</w:t>
      </w:r>
    </w:p>
    <w:p>
      <w:pPr>
        <w:pStyle w:val="Heading2"/>
      </w:pPr>
      <w:r>
        <w:t>Recomendaciones técnicas</w:t>
      </w:r>
    </w:p>
    <w:p>
      <w:pPr>
        <w:pStyle w:val="ListBullet"/>
      </w:pPr>
      <w:r>
        <w:t>Usar Docker para despliegues repetibles.</w:t>
      </w:r>
    </w:p>
    <w:p>
      <w:pPr>
        <w:pStyle w:val="ListBullet"/>
      </w:pPr>
      <w:r>
        <w:t>Evitar escrituras de prueba sobre producción.</w:t>
      </w:r>
    </w:p>
    <w:p>
      <w:pPr>
        <w:pStyle w:val="ListBullet"/>
      </w:pPr>
      <w:r>
        <w:t>Configurar Azure AD para acceso institucional.</w:t>
      </w:r>
    </w:p>
    <w:p>
      <w:pPr>
        <w:pStyle w:val="ListBullet"/>
      </w:pPr>
      <w:r>
        <w:t>Registrar evidencias de cada despliegue.</w:t>
      </w:r>
    </w:p>
    <w:p>
      <w:pPr>
        <w:pStyle w:val="ListBullet"/>
      </w:pPr>
      <w:r>
        <w:t>Mantener SET_PRUEBAS_AURORA.md como bitácora de validación.</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Proyecto Aurora - Documentación técnica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Defensoría del Pueblo | DNDP | Grupo de Transformación Digital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5A9B268E75540E428C0EFD9F17F14837" ma:contentTypeVersion="10" ma:contentTypeDescription="Crear nuevo documento." ma:contentTypeScope="" ma:versionID="cfada5e6d6a14f9d57f9c6ae09e134ef">
  <xsd:schema xmlns:xsd="http://www.w3.org/2001/XMLSchema" xmlns:xs="http://www.w3.org/2001/XMLSchema" xmlns:p="http://schemas.microsoft.com/office/2006/metadata/properties" xmlns:ns2="968fcc0b-c21f-467a-8dd7-ab602ae44546" xmlns:ns3="692c2389-cf80-41e6-bd07-6a17a66e9fe4" targetNamespace="http://schemas.microsoft.com/office/2006/metadata/properties" ma:root="true" ma:fieldsID="f31f8d2305e71b8bb47304dcae171527" ns2:_="" ns3:_="">
    <xsd:import namespace="968fcc0b-c21f-467a-8dd7-ab602ae44546"/>
    <xsd:import namespace="692c2389-cf80-41e6-bd07-6a17a66e9f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8fcc0b-c21f-467a-8dd7-ab602ae445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9fb3222b-b4bc-467c-a9aa-28a2e5dbdca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2c2389-cf80-41e6-bd07-6a17a66e9fe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ae47e14-5752-4b63-acd4-c9628a2b6025}" ma:internalName="TaxCatchAll" ma:showField="CatchAllData" ma:web="692c2389-cf80-41e6-bd07-6a17a66e9f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92c2389-cf80-41e6-bd07-6a17a66e9fe4" xsi:nil="true"/>
    <lcf76f155ced4ddcb4097134ff3c332f xmlns="968fcc0b-c21f-467a-8dd7-ab602ae4454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F8E7B4A-2E52-4520-8990-B7829648A2C2}"/>
</file>

<file path=customXml/itemProps3.xml><?xml version="1.0" encoding="utf-8"?>
<ds:datastoreItem xmlns:ds="http://schemas.openxmlformats.org/officeDocument/2006/customXml" ds:itemID="{BB683608-2E81-4FC3-9E0B-74100CB855F2}"/>
</file>

<file path=customXml/itemProps4.xml><?xml version="1.0" encoding="utf-8"?>
<ds:datastoreItem xmlns:ds="http://schemas.openxmlformats.org/officeDocument/2006/customXml" ds:itemID="{5A18D1B8-FCA0-4EF4-A66D-DB06823F135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0x0101005A9B268E75540E428C0EFD9F17F14837</vt:lpwstr>
  </property>
</Properties>
</file>