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Defensoría del Pueblo</w:t>
        <w:br/>
      </w:r>
      <w:r>
        <w:rPr>
          <w:b/>
          <w:sz w:val="26"/>
        </w:rPr>
        <w:t>Dirección Nacional de Defensoría Pública (DNDP)</w:t>
        <w:br/>
      </w:r>
      <w:r>
        <w:rPr>
          <w:b w:val="0"/>
          <w:sz w:val="22"/>
        </w:rPr>
        <w:t>Grupo de Transformación Digital</w:t>
        <w:br/>
      </w:r>
    </w:p>
    <w:p>
      <w:r>
        <w:br/>
      </w:r>
    </w:p>
    <w:p>
      <w:pPr>
        <w:jc w:val="center"/>
      </w:pPr>
      <w:r>
        <w:rPr>
          <w:b/>
          <w:color w:val="1F4E79"/>
          <w:sz w:val="36"/>
        </w:rPr>
        <w:t>Manual de usuario Aurora</w:t>
      </w:r>
    </w:p>
    <w:p>
      <w:pPr>
        <w:jc w:val="center"/>
      </w:pPr>
      <w:r>
        <w:rPr>
          <w:sz w:val="20"/>
        </w:rPr>
        <w:t>Proyecto Aurora</w:t>
        <w:br/>
        <w:t>Fecha: 2026-05-19</w:t>
        <w:br/>
        <w:t>Versión documental: 1.0</w:t>
      </w:r>
    </w:p>
    <w:p>
      <w:r>
        <w:br w:type="page"/>
      </w:r>
    </w:p>
    <w:p>
      <w:r>
        <w:rPr>
          <w:i/>
        </w:rPr>
        <w:t>Documento elaborado para la Defensoría del Pueblo, Dirección Nacional de Defensoría Pública (DNDP), Grupo de Transformación Digital.</w:t>
      </w:r>
    </w:p>
    <w:p/>
    <w:p>
      <w:pPr>
        <w:pStyle w:val="Heading2"/>
      </w:pPr>
      <w:r>
        <w:t>Introducción</w:t>
      </w:r>
    </w:p>
    <w:p>
      <w:pPr>
        <w:spacing w:after="80"/>
      </w:pPr>
      <w:r>
        <w:rPr>
          <w:sz w:val="21"/>
        </w:rPr>
        <w:t>Este manual describe el uso funcional de Aurora a partir de los módulos visibles en el frontend. No reemplaza capacitación institucional ni procedimientos internos.</w:t>
      </w:r>
    </w:p>
    <w:p>
      <w:pPr>
        <w:pStyle w:val="Heading2"/>
      </w:pPr>
      <w:r>
        <w:t>Objetivo del sistema</w:t>
      </w:r>
    </w:p>
    <w:p>
      <w:pPr>
        <w:spacing w:after="80"/>
      </w:pPr>
      <w:r>
        <w:rPr>
          <w:sz w:val="21"/>
        </w:rPr>
        <w:t>Aurora permite apoyar la gestión de atención jurídica de personas privadas de la libertad mediante consulta de registros, formularios de atención, asignación de defensores, seguimiento de actuaciones y acceso a formatos.</w:t>
      </w:r>
    </w:p>
    <w:p>
      <w:pPr>
        <w:pStyle w:val="Heading2"/>
      </w:pPr>
      <w:r>
        <w:t>Perfil de usuarios</w:t>
      </w:r>
    </w:p>
    <w:p>
      <w:pPr>
        <w:spacing w:after="80"/>
      </w:pPr>
      <w:r>
        <w:rPr>
          <w:sz w:val="21"/>
        </w:rPr>
        <w:t>Por la interfaz y textos del login, el sistema está orientado a personal autorizado de la entidad. No se pudo validar en esta revisión el listado real de roles o perfiles institucionales.</w:t>
      </w:r>
    </w:p>
    <w:p>
      <w:pPr>
        <w:pStyle w:val="Heading2"/>
      </w:pPr>
      <w:r>
        <w:t>Ingreso al sistema</w:t>
      </w:r>
    </w:p>
    <w:p>
      <w:pPr>
        <w:jc w:val="center"/>
      </w:pPr>
      <w:r>
        <w:rPr>
          <w:b/>
          <w:i/>
          <w:sz w:val="18"/>
        </w:rPr>
        <w:t>Figura. Pantalla de ingreso al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807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8077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80"/>
      </w:pPr>
      <w:r>
        <w:rPr>
          <w:sz w:val="21"/>
        </w:rPr>
        <w:t>La pantalla de ingreso solicita usuario y contraseña institucional. El código también contempla ingreso con Azure AD si está configurado.</w:t>
      </w:r>
    </w:p>
    <w:p>
      <w:pPr>
        <w:spacing w:after="80"/>
      </w:pPr>
      <w:r>
        <w:rPr>
          <w:sz w:val="21"/>
        </w:rPr>
        <w:t>Pasos generales:</w:t>
      </w:r>
    </w:p>
    <w:p>
      <w:pPr>
        <w:pStyle w:val="ListNumber"/>
      </w:pPr>
      <w:r>
        <w:t>Abrir la URL del sistema.</w:t>
      </w:r>
    </w:p>
    <w:p>
      <w:pPr>
        <w:pStyle w:val="ListNumber"/>
      </w:pPr>
      <w:r>
        <w:t>Ingresar usuario institucional.</w:t>
      </w:r>
    </w:p>
    <w:p>
      <w:pPr>
        <w:pStyle w:val="ListNumber"/>
      </w:pPr>
      <w:r>
        <w:t>Ingresar contraseña.</w:t>
      </w:r>
    </w:p>
    <w:p>
      <w:pPr>
        <w:pStyle w:val="ListNumber"/>
      </w:pPr>
      <w:r>
        <w:t>Seleccionar Iniciar Sesión.</w:t>
      </w:r>
    </w:p>
    <w:p>
      <w:pPr>
        <w:spacing w:after="80"/>
      </w:pPr>
      <w:r>
        <w:rPr>
          <w:sz w:val="21"/>
        </w:rPr>
        <w:t>Si el ingreso no avanza, se debe validar que la cuenta esté activa y autorizada.</w:t>
      </w:r>
    </w:p>
    <w:p>
      <w:pPr>
        <w:pStyle w:val="Heading2"/>
      </w:pPr>
      <w:r>
        <w:t>Módulos principales detectados</w:t>
      </w:r>
    </w:p>
    <w:p>
      <w:pPr>
        <w:jc w:val="center"/>
      </w:pPr>
      <w:r>
        <w:rPr>
          <w:b/>
          <w:i/>
          <w:sz w:val="18"/>
        </w:rPr>
        <w:t>Figura. Pantalla inicial y módulos principales.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4999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49997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489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Inicio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Pantalla de bienvenida.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Formulario de atención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Consulta y gestión de información de una persona.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Usuarios asignados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Listado de registros con filtros.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PAG - Asignación de casos de condenados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Asignación o reasignación de defensores.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Caja de Herramientas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Consulta y descarga de formatos.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Manual Interactivo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Material de apoyo dentro de la aplicación.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Cargas mensuales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Módulo administrativo para subir Excel de PONAL, SISIPEC y Aurora 1.0.</w:t>
            </w:r>
          </w:p>
        </w:tc>
      </w:tr>
    </w:tbl>
    <w:p/>
    <w:p>
      <w:pPr>
        <w:pStyle w:val="Heading2"/>
      </w:pPr>
      <w:r>
        <w:t>Consulta de información</w:t>
      </w:r>
    </w:p>
    <w:p>
      <w:pPr>
        <w:jc w:val="center"/>
      </w:pPr>
      <w:r>
        <w:rPr>
          <w:b/>
          <w:i/>
          <w:sz w:val="18"/>
        </w:rPr>
        <w:t>Figura. Consulta y formulario de atención.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602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60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035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03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667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078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0784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80"/>
      </w:pPr>
      <w:r>
        <w:rPr>
          <w:sz w:val="21"/>
        </w:rPr>
        <w:t>Desde el módulo Formulario de atención se puede consultar un registro por número de documento. Desde Usuarios asignados se observan listados y selección de registros para abrir el formulario.</w:t>
      </w:r>
    </w:p>
    <w:p>
      <w:pPr>
        <w:spacing w:after="80"/>
      </w:pPr>
      <w:r>
        <w:rPr>
          <w:sz w:val="21"/>
        </w:rPr>
        <w:t>No se pudo validar en esta revisión el comportamiento completo de todos los campos del formulario, porque algunas reglas dependen de datos y estados reales.</w:t>
      </w:r>
    </w:p>
    <w:p>
      <w:pPr>
        <w:pStyle w:val="Heading2"/>
      </w:pPr>
      <w:r>
        <w:t>Uso de filtros o búsqueda</w:t>
      </w:r>
    </w:p>
    <w:p>
      <w:pPr>
        <w:spacing w:after="80"/>
      </w:pPr>
      <w:r>
        <w:rPr>
          <w:sz w:val="21"/>
        </w:rPr>
        <w:t>En Usuarios asignados y PAG - Asignación de casos de condenados se identificaron filtros por criterios como:</w:t>
      </w:r>
    </w:p>
    <w:p>
      <w:pPr>
        <w:pStyle w:val="ListBullet"/>
      </w:pPr>
      <w:r>
        <w:t>Documento.</w:t>
      </w:r>
    </w:p>
    <w:p>
      <w:pPr>
        <w:pStyle w:val="ListBullet"/>
      </w:pPr>
      <w:r>
        <w:t>Departamento.</w:t>
      </w:r>
    </w:p>
    <w:p>
      <w:pPr>
        <w:pStyle w:val="ListBullet"/>
      </w:pPr>
      <w:r>
        <w:t>Municipio.</w:t>
      </w:r>
    </w:p>
    <w:p>
      <w:pPr>
        <w:pStyle w:val="ListBullet"/>
      </w:pPr>
      <w:r>
        <w:t>Defensor.</w:t>
      </w:r>
    </w:p>
    <w:p>
      <w:pPr>
        <w:pStyle w:val="ListBullet"/>
      </w:pPr>
      <w:r>
        <w:t>Estado.</w:t>
      </w:r>
    </w:p>
    <w:p>
      <w:pPr>
        <w:spacing w:after="80"/>
      </w:pPr>
      <w:r>
        <w:rPr>
          <w:sz w:val="21"/>
        </w:rPr>
        <w:t>La disponibilidad de opciones depende de los datos entregados por el backend.</w:t>
      </w:r>
    </w:p>
    <w:p>
      <w:pPr>
        <w:pStyle w:val="Heading2"/>
      </w:pPr>
      <w:r>
        <w:t>Visualización de registros</w:t>
      </w:r>
    </w:p>
    <w:p>
      <w:pPr>
        <w:jc w:val="center"/>
      </w:pPr>
      <w:r>
        <w:rPr>
          <w:b/>
          <w:i/>
          <w:sz w:val="18"/>
        </w:rPr>
        <w:t>Figura. Vista de usuarios asignados y registros.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846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846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10926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926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367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367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80"/>
      </w:pPr>
      <w:r>
        <w:rPr>
          <w:sz w:val="21"/>
        </w:rPr>
        <w:t>La vista de registros presenta información como:</w:t>
      </w:r>
    </w:p>
    <w:p>
      <w:pPr>
        <w:pStyle w:val="ListBullet"/>
      </w:pPr>
      <w:r>
        <w:t>Número de identificación.</w:t>
      </w:r>
    </w:p>
    <w:p>
      <w:pPr>
        <w:pStyle w:val="ListBullet"/>
      </w:pPr>
      <w:r>
        <w:t>Nombre.</w:t>
      </w:r>
    </w:p>
    <w:p>
      <w:pPr>
        <w:pStyle w:val="ListBullet"/>
      </w:pPr>
      <w:r>
        <w:t>Lugar de reclusión.</w:t>
      </w:r>
    </w:p>
    <w:p>
      <w:pPr>
        <w:pStyle w:val="ListBullet"/>
      </w:pPr>
      <w:r>
        <w:t>Departamento y municipio.</w:t>
      </w:r>
    </w:p>
    <w:p>
      <w:pPr>
        <w:pStyle w:val="ListBullet"/>
      </w:pPr>
      <w:r>
        <w:t>Situación jurídica.</w:t>
      </w:r>
    </w:p>
    <w:p>
      <w:pPr>
        <w:pStyle w:val="ListBullet"/>
      </w:pPr>
      <w:r>
        <w:t>Defensor asignado.</w:t>
      </w:r>
    </w:p>
    <w:p>
      <w:pPr>
        <w:pStyle w:val="ListBullet"/>
      </w:pPr>
      <w:r>
        <w:t>Acción o estado asociado.</w:t>
      </w:r>
    </w:p>
    <w:p>
      <w:pPr>
        <w:spacing w:after="80"/>
      </w:pPr>
      <w:r>
        <w:rPr>
          <w:sz w:val="21"/>
        </w:rPr>
        <w:t>Al seleccionar un registro, la aplicación puede abrir el formulario de atención asociado.</w:t>
      </w:r>
    </w:p>
    <w:p>
      <w:pPr>
        <w:pStyle w:val="Heading2"/>
      </w:pPr>
      <w:r>
        <w:t>Edición o gestión de información</w:t>
      </w:r>
    </w:p>
    <w:p>
      <w:pPr>
        <w:spacing w:after="80"/>
      </w:pPr>
      <w:r>
        <w:rPr>
          <w:sz w:val="21"/>
        </w:rPr>
        <w:t>El código del frontend y backend contempla actualización de registros mediante PUT /api/ppl/:documento y creación de actuaciones mediante POST /api/ppl/:documento/actuaciones.</w:t>
      </w:r>
    </w:p>
    <w:p>
      <w:pPr>
        <w:spacing w:after="80"/>
      </w:pPr>
      <w:r>
        <w:rPr>
          <w:sz w:val="21"/>
        </w:rPr>
        <w:t>Se recomienda que el usuario diligencie los campos siguiendo las reglas funcionales definidas por la entidad. Si un campo obligatorio falta o una fecha no es válida, la interfaz puede impedir guardar o mostrar un mensaje de error.</w:t>
      </w:r>
    </w:p>
    <w:p>
      <w:pPr>
        <w:pStyle w:val="Heading2"/>
      </w:pPr>
      <w:r>
        <w:t>Asignación de defensores</w:t>
      </w:r>
    </w:p>
    <w:p>
      <w:pPr>
        <w:jc w:val="center"/>
      </w:pPr>
      <w:r>
        <w:rPr>
          <w:b/>
          <w:i/>
          <w:sz w:val="18"/>
        </w:rPr>
        <w:t>Figura. Módulo PAG y asignación de defensores.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4925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492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5267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52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80"/>
      </w:pPr>
      <w:r>
        <w:rPr>
          <w:sz w:val="21"/>
        </w:rPr>
        <w:t>El módulo de asignación permite:</w:t>
      </w:r>
    </w:p>
    <w:p>
      <w:pPr>
        <w:pStyle w:val="ListBullet"/>
      </w:pPr>
      <w:r>
        <w:t>Validar cédula PAG.</w:t>
      </w:r>
    </w:p>
    <w:p>
      <w:pPr>
        <w:pStyle w:val="ListBullet"/>
      </w:pPr>
      <w:r>
        <w:t>Consultar personas condenadas.</w:t>
      </w:r>
    </w:p>
    <w:p>
      <w:pPr>
        <w:pStyle w:val="ListBullet"/>
      </w:pPr>
      <w:r>
        <w:t>Consultar catálogo de defensores.</w:t>
      </w:r>
    </w:p>
    <w:p>
      <w:pPr>
        <w:pStyle w:val="ListBullet"/>
      </w:pPr>
      <w:r>
        <w:t>Asignar o reasignar defensor a uno o varios documentos.</w:t>
      </w:r>
    </w:p>
    <w:p>
      <w:pPr>
        <w:pStyle w:val="ListBullet"/>
      </w:pPr>
      <w:r>
        <w:t>Crear defensor si el flujo lo permite.</w:t>
      </w:r>
    </w:p>
    <w:p>
      <w:pPr>
        <w:spacing w:after="80"/>
      </w:pPr>
      <w:r>
        <w:rPr>
          <w:sz w:val="21"/>
        </w:rPr>
        <w:t>No se pudo validar en esta revisión el procedimiento institucional completo para autorizar asignaciones.</w:t>
      </w:r>
    </w:p>
    <w:p>
      <w:pPr>
        <w:pStyle w:val="Heading2"/>
      </w:pPr>
      <w:r>
        <w:t>Descarga de documentos</w:t>
      </w:r>
    </w:p>
    <w:p>
      <w:pPr>
        <w:jc w:val="center"/>
      </w:pPr>
      <w:r>
        <w:rPr>
          <w:b/>
          <w:i/>
          <w:sz w:val="18"/>
        </w:rPr>
        <w:t>Figura. Caja de herramientas y formatos descargables.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9268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9268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80"/>
      </w:pPr>
      <w:r>
        <w:rPr>
          <w:sz w:val="21"/>
        </w:rPr>
        <w:t>La Caja de Herramientas consulta formatos desde /api/formatos y redirige la descarga mediante /api/formatos/:id/download.</w:t>
      </w:r>
    </w:p>
    <w:p>
      <w:pPr>
        <w:spacing w:after="80"/>
      </w:pPr>
      <w:r>
        <w:rPr>
          <w:sz w:val="21"/>
        </w:rPr>
        <w:t>Formatos detectados en código:</w:t>
      </w:r>
    </w:p>
    <w:p>
      <w:pPr>
        <w:pStyle w:val="ListBullet"/>
      </w:pPr>
      <w:r>
        <w:t>Solicitudes ante INPEC y JEPMS.</w:t>
      </w:r>
    </w:p>
    <w:p>
      <w:pPr>
        <w:pStyle w:val="ListBullet"/>
      </w:pPr>
      <w:r>
        <w:t>Documentos relacionados con libertad condicional, prisión domiciliaria, acumulación jurídica de penas y otros trámites.</w:t>
      </w:r>
    </w:p>
    <w:p>
      <w:pPr>
        <w:pStyle w:val="ListBullet"/>
      </w:pPr>
      <w:r>
        <w:t>Formato de entrevista o pruebas tipo para arraigo.</w:t>
      </w:r>
    </w:p>
    <w:p>
      <w:pPr>
        <w:spacing w:after="80"/>
      </w:pPr>
      <w:r>
        <w:rPr>
          <w:sz w:val="21"/>
        </w:rPr>
        <w:t>La descarga final depende del enlace configurado para cada formato.</w:t>
      </w:r>
    </w:p>
    <w:p>
      <w:pPr>
        <w:pStyle w:val="Heading2"/>
      </w:pPr>
      <w:r>
        <w:t>Cargas mensuales</w:t>
      </w:r>
    </w:p>
    <w:p>
      <w:pPr>
        <w:spacing w:after="80"/>
      </w:pPr>
      <w:r>
        <w:rPr>
          <w:sz w:val="21"/>
        </w:rPr>
        <w:t>El módulo Cargas mensuales solo está disponible para usuarios con rol autorizado. Permite:</w:t>
      </w:r>
    </w:p>
    <w:p>
      <w:pPr>
        <w:pStyle w:val="ListBullet"/>
      </w:pPr>
      <w:r>
        <w:t>Seleccionar la fuente de datos: PONAL, SISIPEC o Aurora 1.0.</w:t>
      </w:r>
    </w:p>
    <w:p>
      <w:pPr>
        <w:pStyle w:val="ListBullet"/>
      </w:pPr>
      <w:r>
        <w:t>Subir un archivo .xlsx.</w:t>
      </w:r>
    </w:p>
    <w:p>
      <w:pPr>
        <w:pStyle w:val="ListBullet"/>
      </w:pPr>
      <w:r>
        <w:t>Iniciar la carga hacia la base de datos.</w:t>
      </w:r>
    </w:p>
    <w:p>
      <w:pPr>
        <w:pStyle w:val="ListBullet"/>
      </w:pPr>
      <w:r>
        <w:t>Consultar el historial de cargas.</w:t>
      </w:r>
    </w:p>
    <w:p>
      <w:pPr>
        <w:pStyle w:val="ListBullet"/>
      </w:pPr>
      <w:r>
        <w:t>Revisar logs técnicos.</w:t>
      </w:r>
    </w:p>
    <w:p>
      <w:pPr>
        <w:pStyle w:val="ListBullet"/>
      </w:pPr>
      <w:r>
        <w:t>Reintentar una carga fallida.</w:t>
      </w:r>
    </w:p>
    <w:p>
      <w:pPr>
        <w:spacing w:after="80"/>
      </w:pPr>
      <w:r>
        <w:rPr>
          <w:sz w:val="21"/>
        </w:rPr>
        <w:t>El usuario debe confirmar que el archivo corresponde a la fuente seleccionada antes de subirlo. Si Aurora 1.0 deja de usarse, esa fuente puede deshabilitarse por configuración y no aparecerá como opción operativa.</w:t>
      </w:r>
    </w:p>
    <w:p>
      <w:pPr>
        <w:pStyle w:val="Heading2"/>
      </w:pPr>
      <w:r>
        <w:t>Mensajes de error comunes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Mensaje o situación</w:t>
            </w:r>
          </w:p>
        </w:tc>
        <w:tc>
          <w:tcPr>
            <w:tcW w:type="dxa" w:w="489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Posible causa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Usuario o contraseña inválidos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Credenciales incorrectas o usuario no autorizado.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Registro no encontrado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Documento no existe o no está disponible para el usuario.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Error consultando PPL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Falla de backend o base de datos.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Error guardando registro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Falla de validación, red o base de datos.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No fue posible validar la cédula del PAG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Cédula no encontrada o error de consulta.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No tiene permisos para administrar cargas de base de datos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El usuario no cuenta con rol autorizado para cargas mensuales.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Solo se permiten archivos .xlsx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Se intentó subir un formato diferente a Excel .xlsx.</w:t>
            </w:r>
          </w:p>
        </w:tc>
      </w:tr>
    </w:tbl>
    <w:p/>
    <w:p>
      <w:pPr>
        <w:pStyle w:val="Heading2"/>
      </w:pPr>
      <w:r>
        <w:t>Buenas prácticas de uso</w:t>
      </w:r>
    </w:p>
    <w:p>
      <w:pPr>
        <w:pStyle w:val="ListBullet"/>
      </w:pPr>
      <w:r>
        <w:t>Usar solo cuentas autorizadas.</w:t>
      </w:r>
    </w:p>
    <w:p>
      <w:pPr>
        <w:pStyle w:val="ListBullet"/>
      </w:pPr>
      <w:r>
        <w:t>Cerrar sesión al terminar.</w:t>
      </w:r>
    </w:p>
    <w:p>
      <w:pPr>
        <w:pStyle w:val="ListBullet"/>
      </w:pPr>
      <w:r>
        <w:t>No compartir capturas con datos personales por canales no autorizados.</w:t>
      </w:r>
    </w:p>
    <w:p>
      <w:pPr>
        <w:pStyle w:val="ListBullet"/>
      </w:pPr>
      <w:r>
        <w:t>Verificar documento y datos antes de guardar.</w:t>
      </w:r>
    </w:p>
    <w:p>
      <w:pPr>
        <w:pStyle w:val="ListBullet"/>
      </w:pPr>
      <w:r>
        <w:t>Reportar errores con fecha, hora, módulo y acción realizada.</w:t>
      </w:r>
    </w:p>
    <w:p>
      <w:pPr>
        <w:pStyle w:val="Heading2"/>
      </w:pPr>
      <w:r>
        <w:t>Preguntas frecuentes básicas</w:t>
      </w:r>
    </w:p>
    <w:p>
      <w:pPr>
        <w:jc w:val="center"/>
      </w:pPr>
      <w:r>
        <w:rPr>
          <w:b/>
          <w:i/>
          <w:sz w:val="18"/>
        </w:rPr>
        <w:t>Figura. Manual interactivo o material de apoyo.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68230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8230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Pregunta</w:t>
            </w:r>
          </w:p>
        </w:tc>
        <w:tc>
          <w:tcPr>
            <w:tcW w:type="dxa" w:w="4896"/>
            <w:vAlign w:val="center"/>
            <w:shd w:fill="1F4E79"/>
          </w:tcPr>
          <w:p>
            <w:r/>
            <w:r>
              <w:rPr>
                <w:b/>
                <w:color w:val="FFFFFF"/>
                <w:sz w:val="18"/>
              </w:rPr>
              <w:t>Respuesta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¿Puedo ingresar sin cuenta autorizada?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No. El sistema es de acceso restringido.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¿Qué hago si no aparece un registro?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Validar el documento y reportar al soporte funcional o técnico.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¿Dónde descargo formatos?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En el módulo Caja de Herramientas.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¿Puedo asignar defensores sin validar PAG?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El flujo observado exige validar la cédula PAG para asignaciones.</w:t>
            </w:r>
          </w:p>
        </w:tc>
      </w:tr>
      <w:tr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¿Qué hago si falla una descarga?</w:t>
            </w:r>
          </w:p>
        </w:tc>
        <w:tc>
          <w:tcPr>
            <w:tcW w:type="dxa" w:w="4896"/>
            <w:vAlign w:val="center"/>
          </w:tcPr>
          <w:p>
            <w:r/>
            <w:r>
              <w:rPr>
                <w:b w:val="0"/>
                <w:sz w:val="18"/>
              </w:rPr>
              <w:t>Reportar el formato, fecha y mensaje observado.</w:t>
            </w:r>
          </w:p>
        </w:tc>
      </w:tr>
    </w:tbl>
    <w:p/>
    <w:p>
      <w:pPr>
        <w:pStyle w:val="Heading2"/>
      </w:pPr>
      <w:r>
        <w:t>Recomendaciones finales</w:t>
      </w:r>
    </w:p>
    <w:p>
      <w:pPr>
        <w:pStyle w:val="ListBullet"/>
      </w:pPr>
      <w:r>
        <w:t>Usar Aurora únicamente para fines institucionales.</w:t>
      </w:r>
    </w:p>
    <w:p>
      <w:pPr>
        <w:pStyle w:val="ListBullet"/>
      </w:pPr>
      <w:r>
        <w:t>Confirmar información antes de guardar cambios.</w:t>
      </w:r>
    </w:p>
    <w:p>
      <w:pPr>
        <w:pStyle w:val="ListBullet"/>
      </w:pPr>
      <w:r>
        <w:t>Solicitar soporte si una acción de edición o asignación no coincide con el procedimiento funcional vigente.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A5A5A"/>
        <w:sz w:val="16"/>
      </w:rPr>
      <w:t>Proyecto Aurora - Documentación técnica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5A5A5A"/>
        <w:sz w:val="16"/>
      </w:rPr>
      <w:t>Defensoría del Pueblo | DNDP | Grupo de Transformación Digital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4E7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customXml" Target="../customXml/item3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fontTable" Target="fontTable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customXml" Target="../customXml/item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customXml" Target="../customXml/item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9B268E75540E428C0EFD9F17F14837" ma:contentTypeVersion="10" ma:contentTypeDescription="Crear nuevo documento." ma:contentTypeScope="" ma:versionID="cfada5e6d6a14f9d57f9c6ae09e134ef">
  <xsd:schema xmlns:xsd="http://www.w3.org/2001/XMLSchema" xmlns:xs="http://www.w3.org/2001/XMLSchema" xmlns:p="http://schemas.microsoft.com/office/2006/metadata/properties" xmlns:ns2="968fcc0b-c21f-467a-8dd7-ab602ae44546" xmlns:ns3="692c2389-cf80-41e6-bd07-6a17a66e9fe4" targetNamespace="http://schemas.microsoft.com/office/2006/metadata/properties" ma:root="true" ma:fieldsID="f31f8d2305e71b8bb47304dcae171527" ns2:_="" ns3:_="">
    <xsd:import namespace="968fcc0b-c21f-467a-8dd7-ab602ae44546"/>
    <xsd:import namespace="692c2389-cf80-41e6-bd07-6a17a66e9fe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68fcc0b-c21f-467a-8dd7-ab602ae4454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9fb3222b-b4bc-467c-a9aa-28a2e5dbdca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2c2389-cf80-41e6-bd07-6a17a66e9fe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ae47e14-5752-4b63-acd4-c9628a2b6025}" ma:internalName="TaxCatchAll" ma:showField="CatchAllData" ma:web="692c2389-cf80-41e6-bd07-6a17a66e9fe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92c2389-cf80-41e6-bd07-6a17a66e9fe4" xsi:nil="true"/>
    <lcf76f155ced4ddcb4097134ff3c332f xmlns="968fcc0b-c21f-467a-8dd7-ab602ae4454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4E6C800-7FED-446D-9DFA-5CED0D0965C1}"/>
</file>

<file path=customXml/itemProps3.xml><?xml version="1.0" encoding="utf-8"?>
<ds:datastoreItem xmlns:ds="http://schemas.openxmlformats.org/officeDocument/2006/customXml" ds:itemID="{A10C5976-E1E0-4542-8D3C-76F04E0CA430}"/>
</file>

<file path=customXml/itemProps4.xml><?xml version="1.0" encoding="utf-8"?>
<ds:datastoreItem xmlns:ds="http://schemas.openxmlformats.org/officeDocument/2006/customXml" ds:itemID="{098D62B9-746D-40F5-94EA-05A29A35990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0x0101005A9B268E75540E428C0EFD9F17F14837</vt:lpwstr>
  </property>
</Properties>
</file>