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Lineamientos de seguridad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Lineamientos de seguridad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establece lineamientos de seguridad para autenticación, autorización, custodia del código, secretos, datos personales y operación de Aurora.</w:t>
      </w:r>
    </w:p>
    <w:p>
      <w:pPr>
        <w:pStyle w:val="Ttulo1"/>
      </w:pPr>
      <w:r>
        <w:t>Autenticación y autorización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Configuración / comportamiento</w:t>
            </w:r>
          </w:p>
        </w:tc>
      </w:tr>
      <w:tr>
        <w:tc>
          <w:tcPr>
            <w:tcW w:type="dxa" w:w="4419"/>
          </w:tcPr>
          <w:p>
            <w:r>
              <w:t>Autenticación institucional</w:t>
            </w:r>
          </w:p>
        </w:tc>
        <w:tc>
          <w:tcPr>
            <w:tcW w:type="dxa" w:w="4419"/>
          </w:tcPr>
          <w:p>
            <w:r>
              <w:t>Microsoft Entra ID / Azure AD mediante App Registration y MSAL.</w:t>
            </w:r>
          </w:p>
        </w:tc>
      </w:tr>
      <w:tr>
        <w:tc>
          <w:tcPr>
            <w:tcW w:type="dxa" w:w="4419"/>
          </w:tcPr>
          <w:p>
            <w:r>
              <w:t>Rol usuario</w:t>
            </w:r>
          </w:p>
        </w:tc>
        <w:tc>
          <w:tcPr>
            <w:tcW w:type="dxa" w:w="4419"/>
          </w:tcPr>
          <w:p>
            <w:r>
              <w:t>Consulta, diligenciamiento de formularios, descarga de formatos y operación ordinaria.</w:t>
            </w:r>
          </w:p>
        </w:tc>
      </w:tr>
      <w:tr>
        <w:tc>
          <w:tcPr>
            <w:tcW w:type="dxa" w:w="4419"/>
          </w:tcPr>
          <w:p>
            <w:r>
              <w:t>Rol admin</w:t>
            </w:r>
          </w:p>
        </w:tc>
        <w:tc>
          <w:tcPr>
            <w:tcW w:type="dxa" w:w="4419"/>
          </w:tcPr>
          <w:p>
            <w:r>
              <w:t>Acceso a módulos administrativos como Cargas mensuales y actividades de soporte.</w:t>
            </w:r>
          </w:p>
        </w:tc>
      </w:tr>
      <w:tr>
        <w:tc>
          <w:tcPr>
            <w:tcW w:type="dxa" w:w="4419"/>
          </w:tcPr>
          <w:p>
            <w:r>
              <w:t>Variables</w:t>
            </w:r>
          </w:p>
        </w:tc>
        <w:tc>
          <w:tcPr>
            <w:tcW w:type="dxa" w:w="4419"/>
          </w:tcPr>
          <w:p>
            <w:r>
              <w:t>AZURE_AD_REQUIRED_APP_ROLES, AZURE_AD_REQUIRED_GROUP_IDS y CARGUEBD_ADMIN_ROLES.</w:t>
            </w:r>
          </w:p>
        </w:tc>
      </w:tr>
      <w:tr>
        <w:tc>
          <w:tcPr>
            <w:tcW w:type="dxa" w:w="4419"/>
          </w:tcPr>
          <w:p>
            <w:r>
              <w:t>Azure DevOps</w:t>
            </w:r>
          </w:p>
        </w:tc>
        <w:tc>
          <w:tcPr>
            <w:tcW w:type="dxa" w:w="4419"/>
          </w:tcPr>
          <w:p>
            <w:r>
              <w:t>Repositorio institucional de código; no administra el ingreso funcional de usuarios finales.</w:t>
            </w:r>
          </w:p>
        </w:tc>
      </w:tr>
    </w:tbl>
    <w:p>
      <w:r>
        <w:t>La entidad define los grupos o roles en Microsoft Entra ID. Azure DevOps se usa para repositorio y control de código; no reemplaza el directorio institucional de autenticación de usuarios finales.</w:t>
      </w:r>
    </w:p>
    <w:p>
      <w:pPr>
        <w:pStyle w:val="Ttulo1"/>
      </w:pPr>
      <w:r>
        <w:t>Custodia de código y secretos</w:t>
      </w:r>
    </w:p>
    <w:p>
      <w:r>
        <w:t>• La versión cero se entrega en SharePoint.</w:t>
      </w:r>
    </w:p>
    <w:p>
      <w:r>
        <w:t>• El repositorio institucional posterior será Azure DevOps.</w:t>
      </w:r>
    </w:p>
    <w:p>
      <w:r>
        <w:t>• No versionar .env ni credenciales.</w:t>
      </w:r>
    </w:p>
    <w:p>
      <w:r>
        <w:t>• No versionar Excel con datos personales.</w:t>
      </w:r>
    </w:p>
    <w:p>
      <w:r>
        <w:t>• Usar cuentas nominales y permisos mínimos necesarios.</w:t>
      </w:r>
    </w:p>
    <w:p>
      <w:pPr>
        <w:pStyle w:val="Ttulo1"/>
      </w:pPr>
      <w:r>
        <w:t>Trazabilidad</w:t>
      </w:r>
    </w:p>
    <w:p>
      <w:r>
        <w:t>La aplicación mantiene identidad y roles de sesión. El módulo de cargas conserva usuario asociado a la carga. La auditoría de edición de formularios requiere definición de campos o tabla de auditoría en Oracle si la entidad exige trazabilidad nominal por registro modificado.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autenticación y roles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4_autenticacion_roles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autenticación y roles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0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9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