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D85" w14:textId="21A2010F" w:rsidR="002D6605" w:rsidRDefault="00AA147C">
      <w:r>
        <w:rPr>
          <w:noProof/>
        </w:rPr>
        <w:drawing>
          <wp:anchor distT="0" distB="0" distL="114300" distR="114300" simplePos="0" relativeHeight="251672576" behindDoc="0" locked="0" layoutInCell="1" allowOverlap="1" wp14:anchorId="4D12F7F9" wp14:editId="1AE2787A">
            <wp:simplePos x="0" y="0"/>
            <wp:positionH relativeFrom="margin">
              <wp:posOffset>4549140</wp:posOffset>
            </wp:positionH>
            <wp:positionV relativeFrom="paragraph">
              <wp:posOffset>0</wp:posOffset>
            </wp:positionV>
            <wp:extent cx="1207770" cy="1630680"/>
            <wp:effectExtent l="0" t="0" r="0" b="7620"/>
            <wp:wrapThrough wrapText="bothSides">
              <wp:wrapPolygon edited="0">
                <wp:start x="9539" y="0"/>
                <wp:lineTo x="2726" y="4037"/>
                <wp:lineTo x="2044" y="5047"/>
                <wp:lineTo x="1363" y="12364"/>
                <wp:lineTo x="1703" y="21449"/>
                <wp:lineTo x="17716" y="21449"/>
                <wp:lineTo x="20101" y="20692"/>
                <wp:lineTo x="19420" y="5299"/>
                <wp:lineTo x="18738" y="4037"/>
                <wp:lineTo x="11924" y="0"/>
                <wp:lineTo x="9539" y="0"/>
              </wp:wrapPolygon>
            </wp:wrapThrough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056687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23">
        <w:rPr>
          <w:noProof/>
        </w:rPr>
        <w:drawing>
          <wp:anchor distT="0" distB="0" distL="114300" distR="114300" simplePos="0" relativeHeight="251671552" behindDoc="0" locked="0" layoutInCell="1" allowOverlap="1" wp14:anchorId="323B4BEB" wp14:editId="6361DF06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72B4D" w14:textId="4FDBB596" w:rsidR="002D6605" w:rsidRDefault="002D6605">
      <w:r w:rsidRPr="00A42FD2">
        <w:rPr>
          <w:noProof/>
        </w:rPr>
        <w:drawing>
          <wp:anchor distT="0" distB="0" distL="114300" distR="114300" simplePos="0" relativeHeight="251661312" behindDoc="1" locked="0" layoutInCell="1" allowOverlap="1" wp14:anchorId="4CE4CDC7" wp14:editId="2024FFC8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4445" r="0" b="0"/>
            <wp:wrapNone/>
            <wp:docPr id="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7D26C0E-FEFE-4CAB-88A3-CA810B7E3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>
                      <a:extLst>
                        <a:ext uri="{FF2B5EF4-FFF2-40B4-BE49-F238E27FC236}">
                          <a16:creationId xmlns:a16="http://schemas.microsoft.com/office/drawing/2014/main" id="{07D26C0E-FEFE-4CAB-88A3-CA810B7E3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23295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78321D15" w14:textId="1EEA67EF" w:rsidR="0005346C" w:rsidRDefault="0005346C"/>
        <w:p w14:paraId="79E7AAFA" w14:textId="3D12A5C2" w:rsidR="0041244A" w:rsidRDefault="0041244A" w:rsidP="00853767">
          <w:pPr>
            <w:rPr>
              <w:noProof/>
            </w:rPr>
          </w:pPr>
        </w:p>
        <w:p w14:paraId="4E26D361" w14:textId="76A66F92" w:rsidR="00B70C97" w:rsidRDefault="00B70C97" w:rsidP="00853767">
          <w:pPr>
            <w:rPr>
              <w:noProof/>
            </w:rPr>
          </w:pPr>
        </w:p>
        <w:p w14:paraId="352674C4" w14:textId="592A7E4B" w:rsidR="00853767" w:rsidRDefault="00557623" w:rsidP="008537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32A821C4" wp14:editId="59105A37">
                    <wp:simplePos x="0" y="0"/>
                    <wp:positionH relativeFrom="column">
                      <wp:posOffset>3619500</wp:posOffset>
                    </wp:positionH>
                    <wp:positionV relativeFrom="paragraph">
                      <wp:posOffset>1295400</wp:posOffset>
                    </wp:positionV>
                    <wp:extent cx="2514600" cy="31432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4C114F" w14:textId="594AD02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  <w:t xml:space="preserve">Bogotá D.C., 28/05/2026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A82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85pt;margin-top:102pt;width:198pt;height:2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" filled="f" stroked="f">
                    <v:textbox>
                      <w:txbxContent>
                        <w:p w14:paraId="734C114F" w14:textId="594AD02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  <w:t xml:space="preserve">Bogotá D.C., 28/05/2026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76A6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957DAE5" wp14:editId="33BDA13F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422"/>
                <wp:effectExtent l="0" t="0" r="0" b="3175"/>
                <wp:wrapTopAndBottom/>
                <wp:docPr id="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ashtag-DEF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0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44D0C55" wp14:editId="4E3BF48A">
                    <wp:simplePos x="0" y="0"/>
                    <wp:positionH relativeFrom="margin">
                      <wp:posOffset>396240</wp:posOffset>
                    </wp:positionH>
                    <wp:positionV relativeFrom="paragraph">
                      <wp:posOffset>3115310</wp:posOffset>
                    </wp:positionV>
                    <wp:extent cx="4819650" cy="923925"/>
                    <wp:effectExtent l="0" t="0" r="0" b="0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19650" cy="923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F1E070" w14:textId="02BD913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 xml:space="preserve">Descripción del código fuente Aurora</w:t>
                                </w:r>
                              </w:p>
                              <w:p w14:paraId="70E69A59" w14:textId="0DA21622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Sistema Aurora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4D0C55" id="_x0000_s1027" type="#_x0000_t202" style="position:absolute;margin-left:31.2pt;margin-top:245.3pt;width:379.5pt;height:72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" filled="f" stroked="f">
                    <v:textbox>
                      <w:txbxContent>
                        <w:p w14:paraId="74F1E070" w14:textId="02BD913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 xml:space="preserve">Descripción del código fuente Aurora</w:t>
                          </w:r>
                        </w:p>
                        <w:p w14:paraId="70E69A59" w14:textId="0DA21622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Sistema Aurora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59F5CB1" wp14:editId="16BA7B0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4796155</wp:posOffset>
                    </wp:positionV>
                    <wp:extent cx="2360930" cy="1404620"/>
                    <wp:effectExtent l="0" t="0" r="0" b="4445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D49B82" w14:textId="5901C5CA" w:rsidR="002D6605" w:rsidRPr="00AA147C" w:rsidRDefault="00A94061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Defensoría del Pueblo</w:t>
                                </w:r>
                              </w:p>
                              <w:p w14:paraId="204E557B" w14:textId="29539B28" w:rsidR="0005346C" w:rsidRPr="00AA147C" w:rsidRDefault="002D6605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DNDP</w:t>
                                </w:r>
                                <w:r w:rsidR="007376A6"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 xml:space="preserve"> </w:t>
                                </w: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Grupo de Transformación Digital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9F5CB1" id="_x0000_s1028" type="#_x0000_t202" style="position:absolute;margin-left:0;margin-top:377.65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nhYcc3gAAAAgBAAAPAAAAAAAA&#10;AAAAAAAAAFgEAABkcnMvZG93bnJldi54bWxQSwUGAAAAAAQABADzAAAAYwUAAAAA&#10;" filled="f" stroked="f">
                    <v:textbox style="mso-fit-shape-to-text:t">
                      <w:txbxContent>
                        <w:p w14:paraId="68D49B82" w14:textId="5901C5CA" w:rsidR="002D6605" w:rsidRPr="00AA147C" w:rsidRDefault="00A94061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Defensoría del Pueblo</w:t>
                          </w:r>
                        </w:p>
                        <w:p w14:paraId="204E557B" w14:textId="29539B28" w:rsidR="0005346C" w:rsidRPr="00AA147C" w:rsidRDefault="002D6605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DNDP</w:t>
                          </w:r>
                          <w:r w:rsidR="007376A6"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 xml:space="preserve"> </w:t>
                          </w: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Grupo de Transformación Digital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5346C">
            <w:br w:type="page"/>
          </w:r>
        </w:p>
      </w:sdtContent>
    </w:sdt>
    <w:p>
      <w:pPr>
        <w:pStyle w:val="Ttulo1"/>
        <w:spacing w:before="0"/>
      </w:pPr>
      <w:r>
        <w:t>Control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Versión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Descripción del cambio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Aprobación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2026-05-19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Versión inicial de entrega técnica.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Equipo DNDP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1.1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2026-05-28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Pendiente aprobación institucional</w:t>
            </w:r>
          </w:p>
        </w:tc>
      </w:tr>
    </w:tbl>
    <w:p/>
    <w:p>
      <w:pPr>
        <w:pStyle w:val="Ttulo1"/>
      </w:pPr>
      <w:r>
        <w:t>Tabla de contenido</w:t>
      </w:r>
    </w:p>
    <w:p>
      <w:pPr>
        <w:spacing w:after="120"/>
      </w:pPr>
      <w:r>
        <w:rPr>
          <w:i/>
          <w:sz w:val="18"/>
        </w:rPr>
        <w:t>Índice generado con la estructura de títulos del documento.</w:t>
      </w:r>
    </w:p>
    <w:p>
      <w:pPr>
        <w:ind w:left="0"/>
        <w:spacing w:after="80"/>
      </w:pPr>
      <w:r>
        <w:rPr>
          <w:b/>
          <w:sz w:val="22"/>
          <w:szCs w:val="22"/>
        </w:rPr>
        <w:t>Objeto</w:t>
      </w:r>
    </w:p>
    <w:p>
      <w:pPr>
        <w:ind w:left="0"/>
        <w:spacing w:after="80"/>
      </w:pPr>
      <w:r>
        <w:rPr>
          <w:b/>
          <w:sz w:val="22"/>
          <w:szCs w:val="22"/>
        </w:rPr>
        <w:t>Ubicación institucional</w:t>
      </w:r>
    </w:p>
    <w:p>
      <w:pPr>
        <w:ind w:left="0"/>
        <w:spacing w:after="80"/>
      </w:pPr>
      <w:r>
        <w:rPr>
          <w:b/>
          <w:sz w:val="22"/>
          <w:szCs w:val="22"/>
        </w:rPr>
        <w:t>Estructura principal</w:t>
      </w:r>
    </w:p>
    <w:p>
      <w:pPr>
        <w:ind w:left="0"/>
        <w:spacing w:after="80"/>
      </w:pPr>
      <w:r>
        <w:rPr>
          <w:b/>
          <w:sz w:val="22"/>
          <w:szCs w:val="22"/>
        </w:rPr>
        <w:t>Autenticación y roles</w:t>
      </w:r>
    </w:p>
    <w:p>
      <w:pPr>
        <w:ind w:left="0"/>
        <w:spacing w:after="80"/>
      </w:pPr>
      <w:r>
        <w:rPr>
          <w:b/>
          <w:sz w:val="22"/>
          <w:szCs w:val="22"/>
        </w:rPr>
        <w:t>Trazabilidad de usuario y auditoría</w:t>
      </w:r>
    </w:p>
    <w:p>
      <w:pPr>
        <w:ind w:left="0"/>
        <w:spacing w:after="80"/>
      </w:pPr>
      <w:r>
        <w:rPr>
          <w:b/>
          <w:sz w:val="22"/>
          <w:szCs w:val="22"/>
        </w:rPr>
        <w:t>Variables relevantes</w:t>
      </w:r>
    </w:p>
    <w:p>
      <w:pPr>
        <w:ind w:left="0"/>
        <w:spacing w:after="80"/>
      </w:pPr>
      <w:r>
        <w:rPr>
          <w:b/>
          <w:sz w:val="22"/>
          <w:szCs w:val="22"/>
        </w:rPr>
        <w:t>Diagramas de apoyo</w:t>
      </w:r>
    </w:p>
    <w:p>
      <w:pPr>
        <w:ind w:left="360"/>
        <w:spacing w:after="80"/>
      </w:pPr>
      <w:r>
        <w:rPr>
          <w:sz w:val="20"/>
          <w:szCs w:val="20"/>
        </w:rPr>
        <w:t>Diagrama de componentes de Aurora</w:t>
      </w:r>
    </w:p>
    <w:p>
      <w:pPr>
        <w:ind w:left="360"/>
        <w:spacing w:after="80"/>
      </w:pPr>
      <w:r>
        <w:rPr>
          <w:sz w:val="20"/>
          <w:szCs w:val="20"/>
        </w:rPr>
        <w:t>Diagrama de autenticación y roles de Aurora</w:t>
      </w:r>
    </w:p>
    <w:p>
      <w:r>
        <w:fldChar w:fldCharType="begin" w:dirty="true"/>
        <w:instrText xml:space="preserve">TOC \o "1-3" \h \z \u</w:instrText>
        <w:fldChar w:fldCharType="separate"/>
        <w:t>Para actualizar números de página: clic derecho sobre este índice y seleccionar Actualizar campo.</w:t>
        <w:fldChar w:fldCharType="end"/>
      </w:r>
    </w:p>
    <w:p>
      <w:r>
        <w:br w:type="page"/>
      </w:r>
    </w:p>
    <w:p>
      <w:pPr>
        <w:pStyle w:val="Ttulo1"/>
      </w:pPr>
      <w:r>
        <w:t>Objeto</w:t>
      </w:r>
    </w:p>
    <w:p>
      <w:r>
        <w:t>Este documento describe la estructura del código fuente consolidado para la versión cero de Aurora y las configuraciones relevantes para despliegue, autenticación, roles y operación.</w:t>
      </w:r>
    </w:p>
    <w:p>
      <w:pPr>
        <w:pStyle w:val="Ttulo1"/>
      </w:pPr>
      <w:r>
        <w:t>Ubicación institucional</w:t>
      </w:r>
    </w:p>
    <w:p>
      <w:r>
        <w:t>La versión cero del código fuente se entrega en SharePoint: Documentos &gt; Aurora &gt; codigo_fuente_Aurora.zip. La entidad podrá usar este archivo como insumo para el repositorio institucional Azure DevOps.</w:t>
      </w:r>
    </w:p>
    <w:p>
      <w:pPr>
        <w:pStyle w:val="Ttulo1"/>
      </w:pPr>
      <w:r>
        <w:t>Estructura principal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Ruta</w:t>
            </w:r>
          </w:p>
        </w:tc>
        <w:tc>
          <w:tcPr>
            <w:tcW w:type="dxa" w:w="4419"/>
          </w:tcPr>
          <w:p>
            <w:r>
              <w:t>Descripción</w:t>
            </w:r>
          </w:p>
        </w:tc>
      </w:tr>
      <w:tr>
        <w:tc>
          <w:tcPr>
            <w:tcW w:type="dxa" w:w="4419"/>
          </w:tcPr>
          <w:p>
            <w:r>
              <w:t>frontend/</w:t>
            </w:r>
          </w:p>
        </w:tc>
        <w:tc>
          <w:tcPr>
            <w:tcW w:type="dxa" w:w="4419"/>
          </w:tcPr>
          <w:p>
            <w:r>
              <w:t>Aplicación de usuario React/Vite.</w:t>
            </w:r>
          </w:p>
        </w:tc>
      </w:tr>
      <w:tr>
        <w:tc>
          <w:tcPr>
            <w:tcW w:type="dxa" w:w="4419"/>
          </w:tcPr>
          <w:p>
            <w:r>
              <w:t>backend/</w:t>
            </w:r>
          </w:p>
        </w:tc>
        <w:tc>
          <w:tcPr>
            <w:tcW w:type="dxa" w:w="4419"/>
          </w:tcPr>
          <w:p>
            <w:r>
              <w:t>API Express, autenticación, rutas funcionales y acceso a Oracle.</w:t>
            </w:r>
          </w:p>
        </w:tc>
      </w:tr>
      <w:tr>
        <w:tc>
          <w:tcPr>
            <w:tcW w:type="dxa" w:w="4419"/>
          </w:tcPr>
          <w:p>
            <w:r>
              <w:t>scripts/cargas_bd/</w:t>
            </w:r>
          </w:p>
        </w:tc>
        <w:tc>
          <w:tcPr>
            <w:tcW w:type="dxa" w:w="4419"/>
          </w:tcPr>
          <w:p>
            <w:r>
              <w:t>Servicios Python para cargas Excel hacia staging y ETL.</w:t>
            </w:r>
          </w:p>
        </w:tc>
      </w:tr>
      <w:tr>
        <w:tc>
          <w:tcPr>
            <w:tcW w:type="dxa" w:w="4419"/>
          </w:tcPr>
          <w:p>
            <w:r>
              <w:t>Dockerfile</w:t>
            </w:r>
          </w:p>
        </w:tc>
        <w:tc>
          <w:tcPr>
            <w:tcW w:type="dxa" w:w="4419"/>
          </w:tcPr>
          <w:p>
            <w:r>
              <w:t>Imagen productiva de un solo servicio.</w:t>
            </w:r>
          </w:p>
        </w:tc>
      </w:tr>
      <w:tr>
        <w:tc>
          <w:tcPr>
            <w:tcW w:type="dxa" w:w="4419"/>
          </w:tcPr>
          <w:p>
            <w:r>
              <w:t>docker-compose.yml</w:t>
            </w:r>
          </w:p>
        </w:tc>
        <w:tc>
          <w:tcPr>
            <w:tcW w:type="dxa" w:w="4419"/>
          </w:tcPr>
          <w:p>
            <w:r>
              <w:t>Orquestación del contenedor Aurora.</w:t>
            </w:r>
          </w:p>
        </w:tc>
      </w:tr>
      <w:tr>
        <w:tc>
          <w:tcPr>
            <w:tcW w:type="dxa" w:w="4419"/>
          </w:tcPr>
          <w:p>
            <w:r>
              <w:t>.env.example</w:t>
            </w:r>
          </w:p>
        </w:tc>
        <w:tc>
          <w:tcPr>
            <w:tcW w:type="dxa" w:w="4419"/>
          </w:tcPr>
          <w:p>
            <w:r>
              <w:t>Plantilla de variables sin secretos.</w:t>
            </w:r>
          </w:p>
        </w:tc>
      </w:tr>
    </w:tbl>
    <w:p>
      <w:pPr>
        <w:pStyle w:val="Ttulo1"/>
      </w:pPr>
      <w:r>
        <w:t>Autenticación y roles</w:t>
      </w:r>
    </w:p>
    <w:p>
      <w:r>
        <w:t>Aurora soporta autenticación institucional mediante Microsoft Entra ID / Azure AD. El backend valida el token, emite una sesión propia de Aurora y conserva en la sesión los roles recibidos.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Elemento</w:t>
            </w:r>
          </w:p>
        </w:tc>
        <w:tc>
          <w:tcPr>
            <w:tcW w:type="dxa" w:w="4419"/>
          </w:tcPr>
          <w:p>
            <w:r>
              <w:t>Configuración / comportamiento</w:t>
            </w:r>
          </w:p>
        </w:tc>
      </w:tr>
      <w:tr>
        <w:tc>
          <w:tcPr>
            <w:tcW w:type="dxa" w:w="4419"/>
          </w:tcPr>
          <w:p>
            <w:r>
              <w:t>Autenticación institucional</w:t>
            </w:r>
          </w:p>
        </w:tc>
        <w:tc>
          <w:tcPr>
            <w:tcW w:type="dxa" w:w="4419"/>
          </w:tcPr>
          <w:p>
            <w:r>
              <w:t>Microsoft Entra ID / Azure AD mediante App Registration y MSAL.</w:t>
            </w:r>
          </w:p>
        </w:tc>
      </w:tr>
      <w:tr>
        <w:tc>
          <w:tcPr>
            <w:tcW w:type="dxa" w:w="4419"/>
          </w:tcPr>
          <w:p>
            <w:r>
              <w:t>Rol usuario</w:t>
            </w:r>
          </w:p>
        </w:tc>
        <w:tc>
          <w:tcPr>
            <w:tcW w:type="dxa" w:w="4419"/>
          </w:tcPr>
          <w:p>
            <w:r>
              <w:t>Consulta, diligenciamiento de formularios, descarga de formatos y operación ordinaria.</w:t>
            </w:r>
          </w:p>
        </w:tc>
      </w:tr>
      <w:tr>
        <w:tc>
          <w:tcPr>
            <w:tcW w:type="dxa" w:w="4419"/>
          </w:tcPr>
          <w:p>
            <w:r>
              <w:t>Rol admin</w:t>
            </w:r>
          </w:p>
        </w:tc>
        <w:tc>
          <w:tcPr>
            <w:tcW w:type="dxa" w:w="4419"/>
          </w:tcPr>
          <w:p>
            <w:r>
              <w:t>Acceso a módulos administrativos como Cargas mensuales y actividades de soporte.</w:t>
            </w:r>
          </w:p>
        </w:tc>
      </w:tr>
      <w:tr>
        <w:tc>
          <w:tcPr>
            <w:tcW w:type="dxa" w:w="4419"/>
          </w:tcPr>
          <w:p>
            <w:r>
              <w:t>Variables</w:t>
            </w:r>
          </w:p>
        </w:tc>
        <w:tc>
          <w:tcPr>
            <w:tcW w:type="dxa" w:w="4419"/>
          </w:tcPr>
          <w:p>
            <w:r>
              <w:t>AZURE_AD_REQUIRED_APP_ROLES, AZURE_AD_REQUIRED_GROUP_IDS y CARGUEBD_ADMIN_ROLES.</w:t>
            </w:r>
          </w:p>
        </w:tc>
      </w:tr>
      <w:tr>
        <w:tc>
          <w:tcPr>
            <w:tcW w:type="dxa" w:w="4419"/>
          </w:tcPr>
          <w:p>
            <w:r>
              <w:t>Azure DevOps</w:t>
            </w:r>
          </w:p>
        </w:tc>
        <w:tc>
          <w:tcPr>
            <w:tcW w:type="dxa" w:w="4419"/>
          </w:tcPr>
          <w:p>
            <w:r>
              <w:t>Repositorio institucional de código; no administra el ingreso funcional de usuarios finales.</w:t>
            </w:r>
          </w:p>
        </w:tc>
      </w:tr>
    </w:tbl>
    <w:p>
      <w:r>
        <w:t>Para diferenciar administradores y usuarios se recomienda crear roles de aplicación con valores normalizados, por ejemplo admin y user. Los usuarios con rol admin pueden acceder a módulos administrativos si el rol está incluido en CARGUEBD_ADMIN_ROLES.</w:t>
      </w:r>
    </w:p>
    <w:p>
      <w:pPr>
        <w:pStyle w:val="Ttulo1"/>
      </w:pPr>
      <w:r>
        <w:t>Trazabilidad de usuario y auditoría</w:t>
      </w:r>
    </w:p>
    <w:p>
      <w:r>
        <w:t>La sesión de Aurora contiene id, nombre, correo, proveedor y roles del usuario autenticado. El módulo de cargas registra el usuario que sube archivos en su bitácora operativa.</w:t>
      </w:r>
    </w:p>
    <w:p>
      <w:r>
        <w:t>En el modelo Oracle documentado, GESTION_JURIDICA y ASIGNACION registran fechas de operación como FECHA_REGISTRO y FECHA_ASIGNACION. No se identifica una columna específica para almacenar el usuario autenticado que modifica cada formulario o asignación.</w:t>
      </w:r>
    </w:p>
    <w:p>
      <w:r>
        <w:t>Para trazabilidad plena por usuario en base de datos, se recomienda incorporar columnas de auditoría o una tabla transaccional, previa aprobación del frente de base de datos.</w:t>
      </w:r>
    </w:p>
    <w:p>
      <w:pPr>
        <w:pStyle w:val="Ttulo1"/>
      </w:pPr>
      <w:r>
        <w:t>Variables relevantes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Variable</w:t>
            </w:r>
          </w:p>
        </w:tc>
        <w:tc>
          <w:tcPr>
            <w:tcW w:type="dxa" w:w="4419"/>
          </w:tcPr>
          <w:p>
            <w:r>
              <w:t>Descripción</w:t>
            </w:r>
          </w:p>
        </w:tc>
      </w:tr>
      <w:tr>
        <w:tc>
          <w:tcPr>
            <w:tcW w:type="dxa" w:w="4419"/>
          </w:tcPr>
          <w:p>
            <w:r>
              <w:t>VITE_API_BASE_URL</w:t>
            </w:r>
          </w:p>
        </w:tc>
        <w:tc>
          <w:tcPr>
            <w:tcW w:type="dxa" w:w="4419"/>
          </w:tcPr>
          <w:p>
            <w:r>
              <w:t>En Docker debe ser /api.</w:t>
            </w:r>
          </w:p>
        </w:tc>
      </w:tr>
      <w:tr>
        <w:tc>
          <w:tcPr>
            <w:tcW w:type="dxa" w:w="4419"/>
          </w:tcPr>
          <w:p>
            <w:r>
              <w:t>AUTH_JWT_SECRET</w:t>
            </w:r>
          </w:p>
        </w:tc>
        <w:tc>
          <w:tcPr>
            <w:tcW w:type="dxa" w:w="4419"/>
          </w:tcPr>
          <w:p>
            <w:r>
              <w:t>Secreto de sesión Aurora.</w:t>
            </w:r>
          </w:p>
        </w:tc>
      </w:tr>
      <w:tr>
        <w:tc>
          <w:tcPr>
            <w:tcW w:type="dxa" w:w="4419"/>
          </w:tcPr>
          <w:p>
            <w:r>
              <w:t>AZURE_AD_TENANT_ID</w:t>
            </w:r>
          </w:p>
        </w:tc>
        <w:tc>
          <w:tcPr>
            <w:tcW w:type="dxa" w:w="4419"/>
          </w:tcPr>
          <w:p>
            <w:r>
              <w:t>Tenant institucional.</w:t>
            </w:r>
          </w:p>
        </w:tc>
      </w:tr>
      <w:tr>
        <w:tc>
          <w:tcPr>
            <w:tcW w:type="dxa" w:w="4419"/>
          </w:tcPr>
          <w:p>
            <w:r>
              <w:t>AZURE_AD_CLIENT_ID</w:t>
            </w:r>
          </w:p>
        </w:tc>
        <w:tc>
          <w:tcPr>
            <w:tcW w:type="dxa" w:w="4419"/>
          </w:tcPr>
          <w:p>
            <w:r>
              <w:t>Aplicación registrada para Aurora.</w:t>
            </w:r>
          </w:p>
        </w:tc>
      </w:tr>
      <w:tr>
        <w:tc>
          <w:tcPr>
            <w:tcW w:type="dxa" w:w="4419"/>
          </w:tcPr>
          <w:p>
            <w:r>
              <w:t>AZURE_AD_REQUIRED_APP_ROLES</w:t>
            </w:r>
          </w:p>
        </w:tc>
        <w:tc>
          <w:tcPr>
            <w:tcW w:type="dxa" w:w="4419"/>
          </w:tcPr>
          <w:p>
            <w:r>
              <w:t>Roles permitidos para usar Aurora.</w:t>
            </w:r>
          </w:p>
        </w:tc>
      </w:tr>
      <w:tr>
        <w:tc>
          <w:tcPr>
            <w:tcW w:type="dxa" w:w="4419"/>
          </w:tcPr>
          <w:p>
            <w:r>
              <w:t>AZURE_AD_REQUIRED_GROUP_IDS</w:t>
            </w:r>
          </w:p>
        </w:tc>
        <w:tc>
          <w:tcPr>
            <w:tcW w:type="dxa" w:w="4419"/>
          </w:tcPr>
          <w:p>
            <w:r>
              <w:t>Grupos autorizados si aplica.</w:t>
            </w:r>
          </w:p>
        </w:tc>
      </w:tr>
      <w:tr>
        <w:tc>
          <w:tcPr>
            <w:tcW w:type="dxa" w:w="4419"/>
          </w:tcPr>
          <w:p>
            <w:r>
              <w:t>CARGUEBD_ADMIN_ROLES</w:t>
            </w:r>
          </w:p>
        </w:tc>
        <w:tc>
          <w:tcPr>
            <w:tcW w:type="dxa" w:w="4419"/>
          </w:tcPr>
          <w:p>
            <w:r>
              <w:t>Roles que habilitan módulo de cargas.</w:t>
            </w:r>
          </w:p>
        </w:tc>
      </w:tr>
      <w:tr>
        <w:tc>
          <w:tcPr>
            <w:tcW w:type="dxa" w:w="4419"/>
          </w:tcPr>
          <w:p>
            <w:r>
              <w:t>ORACLE_*</w:t>
            </w:r>
          </w:p>
        </w:tc>
        <w:tc>
          <w:tcPr>
            <w:tcW w:type="dxa" w:w="4419"/>
          </w:tcPr>
          <w:p>
            <w:r>
              <w:t>Conexión a Oracle.</w:t>
            </w:r>
          </w:p>
        </w:tc>
      </w:tr>
    </w:tbl>
    <w:p>
      <w:r>
        <w:br w:type="page"/>
      </w:r>
    </w:p>
    <w:p>
      <w:pPr>
        <w:pStyle w:val="Ttulo1"/>
      </w:pPr>
      <w:r>
        <w:t>Diagramas de apoyo</w:t>
      </w:r>
    </w:p>
    <w:p>
      <w:pPr>
        <w:pStyle w:val="Ttulo2"/>
      </w:pPr>
      <w:r>
        <w:t>Diagrama de componentes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2_componentes_aur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componentes de Aurora.</w:t>
      </w:r>
    </w:p>
    <w:p>
      <w:pPr>
        <w:pStyle w:val="Ttulo2"/>
      </w:pPr>
      <w:r>
        <w:t>Diagrama de autenticación y roles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4_autenticacion_roles_auro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autenticación y roles de Aurora.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1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10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 w:ascii="Arial" w:hAnsi="Arial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