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tulo"/>
      </w:pPr>
      <w:r>
        <w:t>Manual técnico Aurora</w:t>
      </w:r>
    </w:p>
    <w:p>
      <w:r>
        <w:rPr>
          <w:rFonts w:ascii="Arial" w:hAnsi="Arial"/>
          <w:sz w:val="20"/>
        </w:rPr>
        <w:t>Fecha: 2026-05-29</w:t>
      </w:r>
    </w:p>
    <w:p>
      <w:pPr>
        <w:pStyle w:val="Ttulo1"/>
      </w:pPr>
      <w:r>
        <w:t>Introducción</w:t>
      </w:r>
    </w:p>
    <w:p>
      <w:r>
        <w:rPr>
          <w:rFonts w:ascii="Arial" w:hAnsi="Arial"/>
          <w:sz w:val="20"/>
        </w:rPr>
        <w:t>Este manual integra la información técnica básica de Aurora para apoyar instalación, despliegue, mantenimiento y validación. Fue elaborado a partir del repositorio, documentación existente y pruebas registradas.</w:t>
      </w:r>
    </w:p>
    <w:p>
      <w:pPr>
        <w:pStyle w:val="Ttulo1"/>
      </w:pPr>
      <w:r>
        <w:t>Objetivo del sistema</w:t>
      </w:r>
    </w:p>
    <w:p>
      <w:r>
        <w:rPr>
          <w:rFonts w:ascii="Arial" w:hAnsi="Arial"/>
          <w:sz w:val="20"/>
        </w:rPr>
        <w:t>Aurora apoya la gestión de atención jurídica de personas privadas de la libertad. Desde el código se observan funciones de consulta, formulario de atención, gestión de actuaciones, asignación de defensores, validación PAG y descarga de formatos.</w:t>
      </w:r>
    </w:p>
    <w:p>
      <w:pPr>
        <w:pStyle w:val="Ttulo1"/>
      </w:pPr>
      <w:r>
        <w:t>Tecnologías utilizadas</w:t>
      </w:r>
    </w:p>
    <w:tbl>
      <w:tblPr>
        <w:tblW w:type="auto" w:w="0"/>
        <w:tblLook w:firstColumn="1" w:firstRow="1" w:lastColumn="0" w:lastRow="0" w:noHBand="0" w:noVBand="1" w:val="04A0"/>
      </w:tblPr>
      <w:tblGrid>
        <w:gridCol w:w="4419"/>
        <w:gridCol w:w="4419"/>
      </w:tblGrid>
      <w:tr>
        <w:tc>
          <w:tcPr>
            <w:tcW w:type="dxa" w:w="4419"/>
          </w:tcPr>
          <w:p>
            <w:r>
              <w:rPr>
                <w:rFonts w:ascii="Arial" w:hAnsi="Arial"/>
                <w:b/>
                <w:sz w:val="18"/>
              </w:rPr>
              <w:t>Capa</w:t>
            </w:r>
          </w:p>
        </w:tc>
        <w:tc>
          <w:tcPr>
            <w:tcW w:type="dxa" w:w="4419"/>
          </w:tcPr>
          <w:p>
            <w:r>
              <w:rPr>
                <w:rFonts w:ascii="Arial" w:hAnsi="Arial"/>
                <w:b/>
                <w:sz w:val="18"/>
              </w:rPr>
              <w:t>Tecnología</w:t>
            </w:r>
          </w:p>
        </w:tc>
      </w:tr>
      <w:tr>
        <w:tc>
          <w:tcPr>
            <w:tcW w:type="dxa" w:w="4419"/>
          </w:tcPr>
          <w:p>
            <w:r>
              <w:rPr>
                <w:rFonts w:ascii="Arial" w:hAnsi="Arial"/>
                <w:sz w:val="18"/>
              </w:rPr>
              <w:t>Frontend</w:t>
            </w:r>
          </w:p>
        </w:tc>
        <w:tc>
          <w:tcPr>
            <w:tcW w:type="dxa" w:w="4419"/>
          </w:tcPr>
          <w:p>
            <w:r>
              <w:rPr>
                <w:rFonts w:ascii="Arial" w:hAnsi="Arial"/>
                <w:sz w:val="18"/>
              </w:rPr>
              <w:t>React, Vite, JavaScript/TypeScript, PWA</w:t>
            </w:r>
          </w:p>
        </w:tc>
      </w:tr>
      <w:tr>
        <w:tc>
          <w:tcPr>
            <w:tcW w:type="dxa" w:w="4419"/>
          </w:tcPr>
          <w:p>
            <w:r>
              <w:rPr>
                <w:rFonts w:ascii="Arial" w:hAnsi="Arial"/>
                <w:sz w:val="18"/>
              </w:rPr>
              <w:t>Backend</w:t>
            </w:r>
          </w:p>
        </w:tc>
        <w:tc>
          <w:tcPr>
            <w:tcW w:type="dxa" w:w="4419"/>
          </w:tcPr>
          <w:p>
            <w:r>
              <w:rPr>
                <w:rFonts w:ascii="Arial" w:hAnsi="Arial"/>
                <w:sz w:val="18"/>
              </w:rPr>
              <w:t>Node.js, Express</w:t>
            </w:r>
          </w:p>
        </w:tc>
      </w:tr>
      <w:tr>
        <w:tc>
          <w:tcPr>
            <w:tcW w:type="dxa" w:w="4419"/>
          </w:tcPr>
          <w:p>
            <w:r>
              <w:rPr>
                <w:rFonts w:ascii="Arial" w:hAnsi="Arial"/>
                <w:sz w:val="18"/>
              </w:rPr>
              <w:t>Autenticación</w:t>
            </w:r>
          </w:p>
        </w:tc>
        <w:tc>
          <w:tcPr>
            <w:tcW w:type="dxa" w:w="4419"/>
          </w:tcPr>
          <w:p>
            <w:r>
              <w:rPr>
                <w:rFonts w:ascii="Arial" w:hAnsi="Arial"/>
                <w:sz w:val="18"/>
              </w:rPr>
              <w:t>JWT, Azure AD opcional</w:t>
            </w:r>
          </w:p>
        </w:tc>
      </w:tr>
      <w:tr>
        <w:tc>
          <w:tcPr>
            <w:tcW w:type="dxa" w:w="4419"/>
          </w:tcPr>
          <w:p>
            <w:r>
              <w:rPr>
                <w:rFonts w:ascii="Arial" w:hAnsi="Arial"/>
                <w:sz w:val="18"/>
              </w:rPr>
              <w:t>Base de datos</w:t>
            </w:r>
          </w:p>
        </w:tc>
        <w:tc>
          <w:tcPr>
            <w:tcW w:type="dxa" w:w="4419"/>
          </w:tcPr>
          <w:p>
            <w:r>
              <w:rPr>
                <w:rFonts w:ascii="Arial" w:hAnsi="Arial"/>
                <w:sz w:val="18"/>
              </w:rPr>
              <w:t>Oracle mediante oracledb</w:t>
            </w:r>
          </w:p>
        </w:tc>
      </w:tr>
      <w:tr>
        <w:tc>
          <w:tcPr>
            <w:tcW w:type="dxa" w:w="4419"/>
          </w:tcPr>
          <w:p>
            <w:r>
              <w:rPr>
                <w:rFonts w:ascii="Arial" w:hAnsi="Arial"/>
                <w:sz w:val="18"/>
              </w:rPr>
              <w:t>Datos complementarios</w:t>
            </w:r>
          </w:p>
        </w:tc>
        <w:tc>
          <w:tcPr>
            <w:tcW w:type="dxa" w:w="4419"/>
          </w:tcPr>
          <w:p>
            <w:r>
              <w:rPr>
                <w:rFonts w:ascii="Arial" w:hAnsi="Arial"/>
                <w:sz w:val="18"/>
              </w:rPr>
              <w:t>Catálogo local de formatos</w:t>
            </w:r>
          </w:p>
        </w:tc>
      </w:tr>
      <w:tr>
        <w:tc>
          <w:tcPr>
            <w:tcW w:type="dxa" w:w="4419"/>
          </w:tcPr>
          <w:p>
            <w:r>
              <w:rPr>
                <w:rFonts w:ascii="Arial" w:hAnsi="Arial"/>
                <w:sz w:val="18"/>
              </w:rPr>
              <w:t>Cargas ETL</w:t>
            </w:r>
          </w:p>
        </w:tc>
        <w:tc>
          <w:tcPr>
            <w:tcW w:type="dxa" w:w="4419"/>
          </w:tcPr>
          <w:p>
            <w:r>
              <w:rPr>
                <w:rFonts w:ascii="Arial" w:hAnsi="Arial"/>
                <w:sz w:val="18"/>
              </w:rPr>
              <w:t>Python (pandas, openpyxl, oracledb) orquestado desde backend</w:t>
            </w:r>
          </w:p>
        </w:tc>
      </w:tr>
      <w:tr>
        <w:tc>
          <w:tcPr>
            <w:tcW w:type="dxa" w:w="4419"/>
          </w:tcPr>
          <w:p>
            <w:r>
              <w:rPr>
                <w:rFonts w:ascii="Arial" w:hAnsi="Arial"/>
                <w:sz w:val="18"/>
              </w:rPr>
              <w:t>Pruebas</w:t>
            </w:r>
          </w:p>
        </w:tc>
        <w:tc>
          <w:tcPr>
            <w:tcW w:type="dxa" w:w="4419"/>
          </w:tcPr>
          <w:p>
            <w:r>
              <w:rPr>
                <w:rFonts w:ascii="Arial" w:hAnsi="Arial"/>
                <w:sz w:val="18"/>
              </w:rPr>
              <w:t>Vitest, scripts Node</w:t>
            </w:r>
          </w:p>
        </w:tc>
      </w:tr>
      <w:tr>
        <w:tc>
          <w:tcPr>
            <w:tcW w:type="dxa" w:w="4419"/>
          </w:tcPr>
          <w:p>
            <w:r>
              <w:rPr>
                <w:rFonts w:ascii="Arial" w:hAnsi="Arial"/>
                <w:sz w:val="18"/>
              </w:rPr>
              <w:t>Despliegue</w:t>
            </w:r>
          </w:p>
        </w:tc>
        <w:tc>
          <w:tcPr>
            <w:tcW w:type="dxa" w:w="4419"/>
          </w:tcPr>
          <w:p>
            <w:r>
              <w:rPr>
                <w:rFonts w:ascii="Arial" w:hAnsi="Arial"/>
                <w:sz w:val="18"/>
              </w:rPr>
              <w:t>Docker Compose como camino principal</w:t>
            </w:r>
          </w:p>
        </w:tc>
      </w:tr>
    </w:tbl>
    <w:p/>
    <w:p>
      <w:pPr>
        <w:pStyle w:val="Ttulo1"/>
      </w:pPr>
      <w:r>
        <w:t>Arquitectura general</w:t>
      </w:r>
    </w:p>
    <w:p>
      <w:r>
        <w:rPr>
          <w:rFonts w:ascii="Courier New" w:hAnsi="Courier New"/>
          <w:sz w:val="18"/>
        </w:rPr>
        <w:t>Usuario -&gt; Frontend React -&gt; Backend Express /api -&gt; Oracle</w:t>
      </w:r>
    </w:p>
    <w:p>
      <w:r>
        <w:rPr>
          <w:rFonts w:ascii="Arial" w:hAnsi="Arial"/>
          <w:sz w:val="20"/>
        </w:rPr>
        <w:t>En producción, el backend puede servir el frontend compilado. El despliegue Docker usa un contenedor único que compila frontend/ y copia dist a backend/public/app.</w:t>
      </w:r>
    </w:p>
    <w:p>
      <w:pPr>
        <w:pStyle w:val="Ttulo2"/>
      </w:pPr>
      <w:r>
        <w:t>Flujo técnico de alto nivel</w:t>
      </w:r>
    </w:p>
    <w:p>
      <w:r>
        <w:rPr>
          <w:rFonts w:ascii="Arial" w:hAnsi="Arial"/>
          <w:sz w:val="20"/>
        </w:rPr>
        <w:t>1. El usuario ingresa al frontend React y obtiene la configuración de autenticación desde /api/auth/config.</w:t>
      </w:r>
    </w:p>
    <w:p>
      <w:r>
        <w:rPr>
          <w:rFonts w:ascii="Arial" w:hAnsi="Arial"/>
          <w:sz w:val="20"/>
        </w:rPr>
        <w:t>2. El usuario inicia sesión mediante Microsoft Entra ID (Azure AD) o, en ambientes habilitados, mediante usuario local administrativo.</w:t>
      </w:r>
    </w:p>
    <w:p>
      <w:r>
        <w:rPr>
          <w:rFonts w:ascii="Arial" w:hAnsi="Arial"/>
          <w:sz w:val="20"/>
        </w:rPr>
        <w:t>3. El backend valida la identidad y emite un JWT propio de Aurora. Ese token se usa como Bearer en las rutas protegidas.</w:t>
      </w:r>
    </w:p>
    <w:p>
      <w:r>
        <w:rPr>
          <w:rFonts w:ascii="Arial" w:hAnsi="Arial"/>
          <w:sz w:val="20"/>
        </w:rPr>
        <w:t>4. El frontend consulta personas privadas de la libertad, registros asignados, formatos y defensores a través de /api.</w:t>
      </w:r>
    </w:p>
    <w:p>
      <w:r>
        <w:rPr>
          <w:rFonts w:ascii="Arial" w:hAnsi="Arial"/>
          <w:sz w:val="20"/>
        </w:rPr>
        <w:t>5. El backend accede a Oracle mediante repositorios especializados y normaliza datos de origen para exponer una respuesta estable al frontend.</w:t>
      </w:r>
    </w:p>
    <w:p>
      <w:r>
        <w:rPr>
          <w:rFonts w:ascii="Arial" w:hAnsi="Arial"/>
          <w:sz w:val="20"/>
        </w:rPr>
        <w:t>6. El formulario de atención aplica reglas de negocio en cliente para visibilidad, obligatoriedad, dependencias, estado del trámite y cierre del caso.</w:t>
      </w:r>
    </w:p>
    <w:p>
      <w:r>
        <w:rPr>
          <w:rFonts w:ascii="Arial" w:hAnsi="Arial"/>
          <w:sz w:val="20"/>
        </w:rPr>
        <w:t>7. Al guardar, el backend persiste los cambios funcionales y el historial de actuaciones en Oracle.</w:t>
      </w:r>
    </w:p>
    <w:p>
      <w:r>
        <w:rPr>
          <w:rFonts w:ascii="Arial" w:hAnsi="Arial"/>
          <w:sz w:val="20"/>
        </w:rPr>
        <w:t>8. El módulo administrativo de cargas almacena archivos Excel en un directorio controlado, ejecuta la carga Python en segundo plano y registra estado/logs para seguimiento operativo.</w:t>
      </w:r>
    </w:p>
    <w:p>
      <w:pPr>
        <w:pStyle w:val="Ttulo2"/>
      </w:pPr>
      <w:r>
        <w:t>Componentes principales</w:t>
      </w:r>
    </w:p>
    <w:tbl>
      <w:tblPr>
        <w:tblW w:type="auto" w:w="0"/>
        <w:tblLook w:firstColumn="1" w:firstRow="1" w:lastColumn="0" w:lastRow="0" w:noHBand="0" w:noVBand="1" w:val="04A0"/>
      </w:tblPr>
      <w:tblGrid>
        <w:gridCol w:w="2946"/>
        <w:gridCol w:w="2946"/>
        <w:gridCol w:w="2946"/>
      </w:tblGrid>
      <w:tr>
        <w:tc>
          <w:tcPr>
            <w:tcW w:type="dxa" w:w="2946"/>
          </w:tcPr>
          <w:p>
            <w:r>
              <w:rPr>
                <w:rFonts w:ascii="Arial" w:hAnsi="Arial"/>
                <w:b/>
                <w:sz w:val="18"/>
              </w:rPr>
              <w:t>Componente</w:t>
            </w:r>
          </w:p>
        </w:tc>
        <w:tc>
          <w:tcPr>
            <w:tcW w:type="dxa" w:w="2946"/>
          </w:tcPr>
          <w:p>
            <w:r>
              <w:rPr>
                <w:rFonts w:ascii="Arial" w:hAnsi="Arial"/>
                <w:b/>
                <w:sz w:val="18"/>
              </w:rPr>
              <w:t>Ruta</w:t>
            </w:r>
          </w:p>
        </w:tc>
        <w:tc>
          <w:tcPr>
            <w:tcW w:type="dxa" w:w="2946"/>
          </w:tcPr>
          <w:p>
            <w:r>
              <w:rPr>
                <w:rFonts w:ascii="Arial" w:hAnsi="Arial"/>
                <w:b/>
                <w:sz w:val="18"/>
              </w:rPr>
              <w:t>Responsabilidad</w:t>
            </w:r>
          </w:p>
        </w:tc>
      </w:tr>
      <w:tr>
        <w:tc>
          <w:tcPr>
            <w:tcW w:type="dxa" w:w="2946"/>
          </w:tcPr>
          <w:p>
            <w:r>
              <w:rPr>
                <w:rFonts w:ascii="Arial" w:hAnsi="Arial"/>
                <w:sz w:val="18"/>
              </w:rPr>
              <w:t>Entrada backend</w:t>
            </w:r>
          </w:p>
        </w:tc>
        <w:tc>
          <w:tcPr>
            <w:tcW w:type="dxa" w:w="2946"/>
          </w:tcPr>
          <w:p>
            <w:r>
              <w:rPr>
                <w:rFonts w:ascii="Arial" w:hAnsi="Arial"/>
                <w:sz w:val="18"/>
              </w:rPr>
              <w:t>backend/index.js</w:t>
            </w:r>
          </w:p>
        </w:tc>
        <w:tc>
          <w:tcPr>
            <w:tcW w:type="dxa" w:w="2946"/>
          </w:tcPr>
          <w:p>
            <w:r>
              <w:rPr>
                <w:rFonts w:ascii="Arial" w:hAnsi="Arial"/>
                <w:sz w:val="18"/>
              </w:rPr>
              <w:t>Configura Express, seguridad HTTP, CORS, rutas, frontend estático y cierre ordenado.</w:t>
            </w:r>
          </w:p>
        </w:tc>
      </w:tr>
      <w:tr>
        <w:tc>
          <w:tcPr>
            <w:tcW w:type="dxa" w:w="2946"/>
          </w:tcPr>
          <w:p>
            <w:r>
              <w:rPr>
                <w:rFonts w:ascii="Arial" w:hAnsi="Arial"/>
                <w:sz w:val="18"/>
              </w:rPr>
              <w:t>Autenticación</w:t>
            </w:r>
          </w:p>
        </w:tc>
        <w:tc>
          <w:tcPr>
            <w:tcW w:type="dxa" w:w="2946"/>
          </w:tcPr>
          <w:p>
            <w:r>
              <w:rPr>
                <w:rFonts w:ascii="Arial" w:hAnsi="Arial"/>
                <w:sz w:val="18"/>
              </w:rPr>
              <w:t>backend/services/authService.js, backend/middleware/auth.js</w:t>
            </w:r>
          </w:p>
        </w:tc>
        <w:tc>
          <w:tcPr>
            <w:tcW w:type="dxa" w:w="2946"/>
          </w:tcPr>
          <w:p>
            <w:r>
              <w:rPr>
                <w:rFonts w:ascii="Arial" w:hAnsi="Arial"/>
                <w:sz w:val="18"/>
              </w:rPr>
              <w:t>Valida Azure AD o usuario local, firma JWT interno y protege rutas.</w:t>
            </w:r>
          </w:p>
        </w:tc>
      </w:tr>
      <w:tr>
        <w:tc>
          <w:tcPr>
            <w:tcW w:type="dxa" w:w="2946"/>
          </w:tcPr>
          <w:p>
            <w:r>
              <w:rPr>
                <w:rFonts w:ascii="Arial" w:hAnsi="Arial"/>
                <w:sz w:val="18"/>
              </w:rPr>
              <w:t>API funcional PPL</w:t>
            </w:r>
          </w:p>
        </w:tc>
        <w:tc>
          <w:tcPr>
            <w:tcW w:type="dxa" w:w="2946"/>
          </w:tcPr>
          <w:p>
            <w:r>
              <w:rPr>
                <w:rFonts w:ascii="Arial" w:hAnsi="Arial"/>
                <w:sz w:val="18"/>
              </w:rPr>
              <w:t>backend/routes/ppl.js</w:t>
            </w:r>
          </w:p>
        </w:tc>
        <w:tc>
          <w:tcPr>
            <w:tcW w:type="dxa" w:w="2946"/>
          </w:tcPr>
          <w:p>
            <w:r>
              <w:rPr>
                <w:rFonts w:ascii="Arial" w:hAnsi="Arial"/>
                <w:sz w:val="18"/>
              </w:rPr>
              <w:t>Consulta, filtros, detalle, actuaciones, asignación de defensor y validación PAG.</w:t>
            </w:r>
          </w:p>
        </w:tc>
      </w:tr>
      <w:tr>
        <w:tc>
          <w:tcPr>
            <w:tcW w:type="dxa" w:w="2946"/>
          </w:tcPr>
          <w:p>
            <w:r>
              <w:rPr>
                <w:rFonts w:ascii="Arial" w:hAnsi="Arial"/>
                <w:sz w:val="18"/>
              </w:rPr>
              <w:t>API defensores</w:t>
            </w:r>
          </w:p>
        </w:tc>
        <w:tc>
          <w:tcPr>
            <w:tcW w:type="dxa" w:w="2946"/>
          </w:tcPr>
          <w:p>
            <w:r>
              <w:rPr>
                <w:rFonts w:ascii="Arial" w:hAnsi="Arial"/>
                <w:sz w:val="18"/>
              </w:rPr>
              <w:t>backend/routes/defensores.js</w:t>
            </w:r>
          </w:p>
        </w:tc>
        <w:tc>
          <w:tcPr>
            <w:tcW w:type="dxa" w:w="2946"/>
          </w:tcPr>
          <w:p>
            <w:r>
              <w:rPr>
                <w:rFonts w:ascii="Arial" w:hAnsi="Arial"/>
                <w:sz w:val="18"/>
              </w:rPr>
              <w:t>Lista y registra defensores.</w:t>
            </w:r>
          </w:p>
        </w:tc>
      </w:tr>
      <w:tr>
        <w:tc>
          <w:tcPr>
            <w:tcW w:type="dxa" w:w="2946"/>
          </w:tcPr>
          <w:p>
            <w:r>
              <w:rPr>
                <w:rFonts w:ascii="Arial" w:hAnsi="Arial"/>
                <w:sz w:val="18"/>
              </w:rPr>
              <w:t>API formatos</w:t>
            </w:r>
          </w:p>
        </w:tc>
        <w:tc>
          <w:tcPr>
            <w:tcW w:type="dxa" w:w="2946"/>
          </w:tcPr>
          <w:p>
            <w:r>
              <w:rPr>
                <w:rFonts w:ascii="Arial" w:hAnsi="Arial"/>
                <w:sz w:val="18"/>
              </w:rPr>
              <w:t>backend/routes/formatos.js</w:t>
            </w:r>
          </w:p>
        </w:tc>
        <w:tc>
          <w:tcPr>
            <w:tcW w:type="dxa" w:w="2946"/>
          </w:tcPr>
          <w:p>
            <w:r>
              <w:rPr>
                <w:rFonts w:ascii="Arial" w:hAnsi="Arial"/>
                <w:sz w:val="18"/>
              </w:rPr>
              <w:t>Lista formatos y resuelve URLs de descarga.</w:t>
            </w:r>
          </w:p>
        </w:tc>
      </w:tr>
      <w:tr>
        <w:tc>
          <w:tcPr>
            <w:tcW w:type="dxa" w:w="2946"/>
          </w:tcPr>
          <w:p>
            <w:r>
              <w:rPr>
                <w:rFonts w:ascii="Arial" w:hAnsi="Arial"/>
                <w:sz w:val="18"/>
              </w:rPr>
              <w:t>API cargas BD</w:t>
            </w:r>
          </w:p>
        </w:tc>
        <w:tc>
          <w:tcPr>
            <w:tcW w:type="dxa" w:w="2946"/>
          </w:tcPr>
          <w:p>
            <w:r>
              <w:rPr>
                <w:rFonts w:ascii="Arial" w:hAnsi="Arial"/>
                <w:sz w:val="18"/>
              </w:rPr>
              <w:t>backend/routes/adminCargas.js, backend/services/cargaBdService.js</w:t>
            </w:r>
          </w:p>
        </w:tc>
        <w:tc>
          <w:tcPr>
            <w:tcW w:type="dxa" w:w="2946"/>
          </w:tcPr>
          <w:p>
            <w:r>
              <w:rPr>
                <w:rFonts w:ascii="Arial" w:hAnsi="Arial"/>
                <w:sz w:val="18"/>
              </w:rPr>
              <w:t>Recibe archivos, controla trabajos, historial y logs de cargas.</w:t>
            </w:r>
          </w:p>
        </w:tc>
      </w:tr>
      <w:tr>
        <w:tc>
          <w:tcPr>
            <w:tcW w:type="dxa" w:w="2946"/>
          </w:tcPr>
          <w:p>
            <w:r>
              <w:rPr>
                <w:rFonts w:ascii="Arial" w:hAnsi="Arial"/>
                <w:sz w:val="18"/>
              </w:rPr>
              <w:t>Repositorios Oracle</w:t>
            </w:r>
          </w:p>
        </w:tc>
        <w:tc>
          <w:tcPr>
            <w:tcW w:type="dxa" w:w="2946"/>
          </w:tcPr>
          <w:p>
            <w:r>
              <w:rPr>
                <w:rFonts w:ascii="Arial" w:hAnsi="Arial"/>
                <w:sz w:val="18"/>
              </w:rPr>
              <w:t>backend/repositories/oracle/, backend/db/</w:t>
            </w:r>
          </w:p>
        </w:tc>
        <w:tc>
          <w:tcPr>
            <w:tcW w:type="dxa" w:w="2946"/>
          </w:tcPr>
          <w:p>
            <w:r>
              <w:rPr>
                <w:rFonts w:ascii="Arial" w:hAnsi="Arial"/>
                <w:sz w:val="18"/>
              </w:rPr>
              <w:t>Encapsulan SQL, pool Oracle y normalización de resultados.</w:t>
            </w:r>
          </w:p>
        </w:tc>
      </w:tr>
      <w:tr>
        <w:tc>
          <w:tcPr>
            <w:tcW w:type="dxa" w:w="2946"/>
          </w:tcPr>
          <w:p>
            <w:r>
              <w:rPr>
                <w:rFonts w:ascii="Arial" w:hAnsi="Arial"/>
                <w:sz w:val="18"/>
              </w:rPr>
              <w:t>Formulario atención</w:t>
            </w:r>
          </w:p>
        </w:tc>
        <w:tc>
          <w:tcPr>
            <w:tcW w:type="dxa" w:w="2946"/>
          </w:tcPr>
          <w:p>
            <w:r>
              <w:rPr>
                <w:rFonts w:ascii="Arial" w:hAnsi="Arial"/>
                <w:sz w:val="18"/>
              </w:rPr>
              <w:t>frontend/src/pages/FormularioAtencion.jsx</w:t>
            </w:r>
          </w:p>
        </w:tc>
        <w:tc>
          <w:tcPr>
            <w:tcW w:type="dxa" w:w="2946"/>
          </w:tcPr>
          <w:p>
            <w:r>
              <w:rPr>
                <w:rFonts w:ascii="Arial" w:hAnsi="Arial"/>
                <w:sz w:val="18"/>
              </w:rPr>
              <w:t>Renderiza flujo de atención y guarda actuaciones.</w:t>
            </w:r>
          </w:p>
        </w:tc>
      </w:tr>
      <w:tr>
        <w:tc>
          <w:tcPr>
            <w:tcW w:type="dxa" w:w="2946"/>
          </w:tcPr>
          <w:p>
            <w:r>
              <w:rPr>
                <w:rFonts w:ascii="Arial" w:hAnsi="Arial"/>
                <w:sz w:val="18"/>
              </w:rPr>
              <w:t>Reglas Aurora</w:t>
            </w:r>
          </w:p>
        </w:tc>
        <w:tc>
          <w:tcPr>
            <w:tcW w:type="dxa" w:w="2946"/>
          </w:tcPr>
          <w:p>
            <w:r>
              <w:rPr>
                <w:rFonts w:ascii="Arial" w:hAnsi="Arial"/>
                <w:sz w:val="18"/>
              </w:rPr>
              <w:t>frontend/src/config/formRules.aurora.ts, frontend/src/utils/evaluateAuroraRules.ts</w:t>
            </w:r>
          </w:p>
        </w:tc>
        <w:tc>
          <w:tcPr>
            <w:tcW w:type="dxa" w:w="2946"/>
          </w:tcPr>
          <w:p>
            <w:r>
              <w:rPr>
                <w:rFonts w:ascii="Arial" w:hAnsi="Arial"/>
                <w:sz w:val="18"/>
              </w:rPr>
              <w:t>Define reglas de condenados: bloques, dependencias, estados y cierre.</w:t>
            </w:r>
          </w:p>
        </w:tc>
      </w:tr>
      <w:tr>
        <w:tc>
          <w:tcPr>
            <w:tcW w:type="dxa" w:w="2946"/>
          </w:tcPr>
          <w:p>
            <w:r>
              <w:rPr>
                <w:rFonts w:ascii="Arial" w:hAnsi="Arial"/>
                <w:sz w:val="18"/>
              </w:rPr>
              <w:t>Reglas Sindicados</w:t>
            </w:r>
          </w:p>
        </w:tc>
        <w:tc>
          <w:tcPr>
            <w:tcW w:type="dxa" w:w="2946"/>
          </w:tcPr>
          <w:p>
            <w:r>
              <w:rPr>
                <w:rFonts w:ascii="Arial" w:hAnsi="Arial"/>
                <w:sz w:val="18"/>
              </w:rPr>
              <w:t>frontend/src/config/formRules.celeste.ts, frontend/src/utils/evaluateCelesteRules.ts</w:t>
            </w:r>
          </w:p>
        </w:tc>
        <w:tc>
          <w:tcPr>
            <w:tcW w:type="dxa" w:w="2946"/>
          </w:tcPr>
          <w:p>
            <w:r>
              <w:rPr>
                <w:rFonts w:ascii="Arial" w:hAnsi="Arial"/>
                <w:sz w:val="18"/>
              </w:rPr>
              <w:t>Define reglas de sindicados: bloques, estados y cierre.</w:t>
            </w:r>
          </w:p>
        </w:tc>
      </w:tr>
      <w:tr>
        <w:tc>
          <w:tcPr>
            <w:tcW w:type="dxa" w:w="2946"/>
          </w:tcPr>
          <w:p>
            <w:r>
              <w:rPr>
                <w:rFonts w:ascii="Arial" w:hAnsi="Arial"/>
                <w:sz w:val="18"/>
              </w:rPr>
              <w:t>Estado actuaciones</w:t>
            </w:r>
          </w:p>
        </w:tc>
        <w:tc>
          <w:tcPr>
            <w:tcW w:type="dxa" w:w="2946"/>
          </w:tcPr>
          <w:p>
            <w:r>
              <w:rPr>
                <w:rFonts w:ascii="Arial" w:hAnsi="Arial"/>
                <w:sz w:val="18"/>
              </w:rPr>
              <w:t>frontend/src/config/estadoActuaciones.rules.ts</w:t>
            </w:r>
          </w:p>
        </w:tc>
        <w:tc>
          <w:tcPr>
            <w:tcW w:type="dxa" w:w="2946"/>
          </w:tcPr>
          <w:p>
            <w:r>
              <w:rPr>
                <w:rFonts w:ascii="Arial" w:hAnsi="Arial"/>
                <w:sz w:val="18"/>
              </w:rPr>
              <w:t>Unifica etiqueta visual, semáforo y estado lógico mostrado en listados/historial.</w:t>
            </w:r>
          </w:p>
        </w:tc>
      </w:tr>
      <w:tr>
        <w:tc>
          <w:tcPr>
            <w:tcW w:type="dxa" w:w="2946"/>
          </w:tcPr>
          <w:p>
            <w:r>
              <w:rPr>
                <w:rFonts w:ascii="Arial" w:hAnsi="Arial"/>
                <w:sz w:val="18"/>
              </w:rPr>
              <w:t>PWA</w:t>
            </w:r>
          </w:p>
        </w:tc>
        <w:tc>
          <w:tcPr>
            <w:tcW w:type="dxa" w:w="2946"/>
          </w:tcPr>
          <w:p>
            <w:r>
              <w:rPr>
                <w:rFonts w:ascii="Arial" w:hAnsi="Arial"/>
                <w:sz w:val="18"/>
              </w:rPr>
              <w:t>frontend/public/service-worker.js, frontend/public/manifest.json</w:t>
            </w:r>
          </w:p>
        </w:tc>
        <w:tc>
          <w:tcPr>
            <w:tcW w:type="dxa" w:w="2946"/>
          </w:tcPr>
          <w:p>
            <w:r>
              <w:rPr>
                <w:rFonts w:ascii="Arial" w:hAnsi="Arial"/>
                <w:sz w:val="18"/>
              </w:rPr>
              <w:t>Cache del shell, soporte offline acotado y reintentos de escrituras permitidas.</w:t>
            </w:r>
          </w:p>
        </w:tc>
      </w:tr>
    </w:tbl>
    <w:p/>
    <w:p>
      <w:pPr>
        <w:pStyle w:val="Ttulo1"/>
      </w:pPr>
      <w:r>
        <w:t>Estructura del proyecto</w:t>
      </w:r>
    </w:p>
    <w:tbl>
      <w:tblPr>
        <w:tblW w:type="auto" w:w="0"/>
        <w:tblLook w:firstColumn="1" w:firstRow="1" w:lastColumn="0" w:lastRow="0" w:noHBand="0" w:noVBand="1" w:val="04A0"/>
      </w:tblPr>
      <w:tblGrid>
        <w:gridCol w:w="4419"/>
        <w:gridCol w:w="4419"/>
      </w:tblGrid>
      <w:tr>
        <w:tc>
          <w:tcPr>
            <w:tcW w:type="dxa" w:w="4419"/>
          </w:tcPr>
          <w:p>
            <w:r>
              <w:rPr>
                <w:rFonts w:ascii="Arial" w:hAnsi="Arial"/>
                <w:b/>
                <w:sz w:val="18"/>
              </w:rPr>
              <w:t>Ruta</w:t>
            </w:r>
          </w:p>
        </w:tc>
        <w:tc>
          <w:tcPr>
            <w:tcW w:type="dxa" w:w="4419"/>
          </w:tcPr>
          <w:p>
            <w:r>
              <w:rPr>
                <w:rFonts w:ascii="Arial" w:hAnsi="Arial"/>
                <w:b/>
                <w:sz w:val="18"/>
              </w:rPr>
              <w:t>Uso</w:t>
            </w:r>
          </w:p>
        </w:tc>
      </w:tr>
      <w:tr>
        <w:tc>
          <w:tcPr>
            <w:tcW w:type="dxa" w:w="4419"/>
          </w:tcPr>
          <w:p>
            <w:r>
              <w:rPr>
                <w:rFonts w:ascii="Arial" w:hAnsi="Arial"/>
                <w:sz w:val="18"/>
              </w:rPr>
              <w:t>frontend/</w:t>
            </w:r>
          </w:p>
        </w:tc>
        <w:tc>
          <w:tcPr>
            <w:tcW w:type="dxa" w:w="4419"/>
          </w:tcPr>
          <w:p>
            <w:r>
              <w:rPr>
                <w:rFonts w:ascii="Arial" w:hAnsi="Arial"/>
                <w:sz w:val="18"/>
              </w:rPr>
              <w:t>Interfaz de usuario.</w:t>
            </w:r>
          </w:p>
        </w:tc>
      </w:tr>
      <w:tr>
        <w:tc>
          <w:tcPr>
            <w:tcW w:type="dxa" w:w="4419"/>
          </w:tcPr>
          <w:p>
            <w:r>
              <w:rPr>
                <w:rFonts w:ascii="Arial" w:hAnsi="Arial"/>
                <w:sz w:val="18"/>
              </w:rPr>
              <w:t>backend/</w:t>
            </w:r>
          </w:p>
        </w:tc>
        <w:tc>
          <w:tcPr>
            <w:tcW w:type="dxa" w:w="4419"/>
          </w:tcPr>
          <w:p>
            <w:r>
              <w:rPr>
                <w:rFonts w:ascii="Arial" w:hAnsi="Arial"/>
                <w:sz w:val="18"/>
              </w:rPr>
              <w:t>API y acceso a datos.</w:t>
            </w:r>
          </w:p>
        </w:tc>
      </w:tr>
      <w:tr>
        <w:tc>
          <w:tcPr>
            <w:tcW w:type="dxa" w:w="4419"/>
          </w:tcPr>
          <w:p>
            <w:r>
              <w:rPr>
                <w:rFonts w:ascii="Arial" w:hAnsi="Arial"/>
                <w:sz w:val="18"/>
              </w:rPr>
              <w:t>scripts/cargas_bd/</w:t>
            </w:r>
          </w:p>
        </w:tc>
        <w:tc>
          <w:tcPr>
            <w:tcW w:type="dxa" w:w="4419"/>
          </w:tcPr>
          <w:p>
            <w:r>
              <w:rPr>
                <w:rFonts w:ascii="Arial" w:hAnsi="Arial"/>
                <w:sz w:val="18"/>
              </w:rPr>
              <w:t>Servicios de carga Excel hacia staging Oracle y ejecución ETL.</w:t>
            </w:r>
          </w:p>
        </w:tc>
      </w:tr>
      <w:tr>
        <w:tc>
          <w:tcPr>
            <w:tcW w:type="dxa" w:w="4419"/>
          </w:tcPr>
          <w:p>
            <w:r>
              <w:rPr>
                <w:rFonts w:ascii="Arial" w:hAnsi="Arial"/>
                <w:sz w:val="18"/>
              </w:rPr>
              <w:t>documentacion/soporte/</w:t>
            </w:r>
          </w:p>
        </w:tc>
        <w:tc>
          <w:tcPr>
            <w:tcW w:type="dxa" w:w="4419"/>
          </w:tcPr>
          <w:p>
            <w:r>
              <w:rPr>
                <w:rFonts w:ascii="Arial" w:hAnsi="Arial"/>
                <w:sz w:val="18"/>
              </w:rPr>
              <w:t>Documentos técnicos previos.</w:t>
            </w:r>
          </w:p>
        </w:tc>
      </w:tr>
      <w:tr>
        <w:tc>
          <w:tcPr>
            <w:tcW w:type="dxa" w:w="4419"/>
          </w:tcPr>
          <w:p>
            <w:r>
              <w:rPr>
                <w:rFonts w:ascii="Arial" w:hAnsi="Arial"/>
                <w:sz w:val="18"/>
              </w:rPr>
              <w:t>documentacion/documentacion_tecnica/base_datos/</w:t>
            </w:r>
          </w:p>
        </w:tc>
        <w:tc>
          <w:tcPr>
            <w:tcW w:type="dxa" w:w="4419"/>
          </w:tcPr>
          <w:p>
            <w:r>
              <w:rPr>
                <w:rFonts w:ascii="Arial" w:hAnsi="Arial"/>
                <w:sz w:val="18"/>
              </w:rPr>
              <w:t>Documentos del modelo de datos.</w:t>
            </w:r>
          </w:p>
        </w:tc>
      </w:tr>
      <w:tr>
        <w:tc>
          <w:tcPr>
            <w:tcW w:type="dxa" w:w="4419"/>
          </w:tcPr>
          <w:p>
            <w:r>
              <w:rPr>
                <w:rFonts w:ascii="Arial" w:hAnsi="Arial"/>
                <w:sz w:val="18"/>
              </w:rPr>
              <w:t>documentacion/documentacion_tecnica/</w:t>
            </w:r>
          </w:p>
        </w:tc>
        <w:tc>
          <w:tcPr>
            <w:tcW w:type="dxa" w:w="4419"/>
          </w:tcPr>
          <w:p>
            <w:r>
              <w:rPr>
                <w:rFonts w:ascii="Arial" w:hAnsi="Arial"/>
                <w:sz w:val="18"/>
              </w:rPr>
              <w:t>Documentación técnica formal del proyecto.</w:t>
            </w:r>
          </w:p>
        </w:tc>
      </w:tr>
      <w:tr>
        <w:tc>
          <w:tcPr>
            <w:tcW w:type="dxa" w:w="4419"/>
          </w:tcPr>
          <w:p>
            <w:r>
              <w:rPr>
                <w:rFonts w:ascii="Arial" w:hAnsi="Arial"/>
                <w:sz w:val="18"/>
              </w:rPr>
              <w:t>documentacion/soporte/pruebas/SET_PRUEBAS_AURORA.md</w:t>
            </w:r>
          </w:p>
        </w:tc>
        <w:tc>
          <w:tcPr>
            <w:tcW w:type="dxa" w:w="4419"/>
          </w:tcPr>
          <w:p>
            <w:r>
              <w:rPr>
                <w:rFonts w:ascii="Arial" w:hAnsi="Arial"/>
                <w:sz w:val="18"/>
              </w:rPr>
              <w:t>Evidencia de validación y pruebas.</w:t>
            </w:r>
          </w:p>
        </w:tc>
      </w:tr>
    </w:tbl>
    <w:p/>
    <w:p>
      <w:pPr>
        <w:pStyle w:val="Ttulo1"/>
      </w:pPr>
      <w:r>
        <w:t>Configuración del backend</w:t>
      </w:r>
    </w:p>
    <w:p>
      <w:r>
        <w:rPr>
          <w:rFonts w:ascii="Arial" w:hAnsi="Arial"/>
          <w:sz w:val="20"/>
        </w:rPr>
        <w:t>El backend se inicia desde backend/index.js. Carga variables con dotenv, usando DOTENV_CONFIG_PATH si se define o backend/.env por defecto.</w:t>
      </w:r>
    </w:p>
    <w:p>
      <w:r>
        <w:rPr>
          <w:rFonts w:ascii="Arial" w:hAnsi="Arial"/>
          <w:sz w:val="20"/>
        </w:rPr>
        <w:t>Funciones principales:</w:t>
      </w:r>
    </w:p>
    <w:p>
      <w:r>
        <w:rPr>
          <w:rFonts w:ascii="Arial" w:hAnsi="Arial"/>
          <w:sz w:val="20"/>
        </w:rPr>
        <w:t>- Configuración de Helmet.</w:t>
      </w:r>
    </w:p>
    <w:p>
      <w:r>
        <w:rPr>
          <w:rFonts w:ascii="Arial" w:hAnsi="Arial"/>
          <w:sz w:val="20"/>
        </w:rPr>
        <w:t>- Configuración de CORS.</w:t>
      </w:r>
    </w:p>
    <w:p>
      <w:r>
        <w:rPr>
          <w:rFonts w:ascii="Arial" w:hAnsi="Arial"/>
          <w:sz w:val="20"/>
        </w:rPr>
        <w:t>- Límite JSON de 256kb.</w:t>
      </w:r>
    </w:p>
    <w:p>
      <w:r>
        <w:rPr>
          <w:rFonts w:ascii="Arial" w:hAnsi="Arial"/>
          <w:sz w:val="20"/>
        </w:rPr>
        <w:t>- Rutas públicas de salud y autenticación.</w:t>
      </w:r>
    </w:p>
    <w:p>
      <w:r>
        <w:rPr>
          <w:rFonts w:ascii="Arial" w:hAnsi="Arial"/>
          <w:sz w:val="20"/>
        </w:rPr>
        <w:t>- Rutas protegidas de negocio.</w:t>
      </w:r>
    </w:p>
    <w:p>
      <w:r>
        <w:rPr>
          <w:rFonts w:ascii="Arial" w:hAnsi="Arial"/>
          <w:sz w:val="20"/>
        </w:rPr>
        <w:t>- Rutas administrativas para carga mensual de archivos Excel a staging/ETL.</w:t>
      </w:r>
    </w:p>
    <w:p>
      <w:r>
        <w:rPr>
          <w:rFonts w:ascii="Arial" w:hAnsi="Arial"/>
          <w:sz w:val="20"/>
        </w:rPr>
        <w:t>- Servicio estático de frontend compilado.</w:t>
      </w:r>
    </w:p>
    <w:p>
      <w:r>
        <w:rPr>
          <w:rFonts w:ascii="Arial" w:hAnsi="Arial"/>
          <w:sz w:val="20"/>
        </w:rPr>
        <w:t>- Cierre ordenado del pool Oracle.</w:t>
      </w:r>
    </w:p>
    <w:p>
      <w:pPr>
        <w:pStyle w:val="Ttulo2"/>
      </w:pPr>
      <w:r>
        <w:t>Seguridad HTTP y CORS</w:t>
      </w:r>
    </w:p>
    <w:p>
      <w:r>
        <w:rPr>
          <w:rFonts w:ascii="Arial" w:hAnsi="Arial"/>
          <w:sz w:val="20"/>
        </w:rPr>
        <w:t>El backend aplica helmet y deshabilita x-powered-by. La política CSP restringe carga de scripts y estilos al mismo origen, permite conexión a Microsoft para autenticación y bloquea frame-ancestors. El CORS se resuelve por solicitud:</w:t>
      </w:r>
    </w:p>
    <w:p>
      <w:r>
        <w:rPr>
          <w:rFonts w:ascii="Arial" w:hAnsi="Arial"/>
          <w:sz w:val="20"/>
        </w:rPr>
        <w:t>- Si no existe encabezado Origin, la solicitud se acepta.</w:t>
      </w:r>
    </w:p>
    <w:p>
      <w:r>
        <w:rPr>
          <w:rFonts w:ascii="Arial" w:hAnsi="Arial"/>
          <w:sz w:val="20"/>
        </w:rPr>
        <w:t>- Si el origen coincide con el mismo host calculado por proxy, se acepta.</w:t>
      </w:r>
    </w:p>
    <w:p>
      <w:r>
        <w:rPr>
          <w:rFonts w:ascii="Arial" w:hAnsi="Arial"/>
          <w:sz w:val="20"/>
        </w:rPr>
        <w:t>- Si el origen aparece en CORS_ORIGIN, se acepta.</w:t>
      </w:r>
    </w:p>
    <w:p>
      <w:r>
        <w:rPr>
          <w:rFonts w:ascii="Arial" w:hAnsi="Arial"/>
          <w:sz w:val="20"/>
        </w:rPr>
        <w:t>- En desarrollo, si no se configuró lista explícita, se permite el origen.</w:t>
      </w:r>
    </w:p>
    <w:p>
      <w:r>
        <w:rPr>
          <w:rFonts w:ascii="Arial" w:hAnsi="Arial"/>
          <w:sz w:val="20"/>
        </w:rPr>
        <w:t>- En producción, los orígenes no autorizados se rechazan.</w:t>
      </w:r>
    </w:p>
    <w:p>
      <w:r>
        <w:rPr>
          <w:rFonts w:ascii="Arial" w:hAnsi="Arial"/>
          <w:sz w:val="20"/>
        </w:rPr>
        <w:t>El tamaño máximo del cuerpo JSON está limitado a 256kb, lo cual reduce riesgo de cargas accidentales por rutas transaccionales.</w:t>
      </w:r>
    </w:p>
    <w:p>
      <w:pPr>
        <w:pStyle w:val="Ttulo2"/>
      </w:pPr>
      <w:r>
        <w:t>Autenticación y roles</w:t>
      </w:r>
    </w:p>
    <w:p>
      <w:r>
        <w:rPr>
          <w:rFonts w:ascii="Arial" w:hAnsi="Arial"/>
          <w:sz w:val="20"/>
        </w:rPr>
        <w:t>Aurora usa dos niveles de autenticación:</w:t>
      </w:r>
    </w:p>
    <w:p>
      <w:r>
        <w:rPr>
          <w:rFonts w:ascii="Arial" w:hAnsi="Arial"/>
          <w:sz w:val="20"/>
        </w:rPr>
        <w:t>1. Validación de identidad externa o local.</w:t>
      </w:r>
    </w:p>
    <w:p>
      <w:r>
        <w:rPr>
          <w:rFonts w:ascii="Arial" w:hAnsi="Arial"/>
          <w:sz w:val="20"/>
        </w:rPr>
        <w:t>2. Emisión de token interno de aplicación.</w:t>
      </w:r>
    </w:p>
    <w:p>
      <w:r>
        <w:rPr>
          <w:rFonts w:ascii="Arial" w:hAnsi="Arial"/>
          <w:sz w:val="20"/>
        </w:rPr>
        <w:t>En Azure AD, el backend valida el idToken con JWKS de Microsoft, verifica tenant, audience e issuer, y opcionalmente valida dominios, grupos o roles requeridos. En autenticación local, el usuario administrativo solo se permite si AUTH_LOCAL_ADMIN_ENABLED lo habilita; en producción no se admiten credenciales por defecto.</w:t>
      </w:r>
    </w:p>
    <w:p>
      <w:r>
        <w:rPr>
          <w:rFonts w:ascii="Arial" w:hAnsi="Arial"/>
          <w:sz w:val="20"/>
        </w:rPr>
        <w:t>El token interno se firma con AUTH_JWT_SECRET, algoritmo HS256, issuer y audience configurables. La duración estándar se controla con AUTH_TOKEN_TTL y la sesión recordada con AUTH_REMEMBER_TOKEN_TTL.</w:t>
      </w:r>
    </w:p>
    <w:p>
      <w:r>
        <w:rPr>
          <w:rFonts w:ascii="Arial" w:hAnsi="Arial"/>
          <w:sz w:val="20"/>
        </w:rPr>
        <w:t>Roles funcionales:</w:t>
      </w:r>
    </w:p>
    <w:tbl>
      <w:tblPr>
        <w:tblW w:type="auto" w:w="0"/>
        <w:tblLook w:firstColumn="1" w:firstRow="1" w:lastColumn="0" w:lastRow="0" w:noHBand="0" w:noVBand="1" w:val="04A0"/>
      </w:tblPr>
      <w:tblGrid>
        <w:gridCol w:w="4419"/>
        <w:gridCol w:w="4419"/>
      </w:tblGrid>
      <w:tr>
        <w:tc>
          <w:tcPr>
            <w:tcW w:type="dxa" w:w="4419"/>
          </w:tcPr>
          <w:p>
            <w:r>
              <w:rPr>
                <w:rFonts w:ascii="Arial" w:hAnsi="Arial"/>
                <w:b/>
                <w:sz w:val="18"/>
              </w:rPr>
              <w:t>Rol</w:t>
            </w:r>
          </w:p>
        </w:tc>
        <w:tc>
          <w:tcPr>
            <w:tcW w:type="dxa" w:w="4419"/>
          </w:tcPr>
          <w:p>
            <w:r>
              <w:rPr>
                <w:rFonts w:ascii="Arial" w:hAnsi="Arial"/>
                <w:b/>
                <w:sz w:val="18"/>
              </w:rPr>
              <w:t>Uso técnico</w:t>
            </w:r>
          </w:p>
        </w:tc>
      </w:tr>
      <w:tr>
        <w:tc>
          <w:tcPr>
            <w:tcW w:type="dxa" w:w="4419"/>
          </w:tcPr>
          <w:p>
            <w:r>
              <w:rPr>
                <w:rFonts w:ascii="Arial" w:hAnsi="Arial"/>
                <w:sz w:val="18"/>
              </w:rPr>
              <w:t>user</w:t>
            </w:r>
          </w:p>
        </w:tc>
        <w:tc>
          <w:tcPr>
            <w:tcW w:type="dxa" w:w="4419"/>
          </w:tcPr>
          <w:p>
            <w:r>
              <w:rPr>
                <w:rFonts w:ascii="Arial" w:hAnsi="Arial"/>
                <w:sz w:val="18"/>
              </w:rPr>
              <w:t>Acceso a rutas protegidas ordinarias: consulta, formularios, formatos, defensores y asignaciones según interfaz.</w:t>
            </w:r>
          </w:p>
        </w:tc>
      </w:tr>
      <w:tr>
        <w:tc>
          <w:tcPr>
            <w:tcW w:type="dxa" w:w="4419"/>
          </w:tcPr>
          <w:p>
            <w:r>
              <w:rPr>
                <w:rFonts w:ascii="Arial" w:hAnsi="Arial"/>
                <w:sz w:val="18"/>
              </w:rPr>
              <w:t>admin</w:t>
            </w:r>
          </w:p>
        </w:tc>
        <w:tc>
          <w:tcPr>
            <w:tcW w:type="dxa" w:w="4419"/>
          </w:tcPr>
          <w:p>
            <w:r>
              <w:rPr>
                <w:rFonts w:ascii="Arial" w:hAnsi="Arial"/>
                <w:sz w:val="18"/>
              </w:rPr>
              <w:t>Acceso ordinario y operación del módulo administrativo de cargas, cuando esté permitido por CARGUEBD_ADMIN_ROLES.</w:t>
            </w:r>
          </w:p>
        </w:tc>
      </w:tr>
    </w:tbl>
    <w:p/>
    <w:p>
      <w:r>
        <w:rPr>
          <w:rFonts w:ascii="Arial" w:hAnsi="Arial"/>
          <w:sz w:val="20"/>
        </w:rPr>
        <w:t>La ruta /api/admin/cargas aplica validación adicional de rol administrativo. Si CARGUEBD_ADMIN_ROLES se configura, el usuario autenticado debe tener al menos uno de esos roles.</w:t>
      </w:r>
    </w:p>
    <w:p>
      <w:pPr>
        <w:pStyle w:val="Ttulo1"/>
      </w:pPr>
      <w:r>
        <w:t>Configuración del frontend</w:t>
      </w:r>
    </w:p>
    <w:p>
      <w:r>
        <w:rPr>
          <w:rFonts w:ascii="Arial" w:hAnsi="Arial"/>
          <w:sz w:val="20"/>
        </w:rPr>
        <w:t>El frontend está en frontend/ y se compila con Vite.</w:t>
      </w:r>
    </w:p>
    <w:p>
      <w:r>
        <w:rPr>
          <w:rFonts w:ascii="Arial" w:hAnsi="Arial"/>
          <w:sz w:val="20"/>
        </w:rPr>
        <w:t>Variables relevantes:</w:t>
      </w:r>
    </w:p>
    <w:p>
      <w:r>
        <w:rPr>
          <w:rFonts w:ascii="Arial" w:hAnsi="Arial"/>
          <w:sz w:val="20"/>
        </w:rPr>
        <w:t>- VITE_API_BASE_URL</w:t>
      </w:r>
    </w:p>
    <w:p>
      <w:r>
        <w:rPr>
          <w:rFonts w:ascii="Arial" w:hAnsi="Arial"/>
          <w:sz w:val="20"/>
        </w:rPr>
        <w:t>- VITE_DEV_API_TARGET</w:t>
      </w:r>
    </w:p>
    <w:p>
      <w:r>
        <w:rPr>
          <w:rFonts w:ascii="Arial" w:hAnsi="Arial"/>
          <w:sz w:val="20"/>
        </w:rPr>
        <w:t>- VITE_DEV_PORT</w:t>
      </w:r>
    </w:p>
    <w:p>
      <w:r>
        <w:rPr>
          <w:rFonts w:ascii="Arial" w:hAnsi="Arial"/>
          <w:sz w:val="20"/>
        </w:rPr>
        <w:t>En desarrollo, Vite usa proxy para /api. En producción con el backend como servidor único, se recomienda VITE_API_BASE_URL=/api.</w:t>
      </w:r>
    </w:p>
    <w:p>
      <w:pPr>
        <w:pStyle w:val="Ttulo2"/>
      </w:pPr>
      <w:r>
        <w:t>Organización funcional del frontend</w:t>
      </w:r>
    </w:p>
    <w:tbl>
      <w:tblPr>
        <w:tblW w:type="auto" w:w="0"/>
        <w:tblLook w:firstColumn="1" w:firstRow="1" w:lastColumn="0" w:lastRow="0" w:noHBand="0" w:noVBand="1" w:val="04A0"/>
      </w:tblPr>
      <w:tblGrid>
        <w:gridCol w:w="2946"/>
        <w:gridCol w:w="2946"/>
        <w:gridCol w:w="2946"/>
      </w:tblGrid>
      <w:tr>
        <w:tc>
          <w:tcPr>
            <w:tcW w:type="dxa" w:w="2946"/>
          </w:tcPr>
          <w:p>
            <w:r>
              <w:rPr>
                <w:rFonts w:ascii="Arial" w:hAnsi="Arial"/>
                <w:b/>
                <w:sz w:val="18"/>
              </w:rPr>
              <w:t>Pantalla</w:t>
            </w:r>
          </w:p>
        </w:tc>
        <w:tc>
          <w:tcPr>
            <w:tcW w:type="dxa" w:w="2946"/>
          </w:tcPr>
          <w:p>
            <w:r>
              <w:rPr>
                <w:rFonts w:ascii="Arial" w:hAnsi="Arial"/>
                <w:b/>
                <w:sz w:val="18"/>
              </w:rPr>
              <w:t>Ruta fuente</w:t>
            </w:r>
          </w:p>
        </w:tc>
        <w:tc>
          <w:tcPr>
            <w:tcW w:type="dxa" w:w="2946"/>
          </w:tcPr>
          <w:p>
            <w:r>
              <w:rPr>
                <w:rFonts w:ascii="Arial" w:hAnsi="Arial"/>
                <w:b/>
                <w:sz w:val="18"/>
              </w:rPr>
              <w:t>Descripción técnica</w:t>
            </w:r>
          </w:p>
        </w:tc>
      </w:tr>
      <w:tr>
        <w:tc>
          <w:tcPr>
            <w:tcW w:type="dxa" w:w="2946"/>
          </w:tcPr>
          <w:p>
            <w:r>
              <w:rPr>
                <w:rFonts w:ascii="Arial" w:hAnsi="Arial"/>
                <w:sz w:val="18"/>
              </w:rPr>
              <w:t>Inicio</w:t>
            </w:r>
          </w:p>
        </w:tc>
        <w:tc>
          <w:tcPr>
            <w:tcW w:type="dxa" w:w="2946"/>
          </w:tcPr>
          <w:p>
            <w:r>
              <w:rPr>
                <w:rFonts w:ascii="Arial" w:hAnsi="Arial"/>
                <w:sz w:val="18"/>
              </w:rPr>
              <w:t>frontend/src/pages/Home.jsx</w:t>
            </w:r>
          </w:p>
        </w:tc>
        <w:tc>
          <w:tcPr>
            <w:tcW w:type="dxa" w:w="2946"/>
          </w:tcPr>
          <w:p>
            <w:r>
              <w:rPr>
                <w:rFonts w:ascii="Arial" w:hAnsi="Arial"/>
                <w:sz w:val="18"/>
              </w:rPr>
              <w:t>Panel de entrada a módulos principales.</w:t>
            </w:r>
          </w:p>
        </w:tc>
      </w:tr>
      <w:tr>
        <w:tc>
          <w:tcPr>
            <w:tcW w:type="dxa" w:w="2946"/>
          </w:tcPr>
          <w:p>
            <w:r>
              <w:rPr>
                <w:rFonts w:ascii="Arial" w:hAnsi="Arial"/>
                <w:sz w:val="18"/>
              </w:rPr>
              <w:t>Login</w:t>
            </w:r>
          </w:p>
        </w:tc>
        <w:tc>
          <w:tcPr>
            <w:tcW w:type="dxa" w:w="2946"/>
          </w:tcPr>
          <w:p>
            <w:r>
              <w:rPr>
                <w:rFonts w:ascii="Arial" w:hAnsi="Arial"/>
                <w:sz w:val="18"/>
              </w:rPr>
              <w:t>frontend/src/pages/LoginPage.jsx</w:t>
            </w:r>
          </w:p>
        </w:tc>
        <w:tc>
          <w:tcPr>
            <w:tcW w:type="dxa" w:w="2946"/>
          </w:tcPr>
          <w:p>
            <w:r>
              <w:rPr>
                <w:rFonts w:ascii="Arial" w:hAnsi="Arial"/>
                <w:sz w:val="18"/>
              </w:rPr>
              <w:t>Obtiene configuración de autenticación, invoca Azure AD o login local y almacena sesión.</w:t>
            </w:r>
          </w:p>
        </w:tc>
      </w:tr>
      <w:tr>
        <w:tc>
          <w:tcPr>
            <w:tcW w:type="dxa" w:w="2946"/>
          </w:tcPr>
          <w:p>
            <w:r>
              <w:rPr>
                <w:rFonts w:ascii="Arial" w:hAnsi="Arial"/>
                <w:sz w:val="18"/>
              </w:rPr>
              <w:t>Registros asignados</w:t>
            </w:r>
          </w:p>
        </w:tc>
        <w:tc>
          <w:tcPr>
            <w:tcW w:type="dxa" w:w="2946"/>
          </w:tcPr>
          <w:p>
            <w:r>
              <w:rPr>
                <w:rFonts w:ascii="Arial" w:hAnsi="Arial"/>
                <w:sz w:val="18"/>
              </w:rPr>
              <w:t>frontend/src/pages/RegistrosAsignados.jsx</w:t>
            </w:r>
          </w:p>
        </w:tc>
        <w:tc>
          <w:tcPr>
            <w:tcW w:type="dxa" w:w="2946"/>
          </w:tcPr>
          <w:p>
            <w:r>
              <w:rPr>
                <w:rFonts w:ascii="Arial" w:hAnsi="Arial"/>
                <w:sz w:val="18"/>
              </w:rPr>
              <w:t>Consulta listados, filtros y estados de actuación.</w:t>
            </w:r>
          </w:p>
        </w:tc>
      </w:tr>
      <w:tr>
        <w:tc>
          <w:tcPr>
            <w:tcW w:type="dxa" w:w="2946"/>
          </w:tcPr>
          <w:p>
            <w:r>
              <w:rPr>
                <w:rFonts w:ascii="Arial" w:hAnsi="Arial"/>
                <w:sz w:val="18"/>
              </w:rPr>
              <w:t>Formulario de atención</w:t>
            </w:r>
          </w:p>
        </w:tc>
        <w:tc>
          <w:tcPr>
            <w:tcW w:type="dxa" w:w="2946"/>
          </w:tcPr>
          <w:p>
            <w:r>
              <w:rPr>
                <w:rFonts w:ascii="Arial" w:hAnsi="Arial"/>
                <w:sz w:val="18"/>
              </w:rPr>
              <w:t>frontend/src/pages/FormularioAtencion.jsx</w:t>
            </w:r>
          </w:p>
        </w:tc>
        <w:tc>
          <w:tcPr>
            <w:tcW w:type="dxa" w:w="2946"/>
          </w:tcPr>
          <w:p>
            <w:r>
              <w:rPr>
                <w:rFonts w:ascii="Arial" w:hAnsi="Arial"/>
                <w:sz w:val="18"/>
              </w:rPr>
              <w:t>Orquesta captura progresiva, reglas de negocio, validación y guardado.</w:t>
            </w:r>
          </w:p>
        </w:tc>
      </w:tr>
      <w:tr>
        <w:tc>
          <w:tcPr>
            <w:tcW w:type="dxa" w:w="2946"/>
          </w:tcPr>
          <w:p>
            <w:r>
              <w:rPr>
                <w:rFonts w:ascii="Arial" w:hAnsi="Arial"/>
                <w:sz w:val="18"/>
              </w:rPr>
              <w:t>Asignación defensores</w:t>
            </w:r>
          </w:p>
        </w:tc>
        <w:tc>
          <w:tcPr>
            <w:tcW w:type="dxa" w:w="2946"/>
          </w:tcPr>
          <w:p>
            <w:r>
              <w:rPr>
                <w:rFonts w:ascii="Arial" w:hAnsi="Arial"/>
                <w:sz w:val="18"/>
              </w:rPr>
              <w:t>frontend/src/pages/AsignacionDefensores.jsx</w:t>
            </w:r>
          </w:p>
        </w:tc>
        <w:tc>
          <w:tcPr>
            <w:tcW w:type="dxa" w:w="2946"/>
          </w:tcPr>
          <w:p>
            <w:r>
              <w:rPr>
                <w:rFonts w:ascii="Arial" w:hAnsi="Arial"/>
                <w:sz w:val="18"/>
              </w:rPr>
              <w:t>Gestiona asignación y usa estado derivado para acción a impulsar.</w:t>
            </w:r>
          </w:p>
        </w:tc>
      </w:tr>
      <w:tr>
        <w:tc>
          <w:tcPr>
            <w:tcW w:type="dxa" w:w="2946"/>
          </w:tcPr>
          <w:p>
            <w:r>
              <w:rPr>
                <w:rFonts w:ascii="Arial" w:hAnsi="Arial"/>
                <w:sz w:val="18"/>
              </w:rPr>
              <w:t>Cargas BD</w:t>
            </w:r>
          </w:p>
        </w:tc>
        <w:tc>
          <w:tcPr>
            <w:tcW w:type="dxa" w:w="2946"/>
          </w:tcPr>
          <w:p>
            <w:r>
              <w:rPr>
                <w:rFonts w:ascii="Arial" w:hAnsi="Arial"/>
                <w:sz w:val="18"/>
              </w:rPr>
              <w:t>frontend/src/pages/AdminCargasBD.jsx</w:t>
            </w:r>
          </w:p>
        </w:tc>
        <w:tc>
          <w:tcPr>
            <w:tcW w:type="dxa" w:w="2946"/>
          </w:tcPr>
          <w:p>
            <w:r>
              <w:rPr>
                <w:rFonts w:ascii="Arial" w:hAnsi="Arial"/>
                <w:sz w:val="18"/>
              </w:rPr>
              <w:t>UI administrativa para subir archivos, consultar estado, logs y reintentar trabajos.</w:t>
            </w:r>
          </w:p>
        </w:tc>
      </w:tr>
      <w:tr>
        <w:tc>
          <w:tcPr>
            <w:tcW w:type="dxa" w:w="2946"/>
          </w:tcPr>
          <w:p>
            <w:r>
              <w:rPr>
                <w:rFonts w:ascii="Arial" w:hAnsi="Arial"/>
                <w:sz w:val="18"/>
              </w:rPr>
              <w:t>Caja de herramientas</w:t>
            </w:r>
          </w:p>
        </w:tc>
        <w:tc>
          <w:tcPr>
            <w:tcW w:type="dxa" w:w="2946"/>
          </w:tcPr>
          <w:p>
            <w:r>
              <w:rPr>
                <w:rFonts w:ascii="Arial" w:hAnsi="Arial"/>
                <w:sz w:val="18"/>
              </w:rPr>
              <w:t>frontend/src/pages/CajaHerramientas.jsx</w:t>
            </w:r>
          </w:p>
        </w:tc>
        <w:tc>
          <w:tcPr>
            <w:tcW w:type="dxa" w:w="2946"/>
          </w:tcPr>
          <w:p>
            <w:r>
              <w:rPr>
                <w:rFonts w:ascii="Arial" w:hAnsi="Arial"/>
                <w:sz w:val="18"/>
              </w:rPr>
              <w:t>Acceso a formatos y recursos de apoyo.</w:t>
            </w:r>
          </w:p>
        </w:tc>
      </w:tr>
      <w:tr>
        <w:tc>
          <w:tcPr>
            <w:tcW w:type="dxa" w:w="2946"/>
          </w:tcPr>
          <w:p>
            <w:r>
              <w:rPr>
                <w:rFonts w:ascii="Arial" w:hAnsi="Arial"/>
                <w:sz w:val="18"/>
              </w:rPr>
              <w:t>Manual interactivo</w:t>
            </w:r>
          </w:p>
        </w:tc>
        <w:tc>
          <w:tcPr>
            <w:tcW w:type="dxa" w:w="2946"/>
          </w:tcPr>
          <w:p>
            <w:r>
              <w:rPr>
                <w:rFonts w:ascii="Arial" w:hAnsi="Arial"/>
                <w:sz w:val="18"/>
              </w:rPr>
              <w:t>frontend/src/pages/ManualInteractivo.jsx</w:t>
            </w:r>
          </w:p>
        </w:tc>
        <w:tc>
          <w:tcPr>
            <w:tcW w:type="dxa" w:w="2946"/>
          </w:tcPr>
          <w:p>
            <w:r>
              <w:rPr>
                <w:rFonts w:ascii="Arial" w:hAnsi="Arial"/>
                <w:sz w:val="18"/>
              </w:rPr>
              <w:t>Consulta de ayuda funcional dentro de la aplicación.</w:t>
            </w:r>
          </w:p>
        </w:tc>
      </w:tr>
    </w:tbl>
    <w:p/>
    <w:p>
      <w:pPr>
        <w:pStyle w:val="Ttulo2"/>
      </w:pPr>
      <w:r>
        <w:t>Estados e historial de actuaciones</w:t>
      </w:r>
    </w:p>
    <w:p>
      <w:r>
        <w:rPr>
          <w:rFonts w:ascii="Arial" w:hAnsi="Arial"/>
          <w:sz w:val="20"/>
        </w:rPr>
        <w:t>- frontend/src/config/estadoActuaciones.rules.ts es el punto común para derivar etiquetas de estado.</w:t>
      </w:r>
    </w:p>
    <w:p>
      <w:r>
        <w:rPr>
          <w:rFonts w:ascii="Arial" w:hAnsi="Arial"/>
          <w:sz w:val="20"/>
        </w:rPr>
        <w:t>- FormularioAtencion.jsx sincroniza Estado del trámite y Estado del caso al guardar.</w:t>
      </w:r>
    </w:p>
    <w:p>
      <w:r>
        <w:rPr>
          <w:rFonts w:ascii="Arial" w:hAnsi="Arial"/>
          <w:sz w:val="20"/>
        </w:rPr>
        <w:t>- HistorialActuacionesPPL.jsx recalcula la fila activa con el registro vivo del formulario, por lo que la UI puede mostrar cambios de estado antes de guardar o recargar.</w:t>
      </w:r>
    </w:p>
    <w:p>
      <w:r>
        <w:rPr>
          <w:rFonts w:ascii="Arial" w:hAnsi="Arial"/>
          <w:sz w:val="20"/>
        </w:rPr>
        <w:t>- AsignacionDefensores.jsx usa el mismo derivador para Acción a impulsar.</w:t>
      </w:r>
    </w:p>
    <w:p>
      <w:pPr>
        <w:pStyle w:val="Ttulo2"/>
      </w:pPr>
      <w:r>
        <w:t>PWA y operacion offline</w:t>
      </w:r>
    </w:p>
    <w:p>
      <w:r>
        <w:rPr>
          <w:rFonts w:ascii="Arial" w:hAnsi="Arial"/>
          <w:sz w:val="20"/>
        </w:rPr>
        <w:t>Aurora incluye manifest y service worker de produccion. El build de frontend ejecuta frontend/scripts/inject-pwa-assets.mjs para precachear los assets hash generados por Vite en dist/assets.</w:t>
      </w:r>
    </w:p>
    <w:p>
      <w:r>
        <w:rPr>
          <w:rFonts w:ascii="Arial" w:hAnsi="Arial"/>
          <w:sz w:val="20"/>
        </w:rPr>
        <w:t>El service worker cachea el shell de la aplicacion y excluye las consultas /api para evitar datos de negocio obsoletos. Las escrituras criticas se pueden guardar en una cola IndexedDB acotada y reintentar con Background Sync o cuando el navegador emite online.</w:t>
      </w:r>
    </w:p>
    <w:p>
      <w:r>
        <w:rPr>
          <w:rFonts w:ascii="Arial" w:hAnsi="Arial"/>
          <w:sz w:val="20"/>
        </w:rPr>
        <w:t>Escrituras cubiertas:</w:t>
      </w:r>
    </w:p>
    <w:p>
      <w:r>
        <w:rPr>
          <w:rFonts w:ascii="Arial" w:hAnsi="Arial"/>
          <w:sz w:val="20"/>
        </w:rPr>
        <w:t>- PUT /api/ppl/:documento</w:t>
      </w:r>
    </w:p>
    <w:p>
      <w:r>
        <w:rPr>
          <w:rFonts w:ascii="Arial" w:hAnsi="Arial"/>
          <w:sz w:val="20"/>
        </w:rPr>
        <w:t>- POST /api/ppl/:documento/actuaciones</w:t>
      </w:r>
    </w:p>
    <w:p>
      <w:r>
        <w:rPr>
          <w:rFonts w:ascii="Arial" w:hAnsi="Arial"/>
          <w:sz w:val="20"/>
        </w:rPr>
        <w:t>- POST /api/ppl/asignar-defensor</w:t>
      </w:r>
    </w:p>
    <w:p>
      <w:r>
        <w:rPr>
          <w:rFonts w:ascii="Arial" w:hAnsi="Arial"/>
          <w:sz w:val="20"/>
        </w:rPr>
        <w:t>- POST /api/defensores</w:t>
      </w:r>
    </w:p>
    <w:p>
      <w:r>
        <w:rPr>
          <w:rFonts w:ascii="Arial" w:hAnsi="Arial"/>
          <w:sz w:val="20"/>
        </w:rPr>
        <w:t>Limites de la cola:</w:t>
      </w:r>
    </w:p>
    <w:p>
      <w:r>
        <w:rPr>
          <w:rFonts w:ascii="Arial" w:hAnsi="Arial"/>
          <w:sz w:val="20"/>
        </w:rPr>
        <w:t>- Maximo 75 solicitudes pendientes.</w:t>
      </w:r>
    </w:p>
    <w:p>
      <w:r>
        <w:rPr>
          <w:rFonts w:ascii="Arial" w:hAnsi="Arial"/>
          <w:sz w:val="20"/>
        </w:rPr>
        <w:t>- Maximo 256 KB por cuerpo.</w:t>
      </w:r>
    </w:p>
    <w:p>
      <w:r>
        <w:rPr>
          <w:rFonts w:ascii="Arial" w:hAnsi="Arial"/>
          <w:sz w:val="20"/>
        </w:rPr>
        <w:t>- El token de autenticacion se mantiene en memoria del service worker y no se persiste en IndexedDB.</w:t>
      </w:r>
    </w:p>
    <w:p>
      <w:r>
        <w:rPr>
          <w:rFonts w:ascii="Arial" w:hAnsi="Arial"/>
          <w:sz w:val="20"/>
        </w:rPr>
        <w:t>La documentacion detallada esta en documentacion/soporte/operacion/15_pwa_operacion_offline.md.</w:t>
      </w:r>
    </w:p>
    <w:p>
      <w:pPr>
        <w:pStyle w:val="Ttulo1"/>
      </w:pPr>
      <w:r>
        <w:t>Configuración de base de datos</w:t>
      </w:r>
    </w:p>
    <w:p>
      <w:r>
        <w:rPr>
          <w:rFonts w:ascii="Arial" w:hAnsi="Arial"/>
          <w:sz w:val="20"/>
        </w:rPr>
        <w:t>La conexión Oracle se configura en backend/config/oracle.js y backend/db/oraclePool.js.</w:t>
      </w:r>
    </w:p>
    <w:p>
      <w:r>
        <w:rPr>
          <w:rFonts w:ascii="Arial" w:hAnsi="Arial"/>
          <w:sz w:val="20"/>
        </w:rPr>
        <w:t>Variables requeridas:</w:t>
      </w:r>
    </w:p>
    <w:p>
      <w:r>
        <w:rPr>
          <w:rFonts w:ascii="Arial" w:hAnsi="Arial"/>
          <w:sz w:val="20"/>
        </w:rPr>
        <w:t>- ORACLE_USER</w:t>
      </w:r>
    </w:p>
    <w:p>
      <w:r>
        <w:rPr>
          <w:rFonts w:ascii="Arial" w:hAnsi="Arial"/>
          <w:sz w:val="20"/>
        </w:rPr>
        <w:t>- ORACLE_PASSWORD</w:t>
      </w:r>
    </w:p>
    <w:p>
      <w:r>
        <w:rPr>
          <w:rFonts w:ascii="Arial" w:hAnsi="Arial"/>
          <w:sz w:val="20"/>
        </w:rPr>
        <w:t>- ORACLE_HOST</w:t>
      </w:r>
    </w:p>
    <w:p>
      <w:r>
        <w:rPr>
          <w:rFonts w:ascii="Arial" w:hAnsi="Arial"/>
          <w:sz w:val="20"/>
        </w:rPr>
        <w:t>- ORACLE_PORT</w:t>
      </w:r>
    </w:p>
    <w:p>
      <w:r>
        <w:rPr>
          <w:rFonts w:ascii="Arial" w:hAnsi="Arial"/>
          <w:sz w:val="20"/>
        </w:rPr>
        <w:t>- ORACLE_SERVICE_NAME</w:t>
      </w:r>
    </w:p>
    <w:p>
      <w:r>
        <w:rPr>
          <w:rFonts w:ascii="Arial" w:hAnsi="Arial"/>
          <w:sz w:val="20"/>
        </w:rPr>
        <w:t>- ORACLE_SCHEMA</w:t>
      </w:r>
    </w:p>
    <w:p>
      <w:r>
        <w:rPr>
          <w:rFonts w:ascii="Arial" w:hAnsi="Arial"/>
          <w:sz w:val="20"/>
        </w:rPr>
        <w:t>El backend reemplaza referencias DNDP. por el esquema configurado en ORACLE_SCHEMA. Si no se define, usa ORACLE_USER.</w:t>
      </w:r>
    </w:p>
    <w:p>
      <w:pPr>
        <w:pStyle w:val="Ttulo2"/>
      </w:pPr>
      <w:r>
        <w:t>Acceso a datos y normalización</w:t>
      </w:r>
    </w:p>
    <w:p>
      <w:r>
        <w:rPr>
          <w:rFonts w:ascii="Arial" w:hAnsi="Arial"/>
          <w:sz w:val="20"/>
        </w:rPr>
        <w:t>El acceso a Oracle está separado en repositorios para evitar SQL disperso en las rutas:</w:t>
      </w:r>
    </w:p>
    <w:p>
      <w:r>
        <w:rPr>
          <w:rFonts w:ascii="Arial" w:hAnsi="Arial"/>
          <w:sz w:val="20"/>
        </w:rPr>
        <w:t>- oraclePool.js: creación, reutilización y cierre del pool.</w:t>
      </w:r>
    </w:p>
    <w:p>
      <w:r>
        <w:rPr>
          <w:rFonts w:ascii="Arial" w:hAnsi="Arial"/>
          <w:sz w:val="20"/>
        </w:rPr>
        <w:t>- oracleConsolidado.repo.js: consulta consolidada y utilidades de normalización de columnas.</w:t>
      </w:r>
    </w:p>
    <w:p>
      <w:r>
        <w:rPr>
          <w:rFonts w:ascii="Arial" w:hAnsi="Arial"/>
          <w:sz w:val="20"/>
        </w:rPr>
        <w:t>- personaRepository.js: detalle y persistencia de datos asociados a persona/documento.</w:t>
      </w:r>
    </w:p>
    <w:p>
      <w:r>
        <w:rPr>
          <w:rFonts w:ascii="Arial" w:hAnsi="Arial"/>
          <w:sz w:val="20"/>
        </w:rPr>
        <w:t>- gestionRepository.js: actuaciones e historial.</w:t>
      </w:r>
    </w:p>
    <w:p>
      <w:r>
        <w:rPr>
          <w:rFonts w:ascii="Arial" w:hAnsi="Arial"/>
          <w:sz w:val="20"/>
        </w:rPr>
        <w:t>- asignacionRepository.js: asignación de defensores.</w:t>
      </w:r>
    </w:p>
    <w:p>
      <w:r>
        <w:rPr>
          <w:rFonts w:ascii="Arial" w:hAnsi="Arial"/>
          <w:sz w:val="20"/>
        </w:rPr>
        <w:t>- pagRepository.js: validación contra PAG.</w:t>
      </w:r>
    </w:p>
    <w:p>
      <w:r>
        <w:rPr>
          <w:rFonts w:ascii="Arial" w:hAnsi="Arial"/>
          <w:sz w:val="20"/>
        </w:rPr>
        <w:t>- defensoresRepository.js: catálogo y alta de defensores.</w:t>
      </w:r>
    </w:p>
    <w:p>
      <w:r>
        <w:rPr>
          <w:rFonts w:ascii="Arial" w:hAnsi="Arial"/>
          <w:sz w:val="20"/>
        </w:rPr>
        <w:t>- calificacionConductaRepository.js y situacionRepository.js: datos complementarios usados en el formulario.</w:t>
      </w:r>
    </w:p>
    <w:p>
      <w:r>
        <w:rPr>
          <w:rFonts w:ascii="Arial" w:hAnsi="Arial"/>
          <w:sz w:val="20"/>
        </w:rPr>
        <w:t>El backend trabaja con datos heredados que pueden llegar con nombres de columnas, acentos o codificaciones diferentes. Por esa razón varias capas aplican normalización tolerante de texto, fallback entre nombres equivalentes y mapeo a nombres canónicos antes de exponer datos al frontend.</w:t>
      </w:r>
    </w:p>
    <w:p>
      <w:pPr>
        <w:pStyle w:val="Ttulo2"/>
      </w:pPr>
      <w:r>
        <w:t>Modelo lógico usado por la aplicación</w:t>
      </w:r>
    </w:p>
    <w:p>
      <w:r>
        <w:rPr>
          <w:rFonts w:ascii="Arial" w:hAnsi="Arial"/>
          <w:sz w:val="20"/>
        </w:rPr>
        <w:t>Aunque el modelo físico reside en Oracle, Aurora opera sobre estos conceptos funcionales:</w:t>
      </w:r>
    </w:p>
    <w:tbl>
      <w:tblPr>
        <w:tblW w:type="auto" w:w="0"/>
        <w:tblLook w:firstColumn="1" w:firstRow="1" w:lastColumn="0" w:lastRow="0" w:noHBand="0" w:noVBand="1" w:val="04A0"/>
      </w:tblPr>
      <w:tblGrid>
        <w:gridCol w:w="4419"/>
        <w:gridCol w:w="4419"/>
      </w:tblGrid>
      <w:tr>
        <w:tc>
          <w:tcPr>
            <w:tcW w:type="dxa" w:w="4419"/>
          </w:tcPr>
          <w:p>
            <w:r>
              <w:rPr>
                <w:rFonts w:ascii="Arial" w:hAnsi="Arial"/>
                <w:b/>
                <w:sz w:val="18"/>
              </w:rPr>
              <w:t>Concepto</w:t>
            </w:r>
          </w:p>
        </w:tc>
        <w:tc>
          <w:tcPr>
            <w:tcW w:type="dxa" w:w="4419"/>
          </w:tcPr>
          <w:p>
            <w:r>
              <w:rPr>
                <w:rFonts w:ascii="Arial" w:hAnsi="Arial"/>
                <w:b/>
                <w:sz w:val="18"/>
              </w:rPr>
              <w:t>Uso en Aurora</w:t>
            </w:r>
          </w:p>
        </w:tc>
      </w:tr>
      <w:tr>
        <w:tc>
          <w:tcPr>
            <w:tcW w:type="dxa" w:w="4419"/>
          </w:tcPr>
          <w:p>
            <w:r>
              <w:rPr>
                <w:rFonts w:ascii="Arial" w:hAnsi="Arial"/>
                <w:sz w:val="18"/>
              </w:rPr>
              <w:t>Persona privada de la libertad</w:t>
            </w:r>
          </w:p>
        </w:tc>
        <w:tc>
          <w:tcPr>
            <w:tcW w:type="dxa" w:w="4419"/>
          </w:tcPr>
          <w:p>
            <w:r>
              <w:rPr>
                <w:rFonts w:ascii="Arial" w:hAnsi="Arial"/>
                <w:sz w:val="18"/>
              </w:rPr>
              <w:t>Registro principal consultado por documento, nombre, ubicación, situación jurídica y proceso.</w:t>
            </w:r>
          </w:p>
        </w:tc>
      </w:tr>
      <w:tr>
        <w:tc>
          <w:tcPr>
            <w:tcW w:type="dxa" w:w="4419"/>
          </w:tcPr>
          <w:p>
            <w:r>
              <w:rPr>
                <w:rFonts w:ascii="Arial" w:hAnsi="Arial"/>
                <w:sz w:val="18"/>
              </w:rPr>
              <w:t>Situación jurídica</w:t>
            </w:r>
          </w:p>
        </w:tc>
        <w:tc>
          <w:tcPr>
            <w:tcW w:type="dxa" w:w="4419"/>
          </w:tcPr>
          <w:p>
            <w:r>
              <w:rPr>
                <w:rFonts w:ascii="Arial" w:hAnsi="Arial"/>
                <w:sz w:val="18"/>
              </w:rPr>
              <w:t>Define si el flujo funcional es de condenados (Aurora) o sindicados.</w:t>
            </w:r>
          </w:p>
        </w:tc>
      </w:tr>
      <w:tr>
        <w:tc>
          <w:tcPr>
            <w:tcW w:type="dxa" w:w="4419"/>
          </w:tcPr>
          <w:p>
            <w:r>
              <w:rPr>
                <w:rFonts w:ascii="Arial" w:hAnsi="Arial"/>
                <w:sz w:val="18"/>
              </w:rPr>
              <w:t>Actuación</w:t>
            </w:r>
          </w:p>
        </w:tc>
        <w:tc>
          <w:tcPr>
            <w:tcW w:type="dxa" w:w="4419"/>
          </w:tcPr>
          <w:p>
            <w:r>
              <w:rPr>
                <w:rFonts w:ascii="Arial" w:hAnsi="Arial"/>
                <w:sz w:val="18"/>
              </w:rPr>
              <w:t>Unidad de seguimiento jurídico asociada a una persona y a un formulario diligenciado.</w:t>
            </w:r>
          </w:p>
        </w:tc>
      </w:tr>
      <w:tr>
        <w:tc>
          <w:tcPr>
            <w:tcW w:type="dxa" w:w="4419"/>
          </w:tcPr>
          <w:p>
            <w:r>
              <w:rPr>
                <w:rFonts w:ascii="Arial" w:hAnsi="Arial"/>
                <w:sz w:val="18"/>
              </w:rPr>
              <w:t>Defensor asignado</w:t>
            </w:r>
          </w:p>
        </w:tc>
        <w:tc>
          <w:tcPr>
            <w:tcW w:type="dxa" w:w="4419"/>
          </w:tcPr>
          <w:p>
            <w:r>
              <w:rPr>
                <w:rFonts w:ascii="Arial" w:hAnsi="Arial"/>
                <w:sz w:val="18"/>
              </w:rPr>
              <w:t>Responsable funcional de tramitar la solicitud o hacer seguimiento.</w:t>
            </w:r>
          </w:p>
        </w:tc>
      </w:tr>
      <w:tr>
        <w:tc>
          <w:tcPr>
            <w:tcW w:type="dxa" w:w="4419"/>
          </w:tcPr>
          <w:p>
            <w:r>
              <w:rPr>
                <w:rFonts w:ascii="Arial" w:hAnsi="Arial"/>
                <w:sz w:val="18"/>
              </w:rPr>
              <w:t>Estado del trámite/caso</w:t>
            </w:r>
          </w:p>
        </w:tc>
        <w:tc>
          <w:tcPr>
            <w:tcW w:type="dxa" w:w="4419"/>
          </w:tcPr>
          <w:p>
            <w:r>
              <w:rPr>
                <w:rFonts w:ascii="Arial" w:hAnsi="Arial"/>
                <w:sz w:val="18"/>
              </w:rPr>
              <w:t>Resultado derivado de reglas de negocio y persistido para consulta operativa.</w:t>
            </w:r>
          </w:p>
        </w:tc>
      </w:tr>
      <w:tr>
        <w:tc>
          <w:tcPr>
            <w:tcW w:type="dxa" w:w="4419"/>
          </w:tcPr>
          <w:p>
            <w:r>
              <w:rPr>
                <w:rFonts w:ascii="Arial" w:hAnsi="Arial"/>
                <w:sz w:val="18"/>
              </w:rPr>
              <w:t>Cargas staging</w:t>
            </w:r>
          </w:p>
        </w:tc>
        <w:tc>
          <w:tcPr>
            <w:tcW w:type="dxa" w:w="4419"/>
          </w:tcPr>
          <w:p>
            <w:r>
              <w:rPr>
                <w:rFonts w:ascii="Arial" w:hAnsi="Arial"/>
                <w:sz w:val="18"/>
              </w:rPr>
              <w:t>Datos mensuales de fuentes externas usados para alimentar tablas intermedias y procesos ETL.</w:t>
            </w:r>
          </w:p>
        </w:tc>
      </w:tr>
    </w:tbl>
    <w:p/>
    <w:p>
      <w:r>
        <w:rPr>
          <w:rFonts w:ascii="Arial" w:hAnsi="Arial"/>
          <w:sz w:val="20"/>
        </w:rPr>
        <w:t>Los documentos específicos del modelo se mantienen en documentacion/documentacion_tecnica/DESCRIPCION_MODELO_DATOS_AURORA.md y documentacion/documentacion_tecnica/base_datos/.</w:t>
      </w:r>
    </w:p>
    <w:p>
      <w:pPr>
        <w:pStyle w:val="Ttulo1"/>
      </w:pPr>
      <w:r>
        <w:t>API principal</w:t>
      </w:r>
    </w:p>
    <w:p>
      <w:r>
        <w:rPr>
          <w:rFonts w:ascii="Arial" w:hAnsi="Arial"/>
          <w:sz w:val="20"/>
        </w:rPr>
        <w:t>Todas las rutas de negocio bajo /api devuelven JSON en UTF-8. Las rutas funcionales están protegidas por requireAuth, salvo salud y autenticación.</w:t>
      </w:r>
    </w:p>
    <w:tbl>
      <w:tblPr>
        <w:tblW w:type="auto" w:w="0"/>
        <w:tblLook w:firstColumn="1" w:firstRow="1" w:lastColumn="0" w:lastRow="0" w:noHBand="0" w:noVBand="1" w:val="04A0"/>
      </w:tblPr>
      <w:tblGrid>
        <w:gridCol w:w="2209"/>
        <w:gridCol w:w="2209"/>
        <w:gridCol w:w="2209"/>
        <w:gridCol w:w="2209"/>
      </w:tblGrid>
      <w:tr>
        <w:tc>
          <w:tcPr>
            <w:tcW w:type="dxa" w:w="2209"/>
          </w:tcPr>
          <w:p>
            <w:r>
              <w:rPr>
                <w:rFonts w:ascii="Arial" w:hAnsi="Arial"/>
                <w:b/>
                <w:sz w:val="18"/>
              </w:rPr>
              <w:t>Método</w:t>
            </w:r>
          </w:p>
        </w:tc>
        <w:tc>
          <w:tcPr>
            <w:tcW w:type="dxa" w:w="2209"/>
          </w:tcPr>
          <w:p>
            <w:r>
              <w:rPr>
                <w:rFonts w:ascii="Arial" w:hAnsi="Arial"/>
                <w:b/>
                <w:sz w:val="18"/>
              </w:rPr>
              <w:t>Ruta</w:t>
            </w:r>
          </w:p>
        </w:tc>
        <w:tc>
          <w:tcPr>
            <w:tcW w:type="dxa" w:w="2209"/>
          </w:tcPr>
          <w:p>
            <w:r>
              <w:rPr>
                <w:rFonts w:ascii="Arial" w:hAnsi="Arial"/>
                <w:b/>
                <w:sz w:val="18"/>
              </w:rPr>
              <w:t>Protección</w:t>
            </w:r>
          </w:p>
        </w:tc>
        <w:tc>
          <w:tcPr>
            <w:tcW w:type="dxa" w:w="2209"/>
          </w:tcPr>
          <w:p>
            <w:r>
              <w:rPr>
                <w:rFonts w:ascii="Arial" w:hAnsi="Arial"/>
                <w:b/>
                <w:sz w:val="18"/>
              </w:rPr>
              <w:t>Uso</w:t>
            </w:r>
          </w:p>
        </w:tc>
      </w:tr>
      <w:tr>
        <w:tc>
          <w:tcPr>
            <w:tcW w:type="dxa" w:w="2209"/>
          </w:tcPr>
          <w:p>
            <w:r>
              <w:rPr>
                <w:rFonts w:ascii="Arial" w:hAnsi="Arial"/>
                <w:sz w:val="18"/>
              </w:rPr>
              <w:t>GET</w:t>
            </w:r>
          </w:p>
        </w:tc>
        <w:tc>
          <w:tcPr>
            <w:tcW w:type="dxa" w:w="2209"/>
          </w:tcPr>
          <w:p>
            <w:r>
              <w:rPr>
                <w:rFonts w:ascii="Arial" w:hAnsi="Arial"/>
                <w:sz w:val="18"/>
              </w:rPr>
              <w:t>/api/health</w:t>
            </w:r>
          </w:p>
        </w:tc>
        <w:tc>
          <w:tcPr>
            <w:tcW w:type="dxa" w:w="2209"/>
          </w:tcPr>
          <w:p>
            <w:r>
              <w:rPr>
                <w:rFonts w:ascii="Arial" w:hAnsi="Arial"/>
                <w:sz w:val="18"/>
              </w:rPr>
              <w:t>Pública</w:t>
            </w:r>
          </w:p>
        </w:tc>
        <w:tc>
          <w:tcPr>
            <w:tcW w:type="dxa" w:w="2209"/>
          </w:tcPr>
          <w:p>
            <w:r>
              <w:rPr>
                <w:rFonts w:ascii="Arial" w:hAnsi="Arial"/>
                <w:sz w:val="18"/>
              </w:rPr>
              <w:t>Verifica que el backend esté operativo.</w:t>
            </w:r>
          </w:p>
        </w:tc>
      </w:tr>
      <w:tr>
        <w:tc>
          <w:tcPr>
            <w:tcW w:type="dxa" w:w="2209"/>
          </w:tcPr>
          <w:p>
            <w:r>
              <w:rPr>
                <w:rFonts w:ascii="Arial" w:hAnsi="Arial"/>
                <w:sz w:val="18"/>
              </w:rPr>
              <w:t>GET</w:t>
            </w:r>
          </w:p>
        </w:tc>
        <w:tc>
          <w:tcPr>
            <w:tcW w:type="dxa" w:w="2209"/>
          </w:tcPr>
          <w:p>
            <w:r>
              <w:rPr>
                <w:rFonts w:ascii="Arial" w:hAnsi="Arial"/>
                <w:sz w:val="18"/>
              </w:rPr>
              <w:t>/api/health/db</w:t>
            </w:r>
          </w:p>
        </w:tc>
        <w:tc>
          <w:tcPr>
            <w:tcW w:type="dxa" w:w="2209"/>
          </w:tcPr>
          <w:p>
            <w:r>
              <w:rPr>
                <w:rFonts w:ascii="Arial" w:hAnsi="Arial"/>
                <w:sz w:val="18"/>
              </w:rPr>
              <w:t>Pública</w:t>
            </w:r>
          </w:p>
        </w:tc>
        <w:tc>
          <w:tcPr>
            <w:tcW w:type="dxa" w:w="2209"/>
          </w:tcPr>
          <w:p>
            <w:r>
              <w:rPr>
                <w:rFonts w:ascii="Arial" w:hAnsi="Arial"/>
                <w:sz w:val="18"/>
              </w:rPr>
              <w:t>Verifica conectividad con Oracle.</w:t>
            </w:r>
          </w:p>
        </w:tc>
      </w:tr>
      <w:tr>
        <w:tc>
          <w:tcPr>
            <w:tcW w:type="dxa" w:w="2209"/>
          </w:tcPr>
          <w:p>
            <w:r>
              <w:rPr>
                <w:rFonts w:ascii="Arial" w:hAnsi="Arial"/>
                <w:sz w:val="18"/>
              </w:rPr>
              <w:t>GET</w:t>
            </w:r>
          </w:p>
        </w:tc>
        <w:tc>
          <w:tcPr>
            <w:tcW w:type="dxa" w:w="2209"/>
          </w:tcPr>
          <w:p>
            <w:r>
              <w:rPr>
                <w:rFonts w:ascii="Arial" w:hAnsi="Arial"/>
                <w:sz w:val="18"/>
              </w:rPr>
              <w:t>/api/auth/config</w:t>
            </w:r>
          </w:p>
        </w:tc>
        <w:tc>
          <w:tcPr>
            <w:tcW w:type="dxa" w:w="2209"/>
          </w:tcPr>
          <w:p>
            <w:r>
              <w:rPr>
                <w:rFonts w:ascii="Arial" w:hAnsi="Arial"/>
                <w:sz w:val="18"/>
              </w:rPr>
              <w:t>Pública</w:t>
            </w:r>
          </w:p>
        </w:tc>
        <w:tc>
          <w:tcPr>
            <w:tcW w:type="dxa" w:w="2209"/>
          </w:tcPr>
          <w:p>
            <w:r>
              <w:rPr>
                <w:rFonts w:ascii="Arial" w:hAnsi="Arial"/>
                <w:sz w:val="18"/>
              </w:rPr>
              <w:t>Informa si login local/Azure AD están disponibles.</w:t>
            </w:r>
          </w:p>
        </w:tc>
      </w:tr>
      <w:tr>
        <w:tc>
          <w:tcPr>
            <w:tcW w:type="dxa" w:w="2209"/>
          </w:tcPr>
          <w:p>
            <w:r>
              <w:rPr>
                <w:rFonts w:ascii="Arial" w:hAnsi="Arial"/>
                <w:sz w:val="18"/>
              </w:rPr>
              <w:t>POST</w:t>
            </w:r>
          </w:p>
        </w:tc>
        <w:tc>
          <w:tcPr>
            <w:tcW w:type="dxa" w:w="2209"/>
          </w:tcPr>
          <w:p>
            <w:r>
              <w:rPr>
                <w:rFonts w:ascii="Arial" w:hAnsi="Arial"/>
                <w:sz w:val="18"/>
              </w:rPr>
              <w:t>/api/auth/login</w:t>
            </w:r>
          </w:p>
        </w:tc>
        <w:tc>
          <w:tcPr>
            <w:tcW w:type="dxa" w:w="2209"/>
          </w:tcPr>
          <w:p>
            <w:r>
              <w:rPr>
                <w:rFonts w:ascii="Arial" w:hAnsi="Arial"/>
                <w:sz w:val="18"/>
              </w:rPr>
              <w:t>Pública con rate limit</w:t>
            </w:r>
          </w:p>
        </w:tc>
        <w:tc>
          <w:tcPr>
            <w:tcW w:type="dxa" w:w="2209"/>
          </w:tcPr>
          <w:p>
            <w:r>
              <w:rPr>
                <w:rFonts w:ascii="Arial" w:hAnsi="Arial"/>
                <w:sz w:val="18"/>
              </w:rPr>
              <w:t>Login local administrativo.</w:t>
            </w:r>
          </w:p>
        </w:tc>
      </w:tr>
      <w:tr>
        <w:tc>
          <w:tcPr>
            <w:tcW w:type="dxa" w:w="2209"/>
          </w:tcPr>
          <w:p>
            <w:r>
              <w:rPr>
                <w:rFonts w:ascii="Arial" w:hAnsi="Arial"/>
                <w:sz w:val="18"/>
              </w:rPr>
              <w:t>POST</w:t>
            </w:r>
          </w:p>
        </w:tc>
        <w:tc>
          <w:tcPr>
            <w:tcW w:type="dxa" w:w="2209"/>
          </w:tcPr>
          <w:p>
            <w:r>
              <w:rPr>
                <w:rFonts w:ascii="Arial" w:hAnsi="Arial"/>
                <w:sz w:val="18"/>
              </w:rPr>
              <w:t>/api/auth/azure-ad</w:t>
            </w:r>
          </w:p>
        </w:tc>
        <w:tc>
          <w:tcPr>
            <w:tcW w:type="dxa" w:w="2209"/>
          </w:tcPr>
          <w:p>
            <w:r>
              <w:rPr>
                <w:rFonts w:ascii="Arial" w:hAnsi="Arial"/>
                <w:sz w:val="18"/>
              </w:rPr>
              <w:t>Pública con rate limit</w:t>
            </w:r>
          </w:p>
        </w:tc>
        <w:tc>
          <w:tcPr>
            <w:tcW w:type="dxa" w:w="2209"/>
          </w:tcPr>
          <w:p>
            <w:r>
              <w:rPr>
                <w:rFonts w:ascii="Arial" w:hAnsi="Arial"/>
                <w:sz w:val="18"/>
              </w:rPr>
              <w:t>Intercambia idToken Azure AD por JWT Aurora.</w:t>
            </w:r>
          </w:p>
        </w:tc>
      </w:tr>
      <w:tr>
        <w:tc>
          <w:tcPr>
            <w:tcW w:type="dxa" w:w="2209"/>
          </w:tcPr>
          <w:p>
            <w:r>
              <w:rPr>
                <w:rFonts w:ascii="Arial" w:hAnsi="Arial"/>
                <w:sz w:val="18"/>
              </w:rPr>
              <w:t>GET</w:t>
            </w:r>
          </w:p>
        </w:tc>
        <w:tc>
          <w:tcPr>
            <w:tcW w:type="dxa" w:w="2209"/>
          </w:tcPr>
          <w:p>
            <w:r>
              <w:rPr>
                <w:rFonts w:ascii="Arial" w:hAnsi="Arial"/>
                <w:sz w:val="18"/>
              </w:rPr>
              <w:t>/api/auth/me</w:t>
            </w:r>
          </w:p>
        </w:tc>
        <w:tc>
          <w:tcPr>
            <w:tcW w:type="dxa" w:w="2209"/>
          </w:tcPr>
          <w:p>
            <w:r>
              <w:rPr>
                <w:rFonts w:ascii="Arial" w:hAnsi="Arial"/>
                <w:sz w:val="18"/>
              </w:rPr>
              <w:t>JWT</w:t>
            </w:r>
          </w:p>
        </w:tc>
        <w:tc>
          <w:tcPr>
            <w:tcW w:type="dxa" w:w="2209"/>
          </w:tcPr>
          <w:p>
            <w:r>
              <w:rPr>
                <w:rFonts w:ascii="Arial" w:hAnsi="Arial"/>
                <w:sz w:val="18"/>
              </w:rPr>
              <w:t>Retorna usuario autenticado.</w:t>
            </w:r>
          </w:p>
        </w:tc>
      </w:tr>
      <w:tr>
        <w:tc>
          <w:tcPr>
            <w:tcW w:type="dxa" w:w="2209"/>
          </w:tcPr>
          <w:p>
            <w:r>
              <w:rPr>
                <w:rFonts w:ascii="Arial" w:hAnsi="Arial"/>
                <w:sz w:val="18"/>
              </w:rPr>
              <w:t>GET</w:t>
            </w:r>
          </w:p>
        </w:tc>
        <w:tc>
          <w:tcPr>
            <w:tcW w:type="dxa" w:w="2209"/>
          </w:tcPr>
          <w:p>
            <w:r>
              <w:rPr>
                <w:rFonts w:ascii="Arial" w:hAnsi="Arial"/>
                <w:sz w:val="18"/>
              </w:rPr>
              <w:t>/api/ppl</w:t>
            </w:r>
          </w:p>
        </w:tc>
        <w:tc>
          <w:tcPr>
            <w:tcW w:type="dxa" w:w="2209"/>
          </w:tcPr>
          <w:p>
            <w:r>
              <w:rPr>
                <w:rFonts w:ascii="Arial" w:hAnsi="Arial"/>
                <w:sz w:val="18"/>
              </w:rPr>
              <w:t>JWT</w:t>
            </w:r>
          </w:p>
        </w:tc>
        <w:tc>
          <w:tcPr>
            <w:tcW w:type="dxa" w:w="2209"/>
          </w:tcPr>
          <w:p>
            <w:r>
              <w:rPr>
                <w:rFonts w:ascii="Arial" w:hAnsi="Arial"/>
                <w:sz w:val="18"/>
              </w:rPr>
              <w:t>Lista registros base.</w:t>
            </w:r>
          </w:p>
        </w:tc>
      </w:tr>
      <w:tr>
        <w:tc>
          <w:tcPr>
            <w:tcW w:type="dxa" w:w="2209"/>
          </w:tcPr>
          <w:p>
            <w:r>
              <w:rPr>
                <w:rFonts w:ascii="Arial" w:hAnsi="Arial"/>
                <w:sz w:val="18"/>
              </w:rPr>
              <w:t>GET</w:t>
            </w:r>
          </w:p>
        </w:tc>
        <w:tc>
          <w:tcPr>
            <w:tcW w:type="dxa" w:w="2209"/>
          </w:tcPr>
          <w:p>
            <w:r>
              <w:rPr>
                <w:rFonts w:ascii="Arial" w:hAnsi="Arial"/>
                <w:sz w:val="18"/>
              </w:rPr>
              <w:t>/api/ppl/condenados</w:t>
            </w:r>
          </w:p>
        </w:tc>
        <w:tc>
          <w:tcPr>
            <w:tcW w:type="dxa" w:w="2209"/>
          </w:tcPr>
          <w:p>
            <w:r>
              <w:rPr>
                <w:rFonts w:ascii="Arial" w:hAnsi="Arial"/>
                <w:sz w:val="18"/>
              </w:rPr>
              <w:t>JWT</w:t>
            </w:r>
          </w:p>
        </w:tc>
        <w:tc>
          <w:tcPr>
            <w:tcW w:type="dxa" w:w="2209"/>
          </w:tcPr>
          <w:p>
            <w:r>
              <w:rPr>
                <w:rFonts w:ascii="Arial" w:hAnsi="Arial"/>
                <w:sz w:val="18"/>
              </w:rPr>
              <w:t>Lista condenados con filtros y paginación acotada.</w:t>
            </w:r>
          </w:p>
        </w:tc>
      </w:tr>
      <w:tr>
        <w:tc>
          <w:tcPr>
            <w:tcW w:type="dxa" w:w="2209"/>
          </w:tcPr>
          <w:p>
            <w:r>
              <w:rPr>
                <w:rFonts w:ascii="Arial" w:hAnsi="Arial"/>
                <w:sz w:val="18"/>
              </w:rPr>
              <w:t>GET</w:t>
            </w:r>
          </w:p>
        </w:tc>
        <w:tc>
          <w:tcPr>
            <w:tcW w:type="dxa" w:w="2209"/>
          </w:tcPr>
          <w:p>
            <w:r>
              <w:rPr>
                <w:rFonts w:ascii="Arial" w:hAnsi="Arial"/>
                <w:sz w:val="18"/>
              </w:rPr>
              <w:t>/api/ppl/condenados/filter-options</w:t>
            </w:r>
          </w:p>
        </w:tc>
        <w:tc>
          <w:tcPr>
            <w:tcW w:type="dxa" w:w="2209"/>
          </w:tcPr>
          <w:p>
            <w:r>
              <w:rPr>
                <w:rFonts w:ascii="Arial" w:hAnsi="Arial"/>
                <w:sz w:val="18"/>
              </w:rPr>
              <w:t>JWT</w:t>
            </w:r>
          </w:p>
        </w:tc>
        <w:tc>
          <w:tcPr>
            <w:tcW w:type="dxa" w:w="2209"/>
          </w:tcPr>
          <w:p>
            <w:r>
              <w:rPr>
                <w:rFonts w:ascii="Arial" w:hAnsi="Arial"/>
                <w:sz w:val="18"/>
              </w:rPr>
              <w:t>Obtiene opciones cacheadas de filtros.</w:t>
            </w:r>
          </w:p>
        </w:tc>
      </w:tr>
      <w:tr>
        <w:tc>
          <w:tcPr>
            <w:tcW w:type="dxa" w:w="2209"/>
          </w:tcPr>
          <w:p>
            <w:r>
              <w:rPr>
                <w:rFonts w:ascii="Arial" w:hAnsi="Arial"/>
                <w:sz w:val="18"/>
              </w:rPr>
              <w:t>GET</w:t>
            </w:r>
          </w:p>
        </w:tc>
        <w:tc>
          <w:tcPr>
            <w:tcW w:type="dxa" w:w="2209"/>
          </w:tcPr>
          <w:p>
            <w:r>
              <w:rPr>
                <w:rFonts w:ascii="Arial" w:hAnsi="Arial"/>
                <w:sz w:val="18"/>
              </w:rPr>
              <w:t>/api/ppl/pag/:cedula/validar</w:t>
            </w:r>
          </w:p>
        </w:tc>
        <w:tc>
          <w:tcPr>
            <w:tcW w:type="dxa" w:w="2209"/>
          </w:tcPr>
          <w:p>
            <w:r>
              <w:rPr>
                <w:rFonts w:ascii="Arial" w:hAnsi="Arial"/>
                <w:sz w:val="18"/>
              </w:rPr>
              <w:t>JWT</w:t>
            </w:r>
          </w:p>
        </w:tc>
        <w:tc>
          <w:tcPr>
            <w:tcW w:type="dxa" w:w="2209"/>
          </w:tcPr>
          <w:p>
            <w:r>
              <w:rPr>
                <w:rFonts w:ascii="Arial" w:hAnsi="Arial"/>
                <w:sz w:val="18"/>
              </w:rPr>
              <w:t>Valida información PAG por cédula.</w:t>
            </w:r>
          </w:p>
        </w:tc>
      </w:tr>
      <w:tr>
        <w:tc>
          <w:tcPr>
            <w:tcW w:type="dxa" w:w="2209"/>
          </w:tcPr>
          <w:p>
            <w:r>
              <w:rPr>
                <w:rFonts w:ascii="Arial" w:hAnsi="Arial"/>
                <w:sz w:val="18"/>
              </w:rPr>
              <w:t>GET</w:t>
            </w:r>
          </w:p>
        </w:tc>
        <w:tc>
          <w:tcPr>
            <w:tcW w:type="dxa" w:w="2209"/>
          </w:tcPr>
          <w:p>
            <w:r>
              <w:rPr>
                <w:rFonts w:ascii="Arial" w:hAnsi="Arial"/>
                <w:sz w:val="18"/>
              </w:rPr>
              <w:t>/api/ppl/:documento</w:t>
            </w:r>
          </w:p>
        </w:tc>
        <w:tc>
          <w:tcPr>
            <w:tcW w:type="dxa" w:w="2209"/>
          </w:tcPr>
          <w:p>
            <w:r>
              <w:rPr>
                <w:rFonts w:ascii="Arial" w:hAnsi="Arial"/>
                <w:sz w:val="18"/>
              </w:rPr>
              <w:t>JWT</w:t>
            </w:r>
          </w:p>
        </w:tc>
        <w:tc>
          <w:tcPr>
            <w:tcW w:type="dxa" w:w="2209"/>
          </w:tcPr>
          <w:p>
            <w:r>
              <w:rPr>
                <w:rFonts w:ascii="Arial" w:hAnsi="Arial"/>
                <w:sz w:val="18"/>
              </w:rPr>
              <w:t>Consulta detalle de persona.</w:t>
            </w:r>
          </w:p>
        </w:tc>
      </w:tr>
      <w:tr>
        <w:tc>
          <w:tcPr>
            <w:tcW w:type="dxa" w:w="2209"/>
          </w:tcPr>
          <w:p>
            <w:r>
              <w:rPr>
                <w:rFonts w:ascii="Arial" w:hAnsi="Arial"/>
                <w:sz w:val="18"/>
              </w:rPr>
              <w:t>PUT</w:t>
            </w:r>
          </w:p>
        </w:tc>
        <w:tc>
          <w:tcPr>
            <w:tcW w:type="dxa" w:w="2209"/>
          </w:tcPr>
          <w:p>
            <w:r>
              <w:rPr>
                <w:rFonts w:ascii="Arial" w:hAnsi="Arial"/>
                <w:sz w:val="18"/>
              </w:rPr>
              <w:t>/api/ppl/:documento</w:t>
            </w:r>
          </w:p>
        </w:tc>
        <w:tc>
          <w:tcPr>
            <w:tcW w:type="dxa" w:w="2209"/>
          </w:tcPr>
          <w:p>
            <w:r>
              <w:rPr>
                <w:rFonts w:ascii="Arial" w:hAnsi="Arial"/>
                <w:sz w:val="18"/>
              </w:rPr>
              <w:t>JWT</w:t>
            </w:r>
          </w:p>
        </w:tc>
        <w:tc>
          <w:tcPr>
            <w:tcW w:type="dxa" w:w="2209"/>
          </w:tcPr>
          <w:p>
            <w:r>
              <w:rPr>
                <w:rFonts w:ascii="Arial" w:hAnsi="Arial"/>
                <w:sz w:val="18"/>
              </w:rPr>
              <w:t>Actualiza datos/formulario asociado a una persona.</w:t>
            </w:r>
          </w:p>
        </w:tc>
      </w:tr>
      <w:tr>
        <w:tc>
          <w:tcPr>
            <w:tcW w:type="dxa" w:w="2209"/>
          </w:tcPr>
          <w:p>
            <w:r>
              <w:rPr>
                <w:rFonts w:ascii="Arial" w:hAnsi="Arial"/>
                <w:sz w:val="18"/>
              </w:rPr>
              <w:t>GET</w:t>
            </w:r>
          </w:p>
        </w:tc>
        <w:tc>
          <w:tcPr>
            <w:tcW w:type="dxa" w:w="2209"/>
          </w:tcPr>
          <w:p>
            <w:r>
              <w:rPr>
                <w:rFonts w:ascii="Arial" w:hAnsi="Arial"/>
                <w:sz w:val="18"/>
              </w:rPr>
              <w:t>/api/ppl/:documento/actuaciones</w:t>
            </w:r>
          </w:p>
        </w:tc>
        <w:tc>
          <w:tcPr>
            <w:tcW w:type="dxa" w:w="2209"/>
          </w:tcPr>
          <w:p>
            <w:r>
              <w:rPr>
                <w:rFonts w:ascii="Arial" w:hAnsi="Arial"/>
                <w:sz w:val="18"/>
              </w:rPr>
              <w:t>JWT</w:t>
            </w:r>
          </w:p>
        </w:tc>
        <w:tc>
          <w:tcPr>
            <w:tcW w:type="dxa" w:w="2209"/>
          </w:tcPr>
          <w:p>
            <w:r>
              <w:rPr>
                <w:rFonts w:ascii="Arial" w:hAnsi="Arial"/>
                <w:sz w:val="18"/>
              </w:rPr>
              <w:t>Lista historial de actuaciones.</w:t>
            </w:r>
          </w:p>
        </w:tc>
      </w:tr>
      <w:tr>
        <w:tc>
          <w:tcPr>
            <w:tcW w:type="dxa" w:w="2209"/>
          </w:tcPr>
          <w:p>
            <w:r>
              <w:rPr>
                <w:rFonts w:ascii="Arial" w:hAnsi="Arial"/>
                <w:sz w:val="18"/>
              </w:rPr>
              <w:t>POST</w:t>
            </w:r>
          </w:p>
        </w:tc>
        <w:tc>
          <w:tcPr>
            <w:tcW w:type="dxa" w:w="2209"/>
          </w:tcPr>
          <w:p>
            <w:r>
              <w:rPr>
                <w:rFonts w:ascii="Arial" w:hAnsi="Arial"/>
                <w:sz w:val="18"/>
              </w:rPr>
              <w:t>/api/ppl/:documento/actuaciones</w:t>
            </w:r>
          </w:p>
        </w:tc>
        <w:tc>
          <w:tcPr>
            <w:tcW w:type="dxa" w:w="2209"/>
          </w:tcPr>
          <w:p>
            <w:r>
              <w:rPr>
                <w:rFonts w:ascii="Arial" w:hAnsi="Arial"/>
                <w:sz w:val="18"/>
              </w:rPr>
              <w:t>JWT</w:t>
            </w:r>
          </w:p>
        </w:tc>
        <w:tc>
          <w:tcPr>
            <w:tcW w:type="dxa" w:w="2209"/>
          </w:tcPr>
          <w:p>
            <w:r>
              <w:rPr>
                <w:rFonts w:ascii="Arial" w:hAnsi="Arial"/>
                <w:sz w:val="18"/>
              </w:rPr>
              <w:t>Crea o actualiza una actuación.</w:t>
            </w:r>
          </w:p>
        </w:tc>
      </w:tr>
      <w:tr>
        <w:tc>
          <w:tcPr>
            <w:tcW w:type="dxa" w:w="2209"/>
          </w:tcPr>
          <w:p>
            <w:r>
              <w:rPr>
                <w:rFonts w:ascii="Arial" w:hAnsi="Arial"/>
                <w:sz w:val="18"/>
              </w:rPr>
              <w:t>POST</w:t>
            </w:r>
          </w:p>
        </w:tc>
        <w:tc>
          <w:tcPr>
            <w:tcW w:type="dxa" w:w="2209"/>
          </w:tcPr>
          <w:p>
            <w:r>
              <w:rPr>
                <w:rFonts w:ascii="Arial" w:hAnsi="Arial"/>
                <w:sz w:val="18"/>
              </w:rPr>
              <w:t>/api/ppl/asignar-defensor</w:t>
            </w:r>
          </w:p>
        </w:tc>
        <w:tc>
          <w:tcPr>
            <w:tcW w:type="dxa" w:w="2209"/>
          </w:tcPr>
          <w:p>
            <w:r>
              <w:rPr>
                <w:rFonts w:ascii="Arial" w:hAnsi="Arial"/>
                <w:sz w:val="18"/>
              </w:rPr>
              <w:t>JWT</w:t>
            </w:r>
          </w:p>
        </w:tc>
        <w:tc>
          <w:tcPr>
            <w:tcW w:type="dxa" w:w="2209"/>
          </w:tcPr>
          <w:p>
            <w:r>
              <w:rPr>
                <w:rFonts w:ascii="Arial" w:hAnsi="Arial"/>
                <w:sz w:val="18"/>
              </w:rPr>
              <w:t>Asigna defensor a registros.</w:t>
            </w:r>
          </w:p>
        </w:tc>
      </w:tr>
      <w:tr>
        <w:tc>
          <w:tcPr>
            <w:tcW w:type="dxa" w:w="2209"/>
          </w:tcPr>
          <w:p>
            <w:r>
              <w:rPr>
                <w:rFonts w:ascii="Arial" w:hAnsi="Arial"/>
                <w:sz w:val="18"/>
              </w:rPr>
              <w:t>GET</w:t>
            </w:r>
          </w:p>
        </w:tc>
        <w:tc>
          <w:tcPr>
            <w:tcW w:type="dxa" w:w="2209"/>
          </w:tcPr>
          <w:p>
            <w:r>
              <w:rPr>
                <w:rFonts w:ascii="Arial" w:hAnsi="Arial"/>
                <w:sz w:val="18"/>
              </w:rPr>
              <w:t>/api/defensores</w:t>
            </w:r>
          </w:p>
        </w:tc>
        <w:tc>
          <w:tcPr>
            <w:tcW w:type="dxa" w:w="2209"/>
          </w:tcPr>
          <w:p>
            <w:r>
              <w:rPr>
                <w:rFonts w:ascii="Arial" w:hAnsi="Arial"/>
                <w:sz w:val="18"/>
              </w:rPr>
              <w:t>JWT</w:t>
            </w:r>
          </w:p>
        </w:tc>
        <w:tc>
          <w:tcPr>
            <w:tcW w:type="dxa" w:w="2209"/>
          </w:tcPr>
          <w:p>
            <w:r>
              <w:rPr>
                <w:rFonts w:ascii="Arial" w:hAnsi="Arial"/>
                <w:sz w:val="18"/>
              </w:rPr>
              <w:t>Lista defensores.</w:t>
            </w:r>
          </w:p>
        </w:tc>
      </w:tr>
      <w:tr>
        <w:tc>
          <w:tcPr>
            <w:tcW w:type="dxa" w:w="2209"/>
          </w:tcPr>
          <w:p>
            <w:r>
              <w:rPr>
                <w:rFonts w:ascii="Arial" w:hAnsi="Arial"/>
                <w:sz w:val="18"/>
              </w:rPr>
              <w:t>POST</w:t>
            </w:r>
          </w:p>
        </w:tc>
        <w:tc>
          <w:tcPr>
            <w:tcW w:type="dxa" w:w="2209"/>
          </w:tcPr>
          <w:p>
            <w:r>
              <w:rPr>
                <w:rFonts w:ascii="Arial" w:hAnsi="Arial"/>
                <w:sz w:val="18"/>
              </w:rPr>
              <w:t>/api/defensores</w:t>
            </w:r>
          </w:p>
        </w:tc>
        <w:tc>
          <w:tcPr>
            <w:tcW w:type="dxa" w:w="2209"/>
          </w:tcPr>
          <w:p>
            <w:r>
              <w:rPr>
                <w:rFonts w:ascii="Arial" w:hAnsi="Arial"/>
                <w:sz w:val="18"/>
              </w:rPr>
              <w:t>JWT</w:t>
            </w:r>
          </w:p>
        </w:tc>
        <w:tc>
          <w:tcPr>
            <w:tcW w:type="dxa" w:w="2209"/>
          </w:tcPr>
          <w:p>
            <w:r>
              <w:rPr>
                <w:rFonts w:ascii="Arial" w:hAnsi="Arial"/>
                <w:sz w:val="18"/>
              </w:rPr>
              <w:t>Registra defensor.</w:t>
            </w:r>
          </w:p>
        </w:tc>
      </w:tr>
      <w:tr>
        <w:tc>
          <w:tcPr>
            <w:tcW w:type="dxa" w:w="2209"/>
          </w:tcPr>
          <w:p>
            <w:r>
              <w:rPr>
                <w:rFonts w:ascii="Arial" w:hAnsi="Arial"/>
                <w:sz w:val="18"/>
              </w:rPr>
              <w:t>GET</w:t>
            </w:r>
          </w:p>
        </w:tc>
        <w:tc>
          <w:tcPr>
            <w:tcW w:type="dxa" w:w="2209"/>
          </w:tcPr>
          <w:p>
            <w:r>
              <w:rPr>
                <w:rFonts w:ascii="Arial" w:hAnsi="Arial"/>
                <w:sz w:val="18"/>
              </w:rPr>
              <w:t>/api/formatos</w:t>
            </w:r>
          </w:p>
        </w:tc>
        <w:tc>
          <w:tcPr>
            <w:tcW w:type="dxa" w:w="2209"/>
          </w:tcPr>
          <w:p>
            <w:r>
              <w:rPr>
                <w:rFonts w:ascii="Arial" w:hAnsi="Arial"/>
                <w:sz w:val="18"/>
              </w:rPr>
              <w:t>JWT</w:t>
            </w:r>
          </w:p>
        </w:tc>
        <w:tc>
          <w:tcPr>
            <w:tcW w:type="dxa" w:w="2209"/>
          </w:tcPr>
          <w:p>
            <w:r>
              <w:rPr>
                <w:rFonts w:ascii="Arial" w:hAnsi="Arial"/>
                <w:sz w:val="18"/>
              </w:rPr>
              <w:t>Lista formatos disponibles.</w:t>
            </w:r>
          </w:p>
        </w:tc>
      </w:tr>
      <w:tr>
        <w:tc>
          <w:tcPr>
            <w:tcW w:type="dxa" w:w="2209"/>
          </w:tcPr>
          <w:p>
            <w:r>
              <w:rPr>
                <w:rFonts w:ascii="Arial" w:hAnsi="Arial"/>
                <w:sz w:val="18"/>
              </w:rPr>
              <w:t>GET</w:t>
            </w:r>
          </w:p>
        </w:tc>
        <w:tc>
          <w:tcPr>
            <w:tcW w:type="dxa" w:w="2209"/>
          </w:tcPr>
          <w:p>
            <w:r>
              <w:rPr>
                <w:rFonts w:ascii="Arial" w:hAnsi="Arial"/>
                <w:sz w:val="18"/>
              </w:rPr>
              <w:t>/api/formatos/:id/download-url</w:t>
            </w:r>
          </w:p>
        </w:tc>
        <w:tc>
          <w:tcPr>
            <w:tcW w:type="dxa" w:w="2209"/>
          </w:tcPr>
          <w:p>
            <w:r>
              <w:rPr>
                <w:rFonts w:ascii="Arial" w:hAnsi="Arial"/>
                <w:sz w:val="18"/>
              </w:rPr>
              <w:t>JWT</w:t>
            </w:r>
          </w:p>
        </w:tc>
        <w:tc>
          <w:tcPr>
            <w:tcW w:type="dxa" w:w="2209"/>
          </w:tcPr>
          <w:p>
            <w:r>
              <w:rPr>
                <w:rFonts w:ascii="Arial" w:hAnsi="Arial"/>
                <w:sz w:val="18"/>
              </w:rPr>
              <w:t>Devuelve URL de descarga.</w:t>
            </w:r>
          </w:p>
        </w:tc>
      </w:tr>
      <w:tr>
        <w:tc>
          <w:tcPr>
            <w:tcW w:type="dxa" w:w="2209"/>
          </w:tcPr>
          <w:p>
            <w:r>
              <w:rPr>
                <w:rFonts w:ascii="Arial" w:hAnsi="Arial"/>
                <w:sz w:val="18"/>
              </w:rPr>
              <w:t>GET</w:t>
            </w:r>
          </w:p>
        </w:tc>
        <w:tc>
          <w:tcPr>
            <w:tcW w:type="dxa" w:w="2209"/>
          </w:tcPr>
          <w:p>
            <w:r>
              <w:rPr>
                <w:rFonts w:ascii="Arial" w:hAnsi="Arial"/>
                <w:sz w:val="18"/>
              </w:rPr>
              <w:t>/api/formatos/:id/download</w:t>
            </w:r>
          </w:p>
        </w:tc>
        <w:tc>
          <w:tcPr>
            <w:tcW w:type="dxa" w:w="2209"/>
          </w:tcPr>
          <w:p>
            <w:r>
              <w:rPr>
                <w:rFonts w:ascii="Arial" w:hAnsi="Arial"/>
                <w:sz w:val="18"/>
              </w:rPr>
              <w:t>JWT</w:t>
            </w:r>
          </w:p>
        </w:tc>
        <w:tc>
          <w:tcPr>
            <w:tcW w:type="dxa" w:w="2209"/>
          </w:tcPr>
          <w:p>
            <w:r>
              <w:rPr>
                <w:rFonts w:ascii="Arial" w:hAnsi="Arial"/>
                <w:sz w:val="18"/>
              </w:rPr>
              <w:t>Redirige/descarga formato.</w:t>
            </w:r>
          </w:p>
        </w:tc>
      </w:tr>
      <w:tr>
        <w:tc>
          <w:tcPr>
            <w:tcW w:type="dxa" w:w="2209"/>
          </w:tcPr>
          <w:p>
            <w:r>
              <w:rPr>
                <w:rFonts w:ascii="Arial" w:hAnsi="Arial"/>
                <w:sz w:val="18"/>
              </w:rPr>
              <w:t>GET/POST</w:t>
            </w:r>
          </w:p>
        </w:tc>
        <w:tc>
          <w:tcPr>
            <w:tcW w:type="dxa" w:w="2209"/>
          </w:tcPr>
          <w:p>
            <w:r>
              <w:rPr>
                <w:rFonts w:ascii="Arial" w:hAnsi="Arial"/>
                <w:sz w:val="18"/>
              </w:rPr>
              <w:t>/api/admin/cargas</w:t>
            </w:r>
          </w:p>
        </w:tc>
        <w:tc>
          <w:tcPr>
            <w:tcW w:type="dxa" w:w="2209"/>
          </w:tcPr>
          <w:p>
            <w:r>
              <w:rPr>
                <w:rFonts w:ascii="Arial" w:hAnsi="Arial"/>
                <w:sz w:val="18"/>
              </w:rPr>
              <w:t>JWT + rol admin</w:t>
            </w:r>
          </w:p>
        </w:tc>
        <w:tc>
          <w:tcPr>
            <w:tcW w:type="dxa" w:w="2209"/>
          </w:tcPr>
          <w:p>
            <w:r>
              <w:rPr>
                <w:rFonts w:ascii="Arial" w:hAnsi="Arial"/>
                <w:sz w:val="18"/>
              </w:rPr>
              <w:t>Consulta, crea y reintenta cargas mensuales.</w:t>
            </w:r>
          </w:p>
        </w:tc>
      </w:tr>
    </w:tbl>
    <w:p/>
    <w:p>
      <w:pPr>
        <w:pStyle w:val="Ttulo2"/>
      </w:pPr>
      <w:r>
        <w:t>Cache y límites operativos</w:t>
      </w:r>
    </w:p>
    <w:p>
      <w:r>
        <w:rPr>
          <w:rFonts w:ascii="Arial" w:hAnsi="Arial"/>
          <w:sz w:val="20"/>
        </w:rPr>
        <w:t>Para mejorar tiempos de respuesta, backend/routes/ppl.js usa caches en memoria para variantes de listados, opciones de filtros y filas normalizadas. Los límites principales son:</w:t>
      </w:r>
    </w:p>
    <w:p>
      <w:r>
        <w:rPr>
          <w:rFonts w:ascii="Arial" w:hAnsi="Arial"/>
          <w:sz w:val="20"/>
        </w:rPr>
        <w:t>- Listado general: DEFAULT_LIST_LIMIT = 5000, máximo 10000.</w:t>
      </w:r>
    </w:p>
    <w:p>
      <w:r>
        <w:rPr>
          <w:rFonts w:ascii="Arial" w:hAnsi="Arial"/>
          <w:sz w:val="20"/>
        </w:rPr>
        <w:t>- Listado filtrado de condenados: límite por defecto y máximo 200.</w:t>
      </w:r>
    </w:p>
    <w:p>
      <w:r>
        <w:rPr>
          <w:rFonts w:ascii="Arial" w:hAnsi="Arial"/>
          <w:sz w:val="20"/>
        </w:rPr>
        <w:t>- Opciones de filtros: TTL de 5 minutos.</w:t>
      </w:r>
    </w:p>
    <w:p>
      <w:r>
        <w:rPr>
          <w:rFonts w:ascii="Arial" w:hAnsi="Arial"/>
          <w:sz w:val="20"/>
        </w:rPr>
        <w:t>- Variantes cacheadas por ruta: máximo 12 antes de limpiar el mapa.</w:t>
      </w:r>
    </w:p>
    <w:p>
      <w:r>
        <w:rPr>
          <w:rFonts w:ascii="Arial" w:hAnsi="Arial"/>
          <w:sz w:val="20"/>
        </w:rPr>
        <w:t>Estos caches son locales al proceso Node.js; al reiniciar el contenedor se recalculan.</w:t>
      </w:r>
    </w:p>
    <w:p>
      <w:pPr>
        <w:pStyle w:val="Ttulo1"/>
      </w:pPr>
      <w:r>
        <w:t>Reglas de negocio</w:t>
      </w:r>
    </w:p>
    <w:p>
      <w:r>
        <w:rPr>
          <w:rFonts w:ascii="Arial" w:hAnsi="Arial"/>
          <w:sz w:val="20"/>
        </w:rPr>
        <w:t>Las reglas de negocio viven en frontend para dar respuesta inmediata a la UI y se validan con pruebas unitarias. La persistencia se realiza en backend, pero la lógica de visibilidad, estado derivado y bloqueo está concentrada en:</w:t>
      </w:r>
    </w:p>
    <w:p>
      <w:r>
        <w:rPr>
          <w:rFonts w:ascii="Arial" w:hAnsi="Arial"/>
          <w:sz w:val="20"/>
        </w:rPr>
        <w:t>- frontend/src/config/formRules.aurora.ts</w:t>
      </w:r>
    </w:p>
    <w:p>
      <w:r>
        <w:rPr>
          <w:rFonts w:ascii="Arial" w:hAnsi="Arial"/>
          <w:sz w:val="20"/>
        </w:rPr>
        <w:t>- frontend/src/utils/evaluateAuroraRules.ts</w:t>
      </w:r>
    </w:p>
    <w:p>
      <w:r>
        <w:rPr>
          <w:rFonts w:ascii="Arial" w:hAnsi="Arial"/>
          <w:sz w:val="20"/>
        </w:rPr>
        <w:t>- frontend/src/config/formRules.celeste.ts</w:t>
      </w:r>
    </w:p>
    <w:p>
      <w:r>
        <w:rPr>
          <w:rFonts w:ascii="Arial" w:hAnsi="Arial"/>
          <w:sz w:val="20"/>
        </w:rPr>
        <w:t>- frontend/src/utils/evaluateCelesteRules.ts</w:t>
      </w:r>
    </w:p>
    <w:p>
      <w:r>
        <w:rPr>
          <w:rFonts w:ascii="Arial" w:hAnsi="Arial"/>
          <w:sz w:val="20"/>
        </w:rPr>
        <w:t>- frontend/src/config/estadoActuaciones.rules.ts</w:t>
      </w:r>
    </w:p>
    <w:p>
      <w:r>
        <w:rPr>
          <w:rFonts w:ascii="Arial" w:hAnsi="Arial"/>
          <w:sz w:val="20"/>
        </w:rPr>
        <w:t>La documentación completa de matriz está en documentacion/soporte/reglas_negocio/04_matriz_de_reglas_aurora_celeste.md.</w:t>
      </w:r>
    </w:p>
    <w:p>
      <w:pPr>
        <w:pStyle w:val="Ttulo2"/>
      </w:pPr>
      <w:r>
        <w:t>Principios técnicos de evaluación</w:t>
      </w:r>
    </w:p>
    <w:p>
      <w:r>
        <w:rPr>
          <w:rFonts w:ascii="Arial" w:hAnsi="Arial"/>
          <w:sz w:val="20"/>
        </w:rPr>
        <w:t>- Las reglas aceptan claves textuales y, en Aurora, también algunos IDs estables definidos en auroraFieldIds.ts.</w:t>
      </w:r>
    </w:p>
    <w:p>
      <w:r>
        <w:rPr>
          <w:rFonts w:ascii="Arial" w:hAnsi="Arial"/>
          <w:sz w:val="20"/>
        </w:rPr>
        <w:t>- La lectura de respuestas es tolerante a acentos, mayúsculas, espacios y casos de mojibake UTF-8/Latin-1.</w:t>
      </w:r>
    </w:p>
    <w:p>
      <w:r>
        <w:rPr>
          <w:rFonts w:ascii="Arial" w:hAnsi="Arial"/>
          <w:sz w:val="20"/>
        </w:rPr>
        <w:t>- Valores como vacío, -, --, null, undefined, seleccione y equivalentes no cuentan como diligenciados.</w:t>
      </w:r>
    </w:p>
    <w:p>
      <w:r>
        <w:rPr>
          <w:rFonts w:ascii="Arial" w:hAnsi="Arial"/>
          <w:sz w:val="20"/>
        </w:rPr>
        <w:t>- La UI evalúa reglas cada vez que cambian las respuestas para recalcular bloques visibles, campos deshabilitados, estado y bloqueo.</w:t>
      </w:r>
    </w:p>
    <w:p>
      <w:r>
        <w:rPr>
          <w:rFonts w:ascii="Arial" w:hAnsi="Arial"/>
          <w:sz w:val="20"/>
        </w:rPr>
        <w:t>- Las reglas de habilitación pueden retirar campos de la lista de deshabilitados cuando una condición posterior los vuelve válidos.</w:t>
      </w:r>
    </w:p>
    <w:p>
      <w:pPr>
        <w:pStyle w:val="Ttulo2"/>
      </w:pPr>
      <w:r>
        <w:t>Flujo Aurora para condenados</w:t>
      </w:r>
    </w:p>
    <w:p>
      <w:r>
        <w:rPr>
          <w:rFonts w:ascii="Arial" w:hAnsi="Arial"/>
          <w:sz w:val="20"/>
        </w:rPr>
        <w:t>El flujo Aurora se organiza en bloques:</w:t>
      </w:r>
    </w:p>
    <w:tbl>
      <w:tblPr>
        <w:tblW w:type="auto" w:w="0"/>
        <w:tblLook w:firstColumn="1" w:firstRow="1" w:lastColumn="0" w:lastRow="0" w:noHBand="0" w:noVBand="1" w:val="04A0"/>
      </w:tblPr>
      <w:tblGrid>
        <w:gridCol w:w="2946"/>
        <w:gridCol w:w="2946"/>
        <w:gridCol w:w="2946"/>
      </w:tblGrid>
      <w:tr>
        <w:tc>
          <w:tcPr>
            <w:tcW w:type="dxa" w:w="2946"/>
          </w:tcPr>
          <w:p>
            <w:r>
              <w:rPr>
                <w:rFonts w:ascii="Arial" w:hAnsi="Arial"/>
                <w:b/>
                <w:sz w:val="18"/>
              </w:rPr>
              <w:t>Bloque</w:t>
            </w:r>
          </w:p>
        </w:tc>
        <w:tc>
          <w:tcPr>
            <w:tcW w:type="dxa" w:w="2946"/>
          </w:tcPr>
          <w:p>
            <w:r>
              <w:rPr>
                <w:rFonts w:ascii="Arial" w:hAnsi="Arial"/>
                <w:b/>
                <w:sz w:val="18"/>
              </w:rPr>
              <w:t>Contenido</w:t>
            </w:r>
          </w:p>
        </w:tc>
        <w:tc>
          <w:tcPr>
            <w:tcW w:type="dxa" w:w="2946"/>
          </w:tcPr>
          <w:p>
            <w:r>
              <w:rPr>
                <w:rFonts w:ascii="Arial" w:hAnsi="Arial"/>
                <w:b/>
                <w:sz w:val="18"/>
              </w:rPr>
              <w:t>Regla de avance</w:t>
            </w:r>
          </w:p>
        </w:tc>
      </w:tr>
      <w:tr>
        <w:tc>
          <w:tcPr>
            <w:tcW w:type="dxa" w:w="2946"/>
          </w:tcPr>
          <w:p>
            <w:r>
              <w:rPr>
                <w:rFonts w:ascii="Arial" w:hAnsi="Arial"/>
                <w:sz w:val="18"/>
              </w:rPr>
              <w:t>bloque1</w:t>
            </w:r>
          </w:p>
        </w:tc>
        <w:tc>
          <w:tcPr>
            <w:tcW w:type="dxa" w:w="2946"/>
          </w:tcPr>
          <w:p>
            <w:r>
              <w:rPr>
                <w:rFonts w:ascii="Arial" w:hAnsi="Arial"/>
                <w:sz w:val="18"/>
              </w:rPr>
              <w:t>Identificación y datos base.</w:t>
            </w:r>
          </w:p>
        </w:tc>
        <w:tc>
          <w:tcPr>
            <w:tcW w:type="dxa" w:w="2946"/>
          </w:tcPr>
          <w:p>
            <w:r>
              <w:rPr>
                <w:rFonts w:ascii="Arial" w:hAnsi="Arial"/>
                <w:sz w:val="18"/>
              </w:rPr>
              <w:t>Visible siempre.</w:t>
            </w:r>
          </w:p>
        </w:tc>
      </w:tr>
      <w:tr>
        <w:tc>
          <w:tcPr>
            <w:tcW w:type="dxa" w:w="2946"/>
          </w:tcPr>
          <w:p>
            <w:r>
              <w:rPr>
                <w:rFonts w:ascii="Arial" w:hAnsi="Arial"/>
                <w:sz w:val="18"/>
              </w:rPr>
              <w:t>bloque2Aurora</w:t>
            </w:r>
          </w:p>
        </w:tc>
        <w:tc>
          <w:tcPr>
            <w:tcW w:type="dxa" w:w="2946"/>
          </w:tcPr>
          <w:p>
            <w:r>
              <w:rPr>
                <w:rFonts w:ascii="Arial" w:hAnsi="Arial"/>
                <w:sz w:val="18"/>
              </w:rPr>
              <w:t>Datos jurídicos de condena, proceso, pena, conducta y avance temporal.</w:t>
            </w:r>
          </w:p>
        </w:tc>
        <w:tc>
          <w:tcPr>
            <w:tcW w:type="dxa" w:w="2946"/>
          </w:tcPr>
          <w:p>
            <w:r>
              <w:rPr>
                <w:rFonts w:ascii="Arial" w:hAnsi="Arial"/>
                <w:sz w:val="18"/>
              </w:rPr>
              <w:t>Visible siempre para condenados.</w:t>
            </w:r>
          </w:p>
        </w:tc>
      </w:tr>
      <w:tr>
        <w:tc>
          <w:tcPr>
            <w:tcW w:type="dxa" w:w="2946"/>
          </w:tcPr>
          <w:p>
            <w:r>
              <w:rPr>
                <w:rFonts w:ascii="Arial" w:hAnsi="Arial"/>
                <w:sz w:val="18"/>
              </w:rPr>
              <w:t>bloque3</w:t>
            </w:r>
          </w:p>
        </w:tc>
        <w:tc>
          <w:tcPr>
            <w:tcW w:type="dxa" w:w="2946"/>
          </w:tcPr>
          <w:p>
            <w:r>
              <w:rPr>
                <w:rFonts w:ascii="Arial" w:hAnsi="Arial"/>
                <w:sz w:val="18"/>
              </w:rPr>
              <w:t>Análisis jurídico, procedencias y otras solicitudes.</w:t>
            </w:r>
          </w:p>
        </w:tc>
        <w:tc>
          <w:tcPr>
            <w:tcW w:type="dxa" w:w="2946"/>
          </w:tcPr>
          <w:p>
            <w:r>
              <w:rPr>
                <w:rFonts w:ascii="Arial" w:hAnsi="Arial"/>
                <w:sz w:val="18"/>
              </w:rPr>
              <w:t>Visible si no hay bloqueo.</w:t>
            </w:r>
          </w:p>
        </w:tc>
      </w:tr>
      <w:tr>
        <w:tc>
          <w:tcPr>
            <w:tcW w:type="dxa" w:w="2946"/>
          </w:tcPr>
          <w:p>
            <w:r>
              <w:rPr>
                <w:rFonts w:ascii="Arial" w:hAnsi="Arial"/>
                <w:sz w:val="18"/>
              </w:rPr>
              <w:t>bloque4</w:t>
            </w:r>
          </w:p>
        </w:tc>
        <w:tc>
          <w:tcPr>
            <w:tcW w:type="dxa" w:w="2946"/>
          </w:tcPr>
          <w:p>
            <w:r>
              <w:rPr>
                <w:rFonts w:ascii="Arial" w:hAnsi="Arial"/>
                <w:sz w:val="18"/>
              </w:rPr>
              <w:t>Entrevista, decisión del usuario, actuación y poder/pruebas.</w:t>
            </w:r>
          </w:p>
        </w:tc>
        <w:tc>
          <w:tcPr>
            <w:tcW w:type="dxa" w:w="2946"/>
          </w:tcPr>
          <w:p>
            <w:r>
              <w:rPr>
                <w:rFonts w:ascii="Arial" w:hAnsi="Arial"/>
                <w:sz w:val="18"/>
              </w:rPr>
              <w:t>Requiere bloque 3 completo, Q36 válida y al menos una procedencia/solicitud positiva.</w:t>
            </w:r>
          </w:p>
        </w:tc>
      </w:tr>
      <w:tr>
        <w:tc>
          <w:tcPr>
            <w:tcW w:type="dxa" w:w="2946"/>
          </w:tcPr>
          <w:p>
            <w:r>
              <w:rPr>
                <w:rFonts w:ascii="Arial" w:hAnsi="Arial"/>
                <w:sz w:val="18"/>
              </w:rPr>
              <w:t>bloque5UtilidadPublica</w:t>
            </w:r>
          </w:p>
        </w:tc>
        <w:tc>
          <w:tcPr>
            <w:tcW w:type="dxa" w:w="2946"/>
          </w:tcPr>
          <w:p>
            <w:r>
              <w:rPr>
                <w:rFonts w:ascii="Arial" w:hAnsi="Arial"/>
                <w:sz w:val="18"/>
              </w:rPr>
              <w:t>Trámite especial de utilidad pública.</w:t>
            </w:r>
          </w:p>
        </w:tc>
        <w:tc>
          <w:tcPr>
            <w:tcW w:type="dxa" w:w="2946"/>
          </w:tcPr>
          <w:p>
            <w:r>
              <w:rPr>
                <w:rFonts w:ascii="Arial" w:hAnsi="Arial"/>
                <w:sz w:val="18"/>
              </w:rPr>
              <w:t>Se usa cuando la actuación a adelantar corresponde a utilidad pública.</w:t>
            </w:r>
          </w:p>
        </w:tc>
      </w:tr>
      <w:tr>
        <w:tc>
          <w:tcPr>
            <w:tcW w:type="dxa" w:w="2946"/>
          </w:tcPr>
          <w:p>
            <w:r>
              <w:rPr>
                <w:rFonts w:ascii="Arial" w:hAnsi="Arial"/>
                <w:sz w:val="18"/>
              </w:rPr>
              <w:t>bloque5TramiteNormal</w:t>
            </w:r>
          </w:p>
        </w:tc>
        <w:tc>
          <w:tcPr>
            <w:tcW w:type="dxa" w:w="2946"/>
          </w:tcPr>
          <w:p>
            <w:r>
              <w:rPr>
                <w:rFonts w:ascii="Arial" w:hAnsi="Arial"/>
                <w:sz w:val="18"/>
              </w:rPr>
              <w:t>Trámite general ante autoridad.</w:t>
            </w:r>
          </w:p>
        </w:tc>
        <w:tc>
          <w:tcPr>
            <w:tcW w:type="dxa" w:w="2946"/>
          </w:tcPr>
          <w:p>
            <w:r>
              <w:rPr>
                <w:rFonts w:ascii="Arial" w:hAnsi="Arial"/>
                <w:sz w:val="18"/>
              </w:rPr>
              <w:t>Variante por defecto para actuaciones diferentes de utilidad pública.</w:t>
            </w:r>
          </w:p>
        </w:tc>
      </w:tr>
    </w:tbl>
    <w:p/>
    <w:p>
      <w:r>
        <w:rPr>
          <w:rFonts w:ascii="Arial" w:hAnsi="Arial"/>
          <w:sz w:val="20"/>
        </w:rPr>
        <w:t>Obligatoriedad relevante:</w:t>
      </w:r>
    </w:p>
    <w:p>
      <w:r>
        <w:rPr>
          <w:rFonts w:ascii="Arial" w:hAnsi="Arial"/>
          <w:sz w:val="20"/>
        </w:rPr>
        <w:t>- En bloque 2 son obligatorios autoridad, proceso, delitos, captura, pena, tiempo privado de libertad, redención, tiempo efectivo, porcentaje, fase, requerimientos, fecha de última calificación y calificación de conducta.</w:t>
      </w:r>
    </w:p>
    <w:p>
      <w:r>
        <w:rPr>
          <w:rFonts w:ascii="Arial" w:hAnsi="Arial"/>
          <w:sz w:val="20"/>
        </w:rPr>
        <w:t>- En bloque 3 son obligatorios defensor, fecha de análisis, procedencias Q30/Q31/Q33/Q34, Q36 y resumen del análisis Q37. Q32 es opcional porque aplica solo para mujeres.</w:t>
      </w:r>
    </w:p>
    <w:p>
      <w:r>
        <w:rPr>
          <w:rFonts w:ascii="Arial" w:hAnsi="Arial"/>
          <w:sz w:val="20"/>
        </w:rPr>
        <w:t>- Q36 es multiselección; las marcas automáticas de "más de una opción" no cuentan como respuesta válida.</w:t>
      </w:r>
    </w:p>
    <w:p>
      <w:r>
        <w:rPr>
          <w:rFonts w:ascii="Arial" w:hAnsi="Arial"/>
          <w:sz w:val="20"/>
        </w:rPr>
        <w:t>- En bloque 4 son obligatorias decisión del usuario y actuación a adelantar; fecha de entrevista, requiere pruebas y poder son opcionales en la matriz técnica actual.</w:t>
      </w:r>
    </w:p>
    <w:p>
      <w:r>
        <w:rPr>
          <w:rFonts w:ascii="Arial" w:hAnsi="Arial"/>
          <w:sz w:val="20"/>
        </w:rPr>
        <w:t>- En bloque 5, las fechas y sentidos de decisión determinan el estado y el cierre del caso.</w:t>
      </w:r>
    </w:p>
    <w:p>
      <w:pPr>
        <w:pStyle w:val="Ttulo2"/>
      </w:pPr>
      <w:r>
        <w:t>Dependencias y campos deshabilitados en Aurora</w:t>
      </w:r>
    </w:p>
    <w:tbl>
      <w:tblPr>
        <w:tblW w:type="auto" w:w="0"/>
        <w:tblLook w:firstColumn="1" w:firstRow="1" w:lastColumn="0" w:lastRow="0" w:noHBand="0" w:noVBand="1" w:val="04A0"/>
      </w:tblPr>
      <w:tblGrid>
        <w:gridCol w:w="4419"/>
        <w:gridCol w:w="4419"/>
      </w:tblGrid>
      <w:tr>
        <w:tc>
          <w:tcPr>
            <w:tcW w:type="dxa" w:w="4419"/>
          </w:tcPr>
          <w:p>
            <w:r>
              <w:rPr>
                <w:rFonts w:ascii="Arial" w:hAnsi="Arial"/>
                <w:b/>
                <w:sz w:val="18"/>
              </w:rPr>
              <w:t>Condición</w:t>
            </w:r>
          </w:p>
        </w:tc>
        <w:tc>
          <w:tcPr>
            <w:tcW w:type="dxa" w:w="4419"/>
          </w:tcPr>
          <w:p>
            <w:r>
              <w:rPr>
                <w:rFonts w:ascii="Arial" w:hAnsi="Arial"/>
                <w:b/>
                <w:sz w:val="18"/>
              </w:rPr>
              <w:t>Efecto</w:t>
            </w:r>
          </w:p>
        </w:tc>
      </w:tr>
      <w:tr>
        <w:tc>
          <w:tcPr>
            <w:tcW w:type="dxa" w:w="4419"/>
          </w:tcPr>
          <w:p>
            <w:r>
              <w:rPr>
                <w:rFonts w:ascii="Arial" w:hAnsi="Arial"/>
                <w:sz w:val="18"/>
              </w:rPr>
              <w:t>En trámite normal, Q41 diferente de Sí</w:t>
            </w:r>
          </w:p>
        </w:tc>
        <w:tc>
          <w:tcPr>
            <w:tcW w:type="dxa" w:w="4419"/>
          </w:tcPr>
          <w:p>
            <w:r>
              <w:rPr>
                <w:rFonts w:ascii="Arial" w:hAnsi="Arial"/>
                <w:sz w:val="18"/>
              </w:rPr>
              <w:t>Deshabilita fecha de recepción de pruebas aportadas por el usuario.</w:t>
            </w:r>
          </w:p>
        </w:tc>
      </w:tr>
      <w:tr>
        <w:tc>
          <w:tcPr>
            <w:tcW w:type="dxa" w:w="4419"/>
          </w:tcPr>
          <w:p>
            <w:r>
              <w:rPr>
                <w:rFonts w:ascii="Arial" w:hAnsi="Arial"/>
                <w:sz w:val="18"/>
              </w:rPr>
              <w:t>En trámite normal, Q41 igual a Sí</w:t>
            </w:r>
          </w:p>
        </w:tc>
        <w:tc>
          <w:tcPr>
            <w:tcW w:type="dxa" w:w="4419"/>
          </w:tcPr>
          <w:p>
            <w:r>
              <w:rPr>
                <w:rFonts w:ascii="Arial" w:hAnsi="Arial"/>
                <w:sz w:val="18"/>
              </w:rPr>
              <w:t>Habilita fecha de recepción de pruebas aportadas por el usuario.</w:t>
            </w:r>
          </w:p>
        </w:tc>
      </w:tr>
      <w:tr>
        <w:tc>
          <w:tcPr>
            <w:tcW w:type="dxa" w:w="4419"/>
          </w:tcPr>
          <w:p>
            <w:r>
              <w:rPr>
                <w:rFonts w:ascii="Arial" w:hAnsi="Arial"/>
                <w:sz w:val="18"/>
              </w:rPr>
              <w:t>En utilidad pública, Q46 igual a No</w:t>
            </w:r>
          </w:p>
        </w:tc>
        <w:tc>
          <w:tcPr>
            <w:tcW w:type="dxa" w:w="4419"/>
          </w:tcPr>
          <w:p>
            <w:r>
              <w:rPr>
                <w:rFonts w:ascii="Arial" w:hAnsi="Arial"/>
                <w:sz w:val="18"/>
              </w:rPr>
              <w:t>Deshabilita fecha de solicitud de misión de trabajo y fecha de asignación de investigador.</w:t>
            </w:r>
          </w:p>
        </w:tc>
      </w:tr>
      <w:tr>
        <w:tc>
          <w:tcPr>
            <w:tcW w:type="dxa" w:w="4419"/>
          </w:tcPr>
          <w:p>
            <w:r>
              <w:rPr>
                <w:rFonts w:ascii="Arial" w:hAnsi="Arial"/>
                <w:sz w:val="18"/>
              </w:rPr>
              <w:t>En utilidad pública, Q52 diferente de Niega utilidad pública</w:t>
            </w:r>
          </w:p>
        </w:tc>
        <w:tc>
          <w:tcPr>
            <w:tcW w:type="dxa" w:w="4419"/>
          </w:tcPr>
          <w:p>
            <w:r>
              <w:rPr>
                <w:rFonts w:ascii="Arial" w:hAnsi="Arial"/>
                <w:sz w:val="18"/>
              </w:rPr>
              <w:t>Deshabilita motivo de decisión negativa, recurso y campos de decisión de recurso.</w:t>
            </w:r>
          </w:p>
        </w:tc>
      </w:tr>
      <w:tr>
        <w:tc>
          <w:tcPr>
            <w:tcW w:type="dxa" w:w="4419"/>
          </w:tcPr>
          <w:p>
            <w:r>
              <w:rPr>
                <w:rFonts w:ascii="Arial" w:hAnsi="Arial"/>
                <w:sz w:val="18"/>
              </w:rPr>
              <w:t>En utilidad pública, Q52 igual a Niega utilidad pública</w:t>
            </w:r>
          </w:p>
        </w:tc>
        <w:tc>
          <w:tcPr>
            <w:tcW w:type="dxa" w:w="4419"/>
          </w:tcPr>
          <w:p>
            <w:r>
              <w:rPr>
                <w:rFonts w:ascii="Arial" w:hAnsi="Arial"/>
                <w:sz w:val="18"/>
              </w:rPr>
              <w:t>Habilita motivo de decisión negativa y recurso.</w:t>
            </w:r>
          </w:p>
        </w:tc>
      </w:tr>
      <w:tr>
        <w:tc>
          <w:tcPr>
            <w:tcW w:type="dxa" w:w="4419"/>
          </w:tcPr>
          <w:p>
            <w:r>
              <w:rPr>
                <w:rFonts w:ascii="Arial" w:hAnsi="Arial"/>
                <w:sz w:val="18"/>
              </w:rPr>
              <w:t>En utilidad pública, Q54 igual a Sí y Q52 negativa</w:t>
            </w:r>
          </w:p>
        </w:tc>
        <w:tc>
          <w:tcPr>
            <w:tcW w:type="dxa" w:w="4419"/>
          </w:tcPr>
          <w:p>
            <w:r>
              <w:rPr>
                <w:rFonts w:ascii="Arial" w:hAnsi="Arial"/>
                <w:sz w:val="18"/>
              </w:rPr>
              <w:t>Habilita fecha de recurso y sentido de decisión de recurso.</w:t>
            </w:r>
          </w:p>
        </w:tc>
      </w:tr>
      <w:tr>
        <w:tc>
          <w:tcPr>
            <w:tcW w:type="dxa" w:w="4419"/>
          </w:tcPr>
          <w:p>
            <w:r>
              <w:rPr>
                <w:rFonts w:ascii="Arial" w:hAnsi="Arial"/>
                <w:sz w:val="18"/>
              </w:rPr>
              <w:t>En trámite normal, sentido de decisión negativo</w:t>
            </w:r>
          </w:p>
        </w:tc>
        <w:tc>
          <w:tcPr>
            <w:tcW w:type="dxa" w:w="4419"/>
          </w:tcPr>
          <w:p>
            <w:r>
              <w:rPr>
                <w:rFonts w:ascii="Arial" w:hAnsi="Arial"/>
                <w:sz w:val="18"/>
              </w:rPr>
              <w:t>Habilita motivo de decisión negativa y recurso.</w:t>
            </w:r>
          </w:p>
        </w:tc>
      </w:tr>
      <w:tr>
        <w:tc>
          <w:tcPr>
            <w:tcW w:type="dxa" w:w="4419"/>
          </w:tcPr>
          <w:p>
            <w:r>
              <w:rPr>
                <w:rFonts w:ascii="Arial" w:hAnsi="Arial"/>
                <w:sz w:val="18"/>
              </w:rPr>
              <w:t>En trámite normal, sentido de decisión no negativo</w:t>
            </w:r>
          </w:p>
        </w:tc>
        <w:tc>
          <w:tcPr>
            <w:tcW w:type="dxa" w:w="4419"/>
          </w:tcPr>
          <w:p>
            <w:r>
              <w:rPr>
                <w:rFonts w:ascii="Arial" w:hAnsi="Arial"/>
                <w:sz w:val="18"/>
              </w:rPr>
              <w:t>Deshabilita motivo, recurso y decisión de recurso.</w:t>
            </w:r>
          </w:p>
        </w:tc>
      </w:tr>
      <w:tr>
        <w:tc>
          <w:tcPr>
            <w:tcW w:type="dxa" w:w="4419"/>
          </w:tcPr>
          <w:p>
            <w:r>
              <w:rPr>
                <w:rFonts w:ascii="Arial" w:hAnsi="Arial"/>
                <w:sz w:val="18"/>
              </w:rPr>
              <w:t>En trámite normal, recurso diferente de Sí</w:t>
            </w:r>
          </w:p>
        </w:tc>
        <w:tc>
          <w:tcPr>
            <w:tcW w:type="dxa" w:w="4419"/>
          </w:tcPr>
          <w:p>
            <w:r>
              <w:rPr>
                <w:rFonts w:ascii="Arial" w:hAnsi="Arial"/>
                <w:sz w:val="18"/>
              </w:rPr>
              <w:t>Deshabilita fecha de recurso y sentido final que resuelve la solicitud.</w:t>
            </w:r>
          </w:p>
        </w:tc>
      </w:tr>
      <w:tr>
        <w:tc>
          <w:tcPr>
            <w:tcW w:type="dxa" w:w="4419"/>
          </w:tcPr>
          <w:p>
            <w:r>
              <w:rPr>
                <w:rFonts w:ascii="Arial" w:hAnsi="Arial"/>
                <w:sz w:val="18"/>
              </w:rPr>
              <w:t>En trámite normal, recurso igual a Sí</w:t>
            </w:r>
          </w:p>
        </w:tc>
        <w:tc>
          <w:tcPr>
            <w:tcW w:type="dxa" w:w="4419"/>
          </w:tcPr>
          <w:p>
            <w:r>
              <w:rPr>
                <w:rFonts w:ascii="Arial" w:hAnsi="Arial"/>
                <w:sz w:val="18"/>
              </w:rPr>
              <w:t>Habilita fecha de recurso y sentido final que resuelve la solicitud.</w:t>
            </w:r>
          </w:p>
        </w:tc>
      </w:tr>
    </w:tbl>
    <w:p/>
    <w:p>
      <w:pPr>
        <w:pStyle w:val="Ttulo2"/>
      </w:pPr>
      <w:r>
        <w:t>Cierre de caso en Aurora</w:t>
      </w:r>
    </w:p>
    <w:p>
      <w:r>
        <w:rPr>
          <w:rFonts w:ascii="Arial" w:hAnsi="Arial"/>
          <w:sz w:val="20"/>
        </w:rPr>
        <w:t>El caso se considera cerrado cuando se cumple alguna de estas condiciones:</w:t>
      </w:r>
    </w:p>
    <w:p>
      <w:r>
        <w:rPr>
          <w:rFonts w:ascii="Arial" w:hAnsi="Arial"/>
          <w:sz w:val="20"/>
        </w:rPr>
        <w:t>- Q30 a Q34 están diligenciadas sin procedencia positiva y Q36 no tiene solicitud positiva.</w:t>
      </w:r>
    </w:p>
    <w:p>
      <w:r>
        <w:rPr>
          <w:rFonts w:ascii="Arial" w:hAnsi="Arial"/>
          <w:sz w:val="20"/>
        </w:rPr>
        <w:t>- La decisión del usuario no permite continuar con la solicitud.</w:t>
      </w:r>
    </w:p>
    <w:p>
      <w:r>
        <w:rPr>
          <w:rFonts w:ascii="Arial" w:hAnsi="Arial"/>
          <w:sz w:val="20"/>
        </w:rPr>
        <w:t>- La actuación a adelantar indica Ninguna o No procede nada.</w:t>
      </w:r>
    </w:p>
    <w:p>
      <w:r>
        <w:rPr>
          <w:rFonts w:ascii="Arial" w:hAnsi="Arial"/>
          <w:sz w:val="20"/>
        </w:rPr>
        <w:t>- En utilidad pública, no se cumple marginalidad o jefatura de hogar.</w:t>
      </w:r>
    </w:p>
    <w:p>
      <w:r>
        <w:rPr>
          <w:rFonts w:ascii="Arial" w:hAnsi="Arial"/>
          <w:sz w:val="20"/>
        </w:rPr>
        <w:t>- Hay decisión negativa y no se presenta recurso.</w:t>
      </w:r>
    </w:p>
    <w:p>
      <w:r>
        <w:rPr>
          <w:rFonts w:ascii="Arial" w:hAnsi="Arial"/>
          <w:sz w:val="20"/>
        </w:rPr>
        <w:t>- Hay decisión negativa, se presenta recurso y ya existe decisión del recurso.</w:t>
      </w:r>
    </w:p>
    <w:p>
      <w:r>
        <w:rPr>
          <w:rFonts w:ascii="Arial" w:hAnsi="Arial"/>
          <w:sz w:val="20"/>
        </w:rPr>
        <w:t>- En trámite normal existe sentido de decisión favorable o diferente de no conceder.</w:t>
      </w:r>
    </w:p>
    <w:p>
      <w:r>
        <w:rPr>
          <w:rFonts w:ascii="Arial" w:hAnsi="Arial"/>
          <w:sz w:val="20"/>
        </w:rPr>
        <w:t>- En utilidad pública existe sentido favorable o diferente de negación.</w:t>
      </w:r>
    </w:p>
    <w:p>
      <w:r>
        <w:rPr>
          <w:rFonts w:ascii="Arial" w:hAnsi="Arial"/>
          <w:sz w:val="20"/>
        </w:rPr>
        <w:t>- Existe decisión final de recurso.</w:t>
      </w:r>
    </w:p>
    <w:p>
      <w:pPr>
        <w:pStyle w:val="Ttulo2"/>
      </w:pPr>
      <w:r>
        <w:t>Estado derivado en Aurora</w:t>
      </w:r>
    </w:p>
    <w:p>
      <w:r>
        <w:rPr>
          <w:rFonts w:ascii="Arial" w:hAnsi="Arial"/>
          <w:sz w:val="20"/>
        </w:rPr>
        <w:t>El estado se calcula en orden de prioridad:</w:t>
      </w:r>
    </w:p>
    <w:tbl>
      <w:tblPr>
        <w:tblW w:type="auto" w:w="0"/>
        <w:tblLook w:firstColumn="1" w:firstRow="1" w:lastColumn="0" w:lastRow="0" w:noHBand="0" w:noVBand="1" w:val="04A0"/>
      </w:tblPr>
      <w:tblGrid>
        <w:gridCol w:w="2946"/>
        <w:gridCol w:w="2946"/>
        <w:gridCol w:w="2946"/>
      </w:tblGrid>
      <w:tr>
        <w:tc>
          <w:tcPr>
            <w:tcW w:type="dxa" w:w="2946"/>
          </w:tcPr>
          <w:p>
            <w:r>
              <w:rPr>
                <w:rFonts w:ascii="Arial" w:hAnsi="Arial"/>
                <w:b/>
                <w:sz w:val="18"/>
              </w:rPr>
              <w:t>Prioridad</w:t>
            </w:r>
          </w:p>
        </w:tc>
        <w:tc>
          <w:tcPr>
            <w:tcW w:type="dxa" w:w="2946"/>
          </w:tcPr>
          <w:p>
            <w:r>
              <w:rPr>
                <w:rFonts w:ascii="Arial" w:hAnsi="Arial"/>
                <w:b/>
                <w:sz w:val="18"/>
              </w:rPr>
              <w:t>Estado</w:t>
            </w:r>
          </w:p>
        </w:tc>
        <w:tc>
          <w:tcPr>
            <w:tcW w:type="dxa" w:w="2946"/>
          </w:tcPr>
          <w:p>
            <w:r>
              <w:rPr>
                <w:rFonts w:ascii="Arial" w:hAnsi="Arial"/>
                <w:b/>
                <w:sz w:val="18"/>
              </w:rPr>
              <w:t>Condición resumida</w:t>
            </w:r>
          </w:p>
        </w:tc>
      </w:tr>
      <w:tr>
        <w:tc>
          <w:tcPr>
            <w:tcW w:type="dxa" w:w="2946"/>
          </w:tcPr>
          <w:p>
            <w:r>
              <w:rPr>
                <w:rFonts w:ascii="Arial" w:hAnsi="Arial"/>
                <w:sz w:val="18"/>
              </w:rPr>
              <w:t>1</w:t>
            </w:r>
          </w:p>
        </w:tc>
        <w:tc>
          <w:tcPr>
            <w:tcW w:type="dxa" w:w="2946"/>
          </w:tcPr>
          <w:p>
            <w:r>
              <w:rPr>
                <w:rFonts w:ascii="Arial" w:hAnsi="Arial"/>
                <w:sz w:val="18"/>
              </w:rPr>
              <w:t>Caso cerrado</w:t>
            </w:r>
          </w:p>
        </w:tc>
        <w:tc>
          <w:tcPr>
            <w:tcW w:type="dxa" w:w="2946"/>
          </w:tcPr>
          <w:p>
            <w:r>
              <w:rPr>
                <w:rFonts w:ascii="Arial" w:hAnsi="Arial"/>
                <w:sz w:val="18"/>
              </w:rPr>
              <w:t>Cumple cualquier regla de cierre.</w:t>
            </w:r>
          </w:p>
        </w:tc>
      </w:tr>
      <w:tr>
        <w:tc>
          <w:tcPr>
            <w:tcW w:type="dxa" w:w="2946"/>
          </w:tcPr>
          <w:p>
            <w:r>
              <w:rPr>
                <w:rFonts w:ascii="Arial" w:hAnsi="Arial"/>
                <w:sz w:val="18"/>
              </w:rPr>
              <w:t>2</w:t>
            </w:r>
          </w:p>
        </w:tc>
        <w:tc>
          <w:tcPr>
            <w:tcW w:type="dxa" w:w="2946"/>
          </w:tcPr>
          <w:p>
            <w:r>
              <w:rPr>
                <w:rFonts w:ascii="Arial" w:hAnsi="Arial"/>
                <w:sz w:val="18"/>
              </w:rPr>
              <w:t>Pendiente decisión</w:t>
            </w:r>
          </w:p>
        </w:tc>
        <w:tc>
          <w:tcPr>
            <w:tcW w:type="dxa" w:w="2946"/>
          </w:tcPr>
          <w:p>
            <w:r>
              <w:rPr>
                <w:rFonts w:ascii="Arial" w:hAnsi="Arial"/>
                <w:sz w:val="18"/>
              </w:rPr>
              <w:t>Decisión negativa con recurso presentado y sin decisión del recurso.</w:t>
            </w:r>
          </w:p>
        </w:tc>
      </w:tr>
      <w:tr>
        <w:tc>
          <w:tcPr>
            <w:tcW w:type="dxa" w:w="2946"/>
          </w:tcPr>
          <w:p>
            <w:r>
              <w:rPr>
                <w:rFonts w:ascii="Arial" w:hAnsi="Arial"/>
                <w:sz w:val="18"/>
              </w:rPr>
              <w:t>3</w:t>
            </w:r>
          </w:p>
        </w:tc>
        <w:tc>
          <w:tcPr>
            <w:tcW w:type="dxa" w:w="2946"/>
          </w:tcPr>
          <w:p>
            <w:r>
              <w:rPr>
                <w:rFonts w:ascii="Arial" w:hAnsi="Arial"/>
                <w:sz w:val="18"/>
              </w:rPr>
              <w:t>Pendiente decisión</w:t>
            </w:r>
          </w:p>
        </w:tc>
        <w:tc>
          <w:tcPr>
            <w:tcW w:type="dxa" w:w="2946"/>
          </w:tcPr>
          <w:p>
            <w:r>
              <w:rPr>
                <w:rFonts w:ascii="Arial" w:hAnsi="Arial"/>
                <w:sz w:val="18"/>
              </w:rPr>
              <w:t>Existe fecha de decisión pero falta sentido de decisión.</w:t>
            </w:r>
          </w:p>
        </w:tc>
      </w:tr>
      <w:tr>
        <w:tc>
          <w:tcPr>
            <w:tcW w:type="dxa" w:w="2946"/>
          </w:tcPr>
          <w:p>
            <w:r>
              <w:rPr>
                <w:rFonts w:ascii="Arial" w:hAnsi="Arial"/>
                <w:sz w:val="18"/>
              </w:rPr>
              <w:t>4</w:t>
            </w:r>
          </w:p>
        </w:tc>
        <w:tc>
          <w:tcPr>
            <w:tcW w:type="dxa" w:w="2946"/>
          </w:tcPr>
          <w:p>
            <w:r>
              <w:rPr>
                <w:rFonts w:ascii="Arial" w:hAnsi="Arial"/>
                <w:sz w:val="18"/>
              </w:rPr>
              <w:t>Pendiente decisión</w:t>
            </w:r>
          </w:p>
        </w:tc>
        <w:tc>
          <w:tcPr>
            <w:tcW w:type="dxa" w:w="2946"/>
          </w:tcPr>
          <w:p>
            <w:r>
              <w:rPr>
                <w:rFonts w:ascii="Arial" w:hAnsi="Arial"/>
                <w:sz w:val="18"/>
              </w:rPr>
              <w:t>Existe radicación/presentación ante autoridad y falta decisión.</w:t>
            </w:r>
          </w:p>
        </w:tc>
      </w:tr>
      <w:tr>
        <w:tc>
          <w:tcPr>
            <w:tcW w:type="dxa" w:w="2946"/>
          </w:tcPr>
          <w:p>
            <w:r>
              <w:rPr>
                <w:rFonts w:ascii="Arial" w:hAnsi="Arial"/>
                <w:sz w:val="18"/>
              </w:rPr>
              <w:t>5</w:t>
            </w:r>
          </w:p>
        </w:tc>
        <w:tc>
          <w:tcPr>
            <w:tcW w:type="dxa" w:w="2946"/>
          </w:tcPr>
          <w:p>
            <w:r>
              <w:rPr>
                <w:rFonts w:ascii="Arial" w:hAnsi="Arial"/>
                <w:sz w:val="18"/>
              </w:rPr>
              <w:t>Presentar solicitud</w:t>
            </w:r>
          </w:p>
        </w:tc>
        <w:tc>
          <w:tcPr>
            <w:tcW w:type="dxa" w:w="2946"/>
          </w:tcPr>
          <w:p>
            <w:r>
              <w:rPr>
                <w:rFonts w:ascii="Arial" w:hAnsi="Arial"/>
                <w:sz w:val="18"/>
              </w:rPr>
              <w:t>Hay datos de bloque 5 pero falta radicación/presentación.</w:t>
            </w:r>
          </w:p>
        </w:tc>
      </w:tr>
      <w:tr>
        <w:tc>
          <w:tcPr>
            <w:tcW w:type="dxa" w:w="2946"/>
          </w:tcPr>
          <w:p>
            <w:r>
              <w:rPr>
                <w:rFonts w:ascii="Arial" w:hAnsi="Arial"/>
                <w:sz w:val="18"/>
              </w:rPr>
              <w:t>6</w:t>
            </w:r>
          </w:p>
        </w:tc>
        <w:tc>
          <w:tcPr>
            <w:tcW w:type="dxa" w:w="2946"/>
          </w:tcPr>
          <w:p>
            <w:r>
              <w:rPr>
                <w:rFonts w:ascii="Arial" w:hAnsi="Arial"/>
                <w:sz w:val="18"/>
              </w:rPr>
              <w:t>Presentar solicitud</w:t>
            </w:r>
          </w:p>
        </w:tc>
        <w:tc>
          <w:tcPr>
            <w:tcW w:type="dxa" w:w="2946"/>
          </w:tcPr>
          <w:p>
            <w:r>
              <w:rPr>
                <w:rFonts w:ascii="Arial" w:hAnsi="Arial"/>
                <w:sz w:val="18"/>
              </w:rPr>
              <w:t>Análisis, entrevista y actuación completas, sin radicación/presentación.</w:t>
            </w:r>
          </w:p>
        </w:tc>
      </w:tr>
      <w:tr>
        <w:tc>
          <w:tcPr>
            <w:tcW w:type="dxa" w:w="2946"/>
          </w:tcPr>
          <w:p>
            <w:r>
              <w:rPr>
                <w:rFonts w:ascii="Arial" w:hAnsi="Arial"/>
                <w:sz w:val="18"/>
              </w:rPr>
              <w:t>7</w:t>
            </w:r>
          </w:p>
        </w:tc>
        <w:tc>
          <w:tcPr>
            <w:tcW w:type="dxa" w:w="2946"/>
          </w:tcPr>
          <w:p>
            <w:r>
              <w:rPr>
                <w:rFonts w:ascii="Arial" w:hAnsi="Arial"/>
                <w:sz w:val="18"/>
              </w:rPr>
              <w:t>Entrevistar al usuario</w:t>
            </w:r>
          </w:p>
        </w:tc>
        <w:tc>
          <w:tcPr>
            <w:tcW w:type="dxa" w:w="2946"/>
          </w:tcPr>
          <w:p>
            <w:r>
              <w:rPr>
                <w:rFonts w:ascii="Arial" w:hAnsi="Arial"/>
                <w:sz w:val="18"/>
              </w:rPr>
              <w:t>Análisis jurídico completo, pero falta entrevista o actuación.</w:t>
            </w:r>
          </w:p>
        </w:tc>
      </w:tr>
      <w:tr>
        <w:tc>
          <w:tcPr>
            <w:tcW w:type="dxa" w:w="2946"/>
          </w:tcPr>
          <w:p>
            <w:r>
              <w:rPr>
                <w:rFonts w:ascii="Arial" w:hAnsi="Arial"/>
                <w:sz w:val="18"/>
              </w:rPr>
              <w:t>8</w:t>
            </w:r>
          </w:p>
        </w:tc>
        <w:tc>
          <w:tcPr>
            <w:tcW w:type="dxa" w:w="2946"/>
          </w:tcPr>
          <w:p>
            <w:r>
              <w:rPr>
                <w:rFonts w:ascii="Arial" w:hAnsi="Arial"/>
                <w:sz w:val="18"/>
              </w:rPr>
              <w:t>Analizar el caso</w:t>
            </w:r>
          </w:p>
        </w:tc>
        <w:tc>
          <w:tcPr>
            <w:tcW w:type="dxa" w:w="2946"/>
          </w:tcPr>
          <w:p>
            <w:r>
              <w:rPr>
                <w:rFonts w:ascii="Arial" w:hAnsi="Arial"/>
                <w:sz w:val="18"/>
              </w:rPr>
              <w:t>Estado por defecto.</w:t>
            </w:r>
          </w:p>
        </w:tc>
      </w:tr>
    </w:tbl>
    <w:p/>
    <w:p>
      <w:pPr>
        <w:pStyle w:val="Ttulo2"/>
      </w:pPr>
      <w:r>
        <w:t>Flujo Sindicados</w:t>
      </w:r>
    </w:p>
    <w:p>
      <w:r>
        <w:rPr>
          <w:rFonts w:ascii="Arial" w:hAnsi="Arial"/>
          <w:sz w:val="20"/>
        </w:rPr>
        <w:t>El flujo de sindicados usa la configuración Celeste, aunque la interfaz lo presenta como flujo de sindicados.</w:t>
      </w:r>
    </w:p>
    <w:tbl>
      <w:tblPr>
        <w:tblW w:type="auto" w:w="0"/>
        <w:tblLook w:firstColumn="1" w:firstRow="1" w:lastColumn="0" w:lastRow="0" w:noHBand="0" w:noVBand="1" w:val="04A0"/>
      </w:tblPr>
      <w:tblGrid>
        <w:gridCol w:w="2946"/>
        <w:gridCol w:w="2946"/>
        <w:gridCol w:w="2946"/>
      </w:tblGrid>
      <w:tr>
        <w:tc>
          <w:tcPr>
            <w:tcW w:type="dxa" w:w="2946"/>
          </w:tcPr>
          <w:p>
            <w:r>
              <w:rPr>
                <w:rFonts w:ascii="Arial" w:hAnsi="Arial"/>
                <w:b/>
                <w:sz w:val="18"/>
              </w:rPr>
              <w:t>Bloque</w:t>
            </w:r>
          </w:p>
        </w:tc>
        <w:tc>
          <w:tcPr>
            <w:tcW w:type="dxa" w:w="2946"/>
          </w:tcPr>
          <w:p>
            <w:r>
              <w:rPr>
                <w:rFonts w:ascii="Arial" w:hAnsi="Arial"/>
                <w:b/>
                <w:sz w:val="18"/>
              </w:rPr>
              <w:t>Contenido</w:t>
            </w:r>
          </w:p>
        </w:tc>
        <w:tc>
          <w:tcPr>
            <w:tcW w:type="dxa" w:w="2946"/>
          </w:tcPr>
          <w:p>
            <w:r>
              <w:rPr>
                <w:rFonts w:ascii="Arial" w:hAnsi="Arial"/>
                <w:b/>
                <w:sz w:val="18"/>
              </w:rPr>
              <w:t>Regla de avance</w:t>
            </w:r>
          </w:p>
        </w:tc>
      </w:tr>
      <w:tr>
        <w:tc>
          <w:tcPr>
            <w:tcW w:type="dxa" w:w="2946"/>
          </w:tcPr>
          <w:p>
            <w:r>
              <w:rPr>
                <w:rFonts w:ascii="Arial" w:hAnsi="Arial"/>
                <w:sz w:val="18"/>
              </w:rPr>
              <w:t>bloque1</w:t>
            </w:r>
          </w:p>
        </w:tc>
        <w:tc>
          <w:tcPr>
            <w:tcW w:type="dxa" w:w="2946"/>
          </w:tcPr>
          <w:p>
            <w:r>
              <w:rPr>
                <w:rFonts w:ascii="Arial" w:hAnsi="Arial"/>
                <w:sz w:val="18"/>
              </w:rPr>
              <w:t>Datos base.</w:t>
            </w:r>
          </w:p>
        </w:tc>
        <w:tc>
          <w:tcPr>
            <w:tcW w:type="dxa" w:w="2946"/>
          </w:tcPr>
          <w:p>
            <w:r>
              <w:rPr>
                <w:rFonts w:ascii="Arial" w:hAnsi="Arial"/>
                <w:sz w:val="18"/>
              </w:rPr>
              <w:t>Visible siempre.</w:t>
            </w:r>
          </w:p>
        </w:tc>
      </w:tr>
      <w:tr>
        <w:tc>
          <w:tcPr>
            <w:tcW w:type="dxa" w:w="2946"/>
          </w:tcPr>
          <w:p>
            <w:r>
              <w:rPr>
                <w:rFonts w:ascii="Arial" w:hAnsi="Arial"/>
                <w:sz w:val="18"/>
              </w:rPr>
              <w:t>bloque2Celeste</w:t>
            </w:r>
          </w:p>
        </w:tc>
        <w:tc>
          <w:tcPr>
            <w:tcW w:type="dxa" w:w="2946"/>
          </w:tcPr>
          <w:p>
            <w:r>
              <w:rPr>
                <w:rFonts w:ascii="Arial" w:hAnsi="Arial"/>
                <w:sz w:val="18"/>
              </w:rPr>
              <w:t>Datos jurídicos mínimos del proceso.</w:t>
            </w:r>
          </w:p>
        </w:tc>
        <w:tc>
          <w:tcPr>
            <w:tcW w:type="dxa" w:w="2946"/>
          </w:tcPr>
          <w:p>
            <w:r>
              <w:rPr>
                <w:rFonts w:ascii="Arial" w:hAnsi="Arial"/>
                <w:sz w:val="18"/>
              </w:rPr>
              <w:t>Visible siempre.</w:t>
            </w:r>
          </w:p>
        </w:tc>
      </w:tr>
      <w:tr>
        <w:tc>
          <w:tcPr>
            <w:tcW w:type="dxa" w:w="2946"/>
          </w:tcPr>
          <w:p>
            <w:r>
              <w:rPr>
                <w:rFonts w:ascii="Arial" w:hAnsi="Arial"/>
                <w:sz w:val="18"/>
              </w:rPr>
              <w:t>bloque3Celeste</w:t>
            </w:r>
          </w:p>
        </w:tc>
        <w:tc>
          <w:tcPr>
            <w:tcW w:type="dxa" w:w="2946"/>
          </w:tcPr>
          <w:p>
            <w:r>
              <w:rPr>
                <w:rFonts w:ascii="Arial" w:hAnsi="Arial"/>
                <w:sz w:val="18"/>
              </w:rPr>
              <w:t>Defensor, análisis jurídico, procedencia de vencimiento de términos y resumen.</w:t>
            </w:r>
          </w:p>
        </w:tc>
        <w:tc>
          <w:tcPr>
            <w:tcW w:type="dxa" w:w="2946"/>
          </w:tcPr>
          <w:p>
            <w:r>
              <w:rPr>
                <w:rFonts w:ascii="Arial" w:hAnsi="Arial"/>
                <w:sz w:val="18"/>
              </w:rPr>
              <w:t>Visible siempre.</w:t>
            </w:r>
          </w:p>
        </w:tc>
      </w:tr>
      <w:tr>
        <w:tc>
          <w:tcPr>
            <w:tcW w:type="dxa" w:w="2946"/>
          </w:tcPr>
          <w:p>
            <w:r>
              <w:rPr>
                <w:rFonts w:ascii="Arial" w:hAnsi="Arial"/>
                <w:sz w:val="18"/>
              </w:rPr>
              <w:t>bloque4Celeste</w:t>
            </w:r>
          </w:p>
        </w:tc>
        <w:tc>
          <w:tcPr>
            <w:tcW w:type="dxa" w:w="2946"/>
          </w:tcPr>
          <w:p>
            <w:r>
              <w:rPr>
                <w:rFonts w:ascii="Arial" w:hAnsi="Arial"/>
                <w:sz w:val="18"/>
              </w:rPr>
              <w:t>Fecha de entrevista para informar al usuario.</w:t>
            </w:r>
          </w:p>
        </w:tc>
        <w:tc>
          <w:tcPr>
            <w:tcW w:type="dxa" w:w="2946"/>
          </w:tcPr>
          <w:p>
            <w:r>
              <w:rPr>
                <w:rFonts w:ascii="Arial" w:hAnsi="Arial"/>
                <w:sz w:val="18"/>
              </w:rPr>
              <w:t>Requiere bloque 3 completo y que Q21 no cierre el caso.</w:t>
            </w:r>
          </w:p>
        </w:tc>
      </w:tr>
      <w:tr>
        <w:tc>
          <w:tcPr>
            <w:tcW w:type="dxa" w:w="2946"/>
          </w:tcPr>
          <w:p>
            <w:r>
              <w:rPr>
                <w:rFonts w:ascii="Arial" w:hAnsi="Arial"/>
                <w:sz w:val="18"/>
              </w:rPr>
              <w:t>bloque5Celeste</w:t>
            </w:r>
          </w:p>
        </w:tc>
        <w:tc>
          <w:tcPr>
            <w:tcW w:type="dxa" w:w="2946"/>
          </w:tcPr>
          <w:p>
            <w:r>
              <w:rPr>
                <w:rFonts w:ascii="Arial" w:hAnsi="Arial"/>
                <w:sz w:val="18"/>
              </w:rPr>
              <w:t>Solicitud de audiencia, audiencia, decisión y recurso.</w:t>
            </w:r>
          </w:p>
        </w:tc>
        <w:tc>
          <w:tcPr>
            <w:tcW w:type="dxa" w:w="2946"/>
          </w:tcPr>
          <w:p>
            <w:r>
              <w:rPr>
                <w:rFonts w:ascii="Arial" w:hAnsi="Arial"/>
                <w:sz w:val="18"/>
              </w:rPr>
              <w:t>Requiere Q23 diligenciada.</w:t>
            </w:r>
          </w:p>
        </w:tc>
      </w:tr>
    </w:tbl>
    <w:p/>
    <w:p>
      <w:r>
        <w:rPr>
          <w:rFonts w:ascii="Arial" w:hAnsi="Arial"/>
          <w:sz w:val="20"/>
        </w:rPr>
        <w:t>Reglas principales:</w:t>
      </w:r>
    </w:p>
    <w:p>
      <w:r>
        <w:rPr>
          <w:rFonts w:ascii="Arial" w:hAnsi="Arial"/>
          <w:sz w:val="20"/>
        </w:rPr>
        <w:t>- Si Q21 inicia con No se avanzará, el caso queda cerrado y no se muestran bloques posteriores.</w:t>
      </w:r>
    </w:p>
    <w:p>
      <w:r>
        <w:rPr>
          <w:rFonts w:ascii="Arial" w:hAnsi="Arial"/>
          <w:sz w:val="20"/>
        </w:rPr>
        <w:t>- Si Q21 indica que se avanzará y Q23 está vacía, el estado es Entrevistar al usuario.</w:t>
      </w:r>
    </w:p>
    <w:p>
      <w:r>
        <w:rPr>
          <w:rFonts w:ascii="Arial" w:hAnsi="Arial"/>
          <w:sz w:val="20"/>
        </w:rPr>
        <w:t>- Si Q23 está diligenciada y aún no existe resultado posterior, el estado es Presentar solicitud.</w:t>
      </w:r>
    </w:p>
    <w:p>
      <w:r>
        <w:rPr>
          <w:rFonts w:ascii="Arial" w:hAnsi="Arial"/>
          <w:sz w:val="20"/>
        </w:rPr>
        <w:t>- Si Q24 está diligenciada y Q25 vacía, el estado es Pendiente audiencia.</w:t>
      </w:r>
    </w:p>
    <w:p>
      <w:r>
        <w:rPr>
          <w:rFonts w:ascii="Arial" w:hAnsi="Arial"/>
          <w:sz w:val="20"/>
        </w:rPr>
        <w:t>- Si Q25 está diligenciada y Q26 vacía, el estado es Pendiente decisión de audiencia.</w:t>
      </w:r>
    </w:p>
    <w:p>
      <w:r>
        <w:rPr>
          <w:rFonts w:ascii="Arial" w:hAnsi="Arial"/>
          <w:sz w:val="20"/>
        </w:rPr>
        <w:t>- Si Q26 revoca o sustituye la medida, el caso se cierra.</w:t>
      </w:r>
    </w:p>
    <w:p>
      <w:r>
        <w:rPr>
          <w:rFonts w:ascii="Arial" w:hAnsi="Arial"/>
          <w:sz w:val="20"/>
        </w:rPr>
        <w:t>- Si Q26 niega la solicitud y no se presenta recurso, el caso se cierra.</w:t>
      </w:r>
    </w:p>
    <w:p>
      <w:r>
        <w:rPr>
          <w:rFonts w:ascii="Arial" w:hAnsi="Arial"/>
          <w:sz w:val="20"/>
        </w:rPr>
        <w:t>- Si se presenta recurso, el estado queda Pendiente decisión hasta que exista decisión o sentido del recurso.</w:t>
      </w:r>
    </w:p>
    <w:p>
      <w:r>
        <w:rPr>
          <w:rFonts w:ascii="Arial" w:hAnsi="Arial"/>
          <w:sz w:val="20"/>
        </w:rPr>
        <w:t>- Si Q30 o Q31 están diligenciadas, el caso queda cerrado.</w:t>
      </w:r>
    </w:p>
    <w:p>
      <w:pPr>
        <w:pStyle w:val="Ttulo2"/>
      </w:pPr>
      <w:r>
        <w:t>Semáforo de estados</w:t>
      </w:r>
    </w:p>
    <w:p>
      <w:r>
        <w:rPr>
          <w:rFonts w:ascii="Arial" w:hAnsi="Arial"/>
          <w:sz w:val="20"/>
        </w:rPr>
        <w:t>estadoActuaciones.rules.ts convierte el estado lógico en etiqueta y clase visual:</w:t>
      </w:r>
    </w:p>
    <w:tbl>
      <w:tblPr>
        <w:tblW w:type="auto" w:w="0"/>
        <w:tblLook w:firstColumn="1" w:firstRow="1" w:lastColumn="0" w:lastRow="0" w:noHBand="0" w:noVBand="1" w:val="04A0"/>
      </w:tblPr>
      <w:tblGrid>
        <w:gridCol w:w="2946"/>
        <w:gridCol w:w="2946"/>
        <w:gridCol w:w="2946"/>
      </w:tblGrid>
      <w:tr>
        <w:tc>
          <w:tcPr>
            <w:tcW w:type="dxa" w:w="2946"/>
          </w:tcPr>
          <w:p>
            <w:r>
              <w:rPr>
                <w:rFonts w:ascii="Arial" w:hAnsi="Arial"/>
                <w:b/>
                <w:sz w:val="18"/>
              </w:rPr>
              <w:t>Estado</w:t>
            </w:r>
          </w:p>
        </w:tc>
        <w:tc>
          <w:tcPr>
            <w:tcW w:type="dxa" w:w="2946"/>
          </w:tcPr>
          <w:p>
            <w:r>
              <w:rPr>
                <w:rFonts w:ascii="Arial" w:hAnsi="Arial"/>
                <w:b/>
                <w:sz w:val="18"/>
              </w:rPr>
              <w:t>Clase base</w:t>
            </w:r>
          </w:p>
        </w:tc>
        <w:tc>
          <w:tcPr>
            <w:tcW w:type="dxa" w:w="2946"/>
          </w:tcPr>
          <w:p>
            <w:r>
              <w:rPr>
                <w:rFonts w:ascii="Arial" w:hAnsi="Arial"/>
                <w:b/>
                <w:sz w:val="18"/>
              </w:rPr>
              <w:t>Referencia temporal para semáforo</w:t>
            </w:r>
          </w:p>
        </w:tc>
      </w:tr>
      <w:tr>
        <w:tc>
          <w:tcPr>
            <w:tcW w:type="dxa" w:w="2946"/>
          </w:tcPr>
          <w:p>
            <w:r>
              <w:rPr>
                <w:rFonts w:ascii="Arial" w:hAnsi="Arial"/>
                <w:sz w:val="18"/>
              </w:rPr>
              <w:t>Analizar el caso</w:t>
            </w:r>
          </w:p>
        </w:tc>
        <w:tc>
          <w:tcPr>
            <w:tcW w:type="dxa" w:w="2946"/>
          </w:tcPr>
          <w:p>
            <w:r>
              <w:rPr>
                <w:rFonts w:ascii="Arial" w:hAnsi="Arial"/>
                <w:sz w:val="18"/>
              </w:rPr>
              <w:t>Verde</w:t>
            </w:r>
          </w:p>
        </w:tc>
        <w:tc>
          <w:tcPr>
            <w:tcW w:type="dxa" w:w="2946"/>
          </w:tcPr>
          <w:p>
            <w:r>
              <w:rPr>
                <w:rFonts w:ascii="Arial" w:hAnsi="Arial"/>
                <w:sz w:val="18"/>
              </w:rPr>
              <w:t>Fecha de asignación del PAG o fecha de creación.</w:t>
            </w:r>
          </w:p>
        </w:tc>
      </w:tr>
      <w:tr>
        <w:tc>
          <w:tcPr>
            <w:tcW w:type="dxa" w:w="2946"/>
          </w:tcPr>
          <w:p>
            <w:r>
              <w:rPr>
                <w:rFonts w:ascii="Arial" w:hAnsi="Arial"/>
                <w:sz w:val="18"/>
              </w:rPr>
              <w:t>Entrevistar al usuario</w:t>
            </w:r>
          </w:p>
        </w:tc>
        <w:tc>
          <w:tcPr>
            <w:tcW w:type="dxa" w:w="2946"/>
          </w:tcPr>
          <w:p>
            <w:r>
              <w:rPr>
                <w:rFonts w:ascii="Arial" w:hAnsi="Arial"/>
                <w:sz w:val="18"/>
              </w:rPr>
              <w:t>Amarillo</w:t>
            </w:r>
          </w:p>
        </w:tc>
        <w:tc>
          <w:tcPr>
            <w:tcW w:type="dxa" w:w="2946"/>
          </w:tcPr>
          <w:p>
            <w:r>
              <w:rPr>
                <w:rFonts w:ascii="Arial" w:hAnsi="Arial"/>
                <w:sz w:val="18"/>
              </w:rPr>
              <w:t>Fecha de análisis jurídico.</w:t>
            </w:r>
          </w:p>
        </w:tc>
      </w:tr>
      <w:tr>
        <w:tc>
          <w:tcPr>
            <w:tcW w:type="dxa" w:w="2946"/>
          </w:tcPr>
          <w:p>
            <w:r>
              <w:rPr>
                <w:rFonts w:ascii="Arial" w:hAnsi="Arial"/>
                <w:sz w:val="18"/>
              </w:rPr>
              <w:t>Presentar solicitud</w:t>
            </w:r>
          </w:p>
        </w:tc>
        <w:tc>
          <w:tcPr>
            <w:tcW w:type="dxa" w:w="2946"/>
          </w:tcPr>
          <w:p>
            <w:r>
              <w:rPr>
                <w:rFonts w:ascii="Arial" w:hAnsi="Arial"/>
                <w:sz w:val="18"/>
              </w:rPr>
              <w:t>Rojo</w:t>
            </w:r>
          </w:p>
        </w:tc>
        <w:tc>
          <w:tcPr>
            <w:tcW w:type="dxa" w:w="2946"/>
          </w:tcPr>
          <w:p>
            <w:r>
              <w:rPr>
                <w:rFonts w:ascii="Arial" w:hAnsi="Arial"/>
                <w:sz w:val="18"/>
              </w:rPr>
              <w:t>Fecha de entrevista.</w:t>
            </w:r>
          </w:p>
        </w:tc>
      </w:tr>
      <w:tr>
        <w:tc>
          <w:tcPr>
            <w:tcW w:type="dxa" w:w="2946"/>
          </w:tcPr>
          <w:p>
            <w:r>
              <w:rPr>
                <w:rFonts w:ascii="Arial" w:hAnsi="Arial"/>
                <w:sz w:val="18"/>
              </w:rPr>
              <w:t>Pendiente audiencia</w:t>
            </w:r>
          </w:p>
        </w:tc>
        <w:tc>
          <w:tcPr>
            <w:tcW w:type="dxa" w:w="2946"/>
          </w:tcPr>
          <w:p>
            <w:r>
              <w:rPr>
                <w:rFonts w:ascii="Arial" w:hAnsi="Arial"/>
                <w:sz w:val="18"/>
              </w:rPr>
              <w:t>Azul</w:t>
            </w:r>
          </w:p>
        </w:tc>
        <w:tc>
          <w:tcPr>
            <w:tcW w:type="dxa" w:w="2946"/>
          </w:tcPr>
          <w:p>
            <w:r>
              <w:rPr>
                <w:rFonts w:ascii="Arial" w:hAnsi="Arial"/>
                <w:sz w:val="18"/>
              </w:rPr>
              <w:t>Sin semáforo por días.</w:t>
            </w:r>
          </w:p>
        </w:tc>
      </w:tr>
      <w:tr>
        <w:tc>
          <w:tcPr>
            <w:tcW w:type="dxa" w:w="2946"/>
          </w:tcPr>
          <w:p>
            <w:r>
              <w:rPr>
                <w:rFonts w:ascii="Arial" w:hAnsi="Arial"/>
                <w:sz w:val="18"/>
              </w:rPr>
              <w:t>Pendiente decisión de audiencia</w:t>
            </w:r>
          </w:p>
        </w:tc>
        <w:tc>
          <w:tcPr>
            <w:tcW w:type="dxa" w:w="2946"/>
          </w:tcPr>
          <w:p>
            <w:r>
              <w:rPr>
                <w:rFonts w:ascii="Arial" w:hAnsi="Arial"/>
                <w:sz w:val="18"/>
              </w:rPr>
              <w:t>Azul</w:t>
            </w:r>
          </w:p>
        </w:tc>
        <w:tc>
          <w:tcPr>
            <w:tcW w:type="dxa" w:w="2946"/>
          </w:tcPr>
          <w:p>
            <w:r>
              <w:rPr>
                <w:rFonts w:ascii="Arial" w:hAnsi="Arial"/>
                <w:sz w:val="18"/>
              </w:rPr>
              <w:t>Sin semáforo por días.</w:t>
            </w:r>
          </w:p>
        </w:tc>
      </w:tr>
      <w:tr>
        <w:tc>
          <w:tcPr>
            <w:tcW w:type="dxa" w:w="2946"/>
          </w:tcPr>
          <w:p>
            <w:r>
              <w:rPr>
                <w:rFonts w:ascii="Arial" w:hAnsi="Arial"/>
                <w:sz w:val="18"/>
              </w:rPr>
              <w:t>Pendiente decisión</w:t>
            </w:r>
          </w:p>
        </w:tc>
        <w:tc>
          <w:tcPr>
            <w:tcW w:type="dxa" w:w="2946"/>
          </w:tcPr>
          <w:p>
            <w:r>
              <w:rPr>
                <w:rFonts w:ascii="Arial" w:hAnsi="Arial"/>
                <w:sz w:val="18"/>
              </w:rPr>
              <w:t>Azul</w:t>
            </w:r>
          </w:p>
        </w:tc>
        <w:tc>
          <w:tcPr>
            <w:tcW w:type="dxa" w:w="2946"/>
          </w:tcPr>
          <w:p>
            <w:r>
              <w:rPr>
                <w:rFonts w:ascii="Arial" w:hAnsi="Arial"/>
                <w:sz w:val="18"/>
              </w:rPr>
              <w:t>Sin semáforo por días.</w:t>
            </w:r>
          </w:p>
        </w:tc>
      </w:tr>
      <w:tr>
        <w:tc>
          <w:tcPr>
            <w:tcW w:type="dxa" w:w="2946"/>
          </w:tcPr>
          <w:p>
            <w:r>
              <w:rPr>
                <w:rFonts w:ascii="Arial" w:hAnsi="Arial"/>
                <w:sz w:val="18"/>
              </w:rPr>
              <w:t>Caso cerrado</w:t>
            </w:r>
          </w:p>
        </w:tc>
        <w:tc>
          <w:tcPr>
            <w:tcW w:type="dxa" w:w="2946"/>
          </w:tcPr>
          <w:p>
            <w:r>
              <w:rPr>
                <w:rFonts w:ascii="Arial" w:hAnsi="Arial"/>
                <w:sz w:val="18"/>
              </w:rPr>
              <w:t>Gris</w:t>
            </w:r>
          </w:p>
        </w:tc>
        <w:tc>
          <w:tcPr>
            <w:tcW w:type="dxa" w:w="2946"/>
          </w:tcPr>
          <w:p>
            <w:r>
              <w:rPr>
                <w:rFonts w:ascii="Arial" w:hAnsi="Arial"/>
                <w:sz w:val="18"/>
              </w:rPr>
              <w:t>Sin semáforo por días.</w:t>
            </w:r>
          </w:p>
        </w:tc>
      </w:tr>
    </w:tbl>
    <w:p/>
    <w:p>
      <w:r>
        <w:rPr>
          <w:rFonts w:ascii="Arial" w:hAnsi="Arial"/>
          <w:sz w:val="20"/>
        </w:rPr>
        <w:t>Cuando aplica semáforo por días:</w:t>
      </w:r>
    </w:p>
    <w:p>
      <w:r>
        <w:rPr>
          <w:rFonts w:ascii="Arial" w:hAnsi="Arial"/>
          <w:sz w:val="20"/>
        </w:rPr>
        <w:t>- 0 a 15 días: verde.</w:t>
      </w:r>
    </w:p>
    <w:p>
      <w:r>
        <w:rPr>
          <w:rFonts w:ascii="Arial" w:hAnsi="Arial"/>
          <w:sz w:val="20"/>
        </w:rPr>
        <w:t>- 16 a 30 días: amarillo.</w:t>
      </w:r>
    </w:p>
    <w:p>
      <w:r>
        <w:rPr>
          <w:rFonts w:ascii="Arial" w:hAnsi="Arial"/>
          <w:sz w:val="20"/>
        </w:rPr>
        <w:t>- Más de 30 días: rojo.</w:t>
      </w:r>
    </w:p>
    <w:p>
      <w:pPr>
        <w:pStyle w:val="Ttulo2"/>
      </w:pPr>
      <w:r>
        <w:t>Historial de actuaciones</w:t>
      </w:r>
    </w:p>
    <w:p>
      <w:r>
        <w:rPr>
          <w:rFonts w:ascii="Arial" w:hAnsi="Arial"/>
          <w:sz w:val="20"/>
        </w:rPr>
        <w:t>El historial permite crear o actualizar actuaciones asociadas al documento de la persona. Técnicamente:</w:t>
      </w:r>
    </w:p>
    <w:p>
      <w:r>
        <w:rPr>
          <w:rFonts w:ascii="Arial" w:hAnsi="Arial"/>
          <w:sz w:val="20"/>
        </w:rPr>
        <w:t>- Una actuación existente se actualiza si se guarda con actuacionId.</w:t>
      </w:r>
    </w:p>
    <w:p>
      <w:r>
        <w:rPr>
          <w:rFonts w:ascii="Arial" w:hAnsi="Arial"/>
          <w:sz w:val="20"/>
        </w:rPr>
        <w:t>- Si no hay actuacionId, se actualiza la última actuación del documento o se crea una nueva según el flujo de la pantalla.</w:t>
      </w:r>
    </w:p>
    <w:p>
      <w:r>
        <w:rPr>
          <w:rFonts w:ascii="Arial" w:hAnsi="Arial"/>
          <w:sz w:val="20"/>
        </w:rPr>
        <w:t>- La fila activa del historial se recalcula con los datos vivos del formulario para mostrar estado actualizado antes de una recarga completa.</w:t>
      </w:r>
    </w:p>
    <w:p>
      <w:r>
        <w:rPr>
          <w:rFonts w:ascii="Arial" w:hAnsi="Arial"/>
          <w:sz w:val="20"/>
        </w:rPr>
        <w:t>- En flujo condenado, la creación de una nueva actuación se bloquea si no existen datos mínimos desde el análisis jurídico.</w:t>
      </w:r>
    </w:p>
    <w:p>
      <w:pPr>
        <w:pStyle w:val="Ttulo2"/>
      </w:pPr>
      <w:r>
        <w:t>Validaciones temporales del formulario</w:t>
      </w:r>
    </w:p>
    <w:p>
      <w:r>
        <w:rPr>
          <w:rFonts w:ascii="Arial" w:hAnsi="Arial"/>
          <w:sz w:val="20"/>
        </w:rPr>
        <w:t>El formulario aplica validaciones de fechas en bloque 5:</w:t>
      </w:r>
    </w:p>
    <w:p>
      <w:r>
        <w:rPr>
          <w:rFonts w:ascii="Arial" w:hAnsi="Arial"/>
          <w:sz w:val="20"/>
        </w:rPr>
        <w:t>- La secuencia cronológica debe conservar el orden esperado: recepción de pruebas, radicación/presentación, decisión y recurso cuando aplique.</w:t>
      </w:r>
    </w:p>
    <w:p>
      <w:r>
        <w:rPr>
          <w:rFonts w:ascii="Arial" w:hAnsi="Arial"/>
          <w:sz w:val="20"/>
        </w:rPr>
        <w:t>- No se aceptan fechas futuras superiores a la fecha actual más 5 días.</w:t>
      </w:r>
    </w:p>
    <w:p>
      <w:r>
        <w:rPr>
          <w:rFonts w:ascii="Arial" w:hAnsi="Arial"/>
          <w:sz w:val="20"/>
        </w:rPr>
        <w:t>- Las fechas usadas por reglas aceptan formatos ISO y día/mes/año cuando el dato proviene de fuentes heterogéneas.</w:t>
      </w:r>
    </w:p>
    <w:p>
      <w:pPr>
        <w:pStyle w:val="Ttulo2"/>
      </w:pPr>
      <w:r>
        <w:t>Cargas mensuales staging/ETL</w:t>
      </w:r>
    </w:p>
    <w:p>
      <w:r>
        <w:rPr>
          <w:rFonts w:ascii="Arial" w:hAnsi="Arial"/>
          <w:sz w:val="20"/>
        </w:rPr>
        <w:t>Aurora incorpora una vista administrativa Cargas mensuales para subir archivos Excel de PONAL, SISIPEC y Aurora 1.0, cargarlos a tablas staging y ejecutar los procedimientos ETL de Oracle.</w:t>
      </w:r>
    </w:p>
    <w:p>
      <w:r>
        <w:rPr>
          <w:rFonts w:ascii="Arial" w:hAnsi="Arial"/>
          <w:sz w:val="20"/>
        </w:rPr>
        <w:t>Componentes:</w:t>
      </w:r>
    </w:p>
    <w:p>
      <w:r>
        <w:rPr>
          <w:rFonts w:ascii="Arial" w:hAnsi="Arial"/>
          <w:sz w:val="20"/>
        </w:rPr>
        <w:t>- frontend/src/pages/AdminCargasBD.jsx: UI de carga, historial, log y reintento.</w:t>
      </w:r>
    </w:p>
    <w:p>
      <w:r>
        <w:rPr>
          <w:rFonts w:ascii="Arial" w:hAnsi="Arial"/>
          <w:sz w:val="20"/>
        </w:rPr>
        <w:t>- backend/routes/adminCargas.js: endpoints /api/admin/cargas.</w:t>
      </w:r>
    </w:p>
    <w:p>
      <w:r>
        <w:rPr>
          <w:rFonts w:ascii="Arial" w:hAnsi="Arial"/>
          <w:sz w:val="20"/>
        </w:rPr>
        <w:t>- backend/services/cargaBdService.js: almacenamiento, registro y ejecución en segundo plano.</w:t>
      </w:r>
    </w:p>
    <w:p>
      <w:r>
        <w:rPr>
          <w:rFonts w:ascii="Arial" w:hAnsi="Arial"/>
          <w:sz w:val="20"/>
        </w:rPr>
        <w:t>- scripts/cargas_bd/loader_service.py: lectura de Excel, validación, carga Oracle y llamada a procedimiento ETL.</w:t>
      </w:r>
    </w:p>
    <w:p>
      <w:r>
        <w:rPr>
          <w:rFonts w:ascii="Arial" w:hAnsi="Arial"/>
          <w:sz w:val="20"/>
        </w:rPr>
        <w:t>Variables relevantes:</w:t>
      </w:r>
    </w:p>
    <w:p>
      <w:r>
        <w:rPr>
          <w:rFonts w:ascii="Arial" w:hAnsi="Arial"/>
          <w:sz w:val="20"/>
        </w:rPr>
        <w:t>- AURORA_CARGAS_DIR</w:t>
      </w:r>
    </w:p>
    <w:p>
      <w:r>
        <w:rPr>
          <w:rFonts w:ascii="Arial" w:hAnsi="Arial"/>
          <w:sz w:val="20"/>
        </w:rPr>
        <w:t>- CARGUEBD_ADMIN_ROLES</w:t>
      </w:r>
    </w:p>
    <w:p>
      <w:r>
        <w:rPr>
          <w:rFonts w:ascii="Arial" w:hAnsi="Arial"/>
          <w:sz w:val="20"/>
        </w:rPr>
        <w:t>- CARGUEBD_PYTHON</w:t>
      </w:r>
    </w:p>
    <w:p>
      <w:r>
        <w:rPr>
          <w:rFonts w:ascii="Arial" w:hAnsi="Arial"/>
          <w:sz w:val="20"/>
        </w:rPr>
        <w:t>- CARGUEBD_AURORA10_ENABLED</w:t>
      </w:r>
    </w:p>
    <w:p>
      <w:r>
        <w:rPr>
          <w:rFonts w:ascii="Arial" w:hAnsi="Arial"/>
          <w:sz w:val="20"/>
        </w:rPr>
        <w:t>- CARGUEBD_SISIPEC_PROCEDURE</w:t>
      </w:r>
    </w:p>
    <w:p>
      <w:r>
        <w:rPr>
          <w:rFonts w:ascii="Arial" w:hAnsi="Arial"/>
          <w:sz w:val="20"/>
        </w:rPr>
        <w:t>- CARGUEBD_SKIP_ETL</w:t>
      </w:r>
    </w:p>
    <w:p>
      <w:r>
        <w:rPr>
          <w:rFonts w:ascii="Arial" w:hAnsi="Arial"/>
          <w:sz w:val="20"/>
        </w:rPr>
        <w:t>- CARGUEBD_MAX_FILE_MB</w:t>
      </w:r>
    </w:p>
    <w:p>
      <w:r>
        <w:rPr>
          <w:rFonts w:ascii="Arial" w:hAnsi="Arial"/>
          <w:sz w:val="20"/>
        </w:rPr>
        <w:t>La guía detallada está en documentacion/soporte/operacion/16_cargas_staging_etl_bd.md.</w:t>
      </w:r>
    </w:p>
    <w:p>
      <w:pPr>
        <w:pStyle w:val="Ttulo1"/>
      </w:pPr>
      <w:r>
        <w:t>Variables de entorno</w:t>
      </w:r>
    </w:p>
    <w:p>
      <w:r>
        <w:rPr>
          <w:rFonts w:ascii="Arial" w:hAnsi="Arial"/>
          <w:sz w:val="20"/>
        </w:rPr>
        <w:t>Mantener las variables reales fuera del repositorio. Usar .env.example como plantilla canónica.</w:t>
      </w:r>
    </w:p>
    <w:p>
      <w:r>
        <w:rPr>
          <w:rFonts w:ascii="Arial" w:hAnsi="Arial"/>
          <w:sz w:val="20"/>
        </w:rPr>
        <w:t>No incluir en documentación:</w:t>
      </w:r>
    </w:p>
    <w:p>
      <w:r>
        <w:rPr>
          <w:rFonts w:ascii="Arial" w:hAnsi="Arial"/>
          <w:sz w:val="20"/>
        </w:rPr>
        <w:t>- Contraseñas.</w:t>
      </w:r>
    </w:p>
    <w:p>
      <w:r>
        <w:rPr>
          <w:rFonts w:ascii="Arial" w:hAnsi="Arial"/>
          <w:sz w:val="20"/>
        </w:rPr>
        <w:t>- Tokens.</w:t>
      </w:r>
    </w:p>
    <w:p>
      <w:r>
        <w:rPr>
          <w:rFonts w:ascii="Arial" w:hAnsi="Arial"/>
          <w:sz w:val="20"/>
        </w:rPr>
        <w:t>- Cadenas completas de conexión.</w:t>
      </w:r>
    </w:p>
    <w:p>
      <w:r>
        <w:rPr>
          <w:rFonts w:ascii="Arial" w:hAnsi="Arial"/>
          <w:sz w:val="20"/>
        </w:rPr>
        <w:t>- Hosts sensibles si la política interna lo restringe.</w:t>
      </w:r>
    </w:p>
    <w:p>
      <w:pPr>
        <w:pStyle w:val="Ttulo1"/>
      </w:pPr>
      <w:r>
        <w:t>Ejecución local</w:t>
      </w:r>
    </w:p>
    <w:p>
      <w:r>
        <w:rPr>
          <w:rFonts w:ascii="Arial" w:hAnsi="Arial"/>
          <w:sz w:val="20"/>
        </w:rPr>
        <w:t>Instalar dependencias:</w:t>
      </w:r>
    </w:p>
    <w:p>
      <w:r>
        <w:rPr>
          <w:rFonts w:ascii="Courier New" w:hAnsi="Courier New"/>
          <w:sz w:val="18"/>
        </w:rPr>
        <w:t>npm install</w:t>
        <w:br/>
        <w:t>npm --prefix backend install</w:t>
        <w:br/>
        <w:t>npm --prefix frontend install</w:t>
        <w:br/>
        <w:t>pip install -r scripts/cargas_bd/requirements.txt</w:t>
      </w:r>
    </w:p>
    <w:p>
      <w:r>
        <w:rPr>
          <w:rFonts w:ascii="Arial" w:hAnsi="Arial"/>
          <w:sz w:val="20"/>
        </w:rPr>
        <w:t>Backend:</w:t>
      </w:r>
    </w:p>
    <w:p>
      <w:r>
        <w:rPr>
          <w:rFonts w:ascii="Courier New" w:hAnsi="Courier New"/>
          <w:sz w:val="18"/>
        </w:rPr>
        <w:t>npm --prefix backend run dev</w:t>
      </w:r>
    </w:p>
    <w:p>
      <w:r>
        <w:rPr>
          <w:rFonts w:ascii="Arial" w:hAnsi="Arial"/>
          <w:sz w:val="20"/>
        </w:rPr>
        <w:t>Frontend:</w:t>
      </w:r>
    </w:p>
    <w:p>
      <w:r>
        <w:rPr>
          <w:rFonts w:ascii="Courier New" w:hAnsi="Courier New"/>
          <w:sz w:val="18"/>
        </w:rPr>
        <w:t>npm --prefix frontend run dev</w:t>
      </w:r>
    </w:p>
    <w:p>
      <w:pPr>
        <w:pStyle w:val="Ttulo1"/>
      </w:pPr>
      <w:r>
        <w:t>Despliegue</w:t>
      </w:r>
    </w:p>
    <w:p>
      <w:r>
        <w:rPr>
          <w:rFonts w:ascii="Arial" w:hAnsi="Arial"/>
          <w:sz w:val="20"/>
        </w:rPr>
        <w:t>El despliegue recomendado para Aurora es mediante Docker Compose, usando el archivo .env creado manualmente en el servidor.</w:t>
      </w:r>
    </w:p>
    <w:p>
      <w:r>
        <w:rPr>
          <w:rFonts w:ascii="Arial" w:hAnsi="Arial"/>
          <w:sz w:val="20"/>
        </w:rPr>
        <w:t>Despliegue principal:</w:t>
      </w:r>
    </w:p>
    <w:p>
      <w:r>
        <w:rPr>
          <w:rFonts w:ascii="Courier New" w:hAnsi="Courier New"/>
          <w:sz w:val="18"/>
        </w:rPr>
        <w:t>cp .env.example .env</w:t>
        <w:br/>
        <w:t>docker compose up --build -d</w:t>
        <w:br/>
        <w:t>docker compose ps</w:t>
        <w:br/>
        <w:t>docker compose logs -f aurora</w:t>
        <w:br/>
        <w:t>docker compose restart aurora</w:t>
      </w:r>
    </w:p>
    <w:p>
      <w:r>
        <w:rPr>
          <w:rFonts w:ascii="Arial" w:hAnsi="Arial"/>
          <w:sz w:val="20"/>
        </w:rPr>
        <w:t>Despliegue alternativo tradicional:</w:t>
      </w:r>
    </w:p>
    <w:p>
      <w:r>
        <w:rPr>
          <w:rFonts w:ascii="Courier New" w:hAnsi="Courier New"/>
          <w:sz w:val="18"/>
        </w:rPr>
        <w:t>npm --prefix frontend run build</w:t>
        <w:br/>
        <w:t>NODE_ENV=production npm --prefix backend run start:prod</w:t>
      </w:r>
    </w:p>
    <w:p>
      <w:r>
        <w:rPr>
          <w:rFonts w:ascii="Arial" w:hAnsi="Arial"/>
          <w:sz w:val="20"/>
        </w:rPr>
        <w:t>El build Docker debe validarse en un equipo o servidor con Docker disponible antes de publicar la imagen.</w:t>
      </w:r>
    </w:p>
    <w:p>
      <w:r>
        <w:rPr>
          <w:rFonts w:ascii="Arial" w:hAnsi="Arial"/>
          <w:sz w:val="20"/>
        </w:rPr>
        <w:t>El contexto Docker excluye .cleanup-backups/, documentación pesada y secretos. Si se generan respaldos locales por limpiezas controladas, no deben subirse al repositorio ni copiarse a la imagen.</w:t>
      </w:r>
    </w:p>
    <w:p>
      <w:pPr>
        <w:pStyle w:val="Ttulo1"/>
      </w:pPr>
      <w:r>
        <w:t>Validaciones posteriores al despliegue</w:t>
      </w:r>
    </w:p>
    <w:p>
      <w:r>
        <w:rPr>
          <w:rFonts w:ascii="Arial" w:hAnsi="Arial"/>
          <w:sz w:val="20"/>
        </w:rPr>
        <w:t>Validar:</w:t>
      </w:r>
    </w:p>
    <w:p>
      <w:r>
        <w:rPr>
          <w:rFonts w:ascii="Courier New" w:hAnsi="Courier New"/>
          <w:sz w:val="18"/>
        </w:rPr>
        <w:t>curl http://localhost:7860/api/health</w:t>
        <w:br/>
        <w:t>curl http://localhost:7860/api/health/db</w:t>
      </w:r>
    </w:p>
    <w:p>
      <w:r>
        <w:rPr>
          <w:rFonts w:ascii="Arial" w:hAnsi="Arial"/>
          <w:sz w:val="20"/>
        </w:rPr>
        <w:t>También se debe validar:</w:t>
      </w:r>
    </w:p>
    <w:p>
      <w:r>
        <w:rPr>
          <w:rFonts w:ascii="Arial" w:hAnsi="Arial"/>
          <w:sz w:val="20"/>
        </w:rPr>
        <w:t>- Login.</w:t>
      </w:r>
    </w:p>
    <w:p>
      <w:r>
        <w:rPr>
          <w:rFonts w:ascii="Arial" w:hAnsi="Arial"/>
          <w:sz w:val="20"/>
        </w:rPr>
        <w:t>- Consulta de registros.</w:t>
      </w:r>
    </w:p>
    <w:p>
      <w:r>
        <w:rPr>
          <w:rFonts w:ascii="Arial" w:hAnsi="Arial"/>
          <w:sz w:val="20"/>
        </w:rPr>
        <w:t>- Filtros.</w:t>
      </w:r>
    </w:p>
    <w:p>
      <w:r>
        <w:rPr>
          <w:rFonts w:ascii="Arial" w:hAnsi="Arial"/>
          <w:sz w:val="20"/>
        </w:rPr>
        <w:t>- Formulario de atención.</w:t>
      </w:r>
    </w:p>
    <w:p>
      <w:r>
        <w:rPr>
          <w:rFonts w:ascii="Arial" w:hAnsi="Arial"/>
          <w:sz w:val="20"/>
        </w:rPr>
        <w:t>- Descarga de formatos.</w:t>
      </w:r>
    </w:p>
    <w:p>
      <w:r>
        <w:rPr>
          <w:rFonts w:ascii="Arial" w:hAnsi="Arial"/>
          <w:sz w:val="20"/>
        </w:rPr>
        <w:t>- Logs sin errores críticos.</w:t>
      </w:r>
    </w:p>
    <w:p>
      <w:pPr>
        <w:pStyle w:val="Ttulo1"/>
      </w:pPr>
      <w:r>
        <w:t>Pruebas disponibles</w:t>
      </w:r>
    </w:p>
    <w:tbl>
      <w:tblPr>
        <w:tblW w:type="auto" w:w="0"/>
        <w:tblLook w:firstColumn="1" w:firstRow="1" w:lastColumn="0" w:lastRow="0" w:noHBand="0" w:noVBand="1" w:val="04A0"/>
      </w:tblPr>
      <w:tblGrid>
        <w:gridCol w:w="4419"/>
        <w:gridCol w:w="4419"/>
      </w:tblGrid>
      <w:tr>
        <w:tc>
          <w:tcPr>
            <w:tcW w:type="dxa" w:w="4419"/>
          </w:tcPr>
          <w:p>
            <w:r>
              <w:rPr>
                <w:rFonts w:ascii="Arial" w:hAnsi="Arial"/>
                <w:b/>
                <w:sz w:val="18"/>
              </w:rPr>
              <w:t>Alcance</w:t>
            </w:r>
          </w:p>
        </w:tc>
        <w:tc>
          <w:tcPr>
            <w:tcW w:type="dxa" w:w="4419"/>
          </w:tcPr>
          <w:p>
            <w:r>
              <w:rPr>
                <w:rFonts w:ascii="Arial" w:hAnsi="Arial"/>
                <w:b/>
                <w:sz w:val="18"/>
              </w:rPr>
              <w:t>Comando</w:t>
            </w:r>
          </w:p>
        </w:tc>
      </w:tr>
      <w:tr>
        <w:tc>
          <w:tcPr>
            <w:tcW w:type="dxa" w:w="4419"/>
          </w:tcPr>
          <w:p>
            <w:r>
              <w:rPr>
                <w:rFonts w:ascii="Arial" w:hAnsi="Arial"/>
                <w:sz w:val="18"/>
              </w:rPr>
              <w:t>QA general</w:t>
            </w:r>
          </w:p>
        </w:tc>
        <w:tc>
          <w:tcPr>
            <w:tcW w:type="dxa" w:w="4419"/>
          </w:tcPr>
          <w:p>
            <w:r>
              <w:rPr>
                <w:rFonts w:ascii="Arial" w:hAnsi="Arial"/>
                <w:sz w:val="18"/>
              </w:rPr>
              <w:t>npm run qa:smoke</w:t>
            </w:r>
          </w:p>
        </w:tc>
      </w:tr>
      <w:tr>
        <w:tc>
          <w:tcPr>
            <w:tcW w:type="dxa" w:w="4419"/>
          </w:tcPr>
          <w:p>
            <w:r>
              <w:rPr>
                <w:rFonts w:ascii="Arial" w:hAnsi="Arial"/>
                <w:sz w:val="18"/>
              </w:rPr>
              <w:t>Backend</w:t>
            </w:r>
          </w:p>
        </w:tc>
        <w:tc>
          <w:tcPr>
            <w:tcW w:type="dxa" w:w="4419"/>
          </w:tcPr>
          <w:p>
            <w:r>
              <w:rPr>
                <w:rFonts w:ascii="Arial" w:hAnsi="Arial"/>
                <w:sz w:val="18"/>
              </w:rPr>
              <w:t>npm --prefix backend test</w:t>
            </w:r>
          </w:p>
        </w:tc>
      </w:tr>
      <w:tr>
        <w:tc>
          <w:tcPr>
            <w:tcW w:type="dxa" w:w="4419"/>
          </w:tcPr>
          <w:p>
            <w:r>
              <w:rPr>
                <w:rFonts w:ascii="Arial" w:hAnsi="Arial"/>
                <w:sz w:val="18"/>
              </w:rPr>
              <w:t>Oracle smoke</w:t>
            </w:r>
          </w:p>
        </w:tc>
        <w:tc>
          <w:tcPr>
            <w:tcW w:type="dxa" w:w="4419"/>
          </w:tcPr>
          <w:p>
            <w:r>
              <w:rPr>
                <w:rFonts w:ascii="Arial" w:hAnsi="Arial"/>
                <w:sz w:val="18"/>
              </w:rPr>
              <w:t>npm --prefix backend run smoke:oracle</w:t>
            </w:r>
          </w:p>
        </w:tc>
      </w:tr>
      <w:tr>
        <w:tc>
          <w:tcPr>
            <w:tcW w:type="dxa" w:w="4419"/>
          </w:tcPr>
          <w:p>
            <w:r>
              <w:rPr>
                <w:rFonts w:ascii="Arial" w:hAnsi="Arial"/>
                <w:sz w:val="18"/>
              </w:rPr>
              <w:t>API lectura</w:t>
            </w:r>
          </w:p>
        </w:tc>
        <w:tc>
          <w:tcPr>
            <w:tcW w:type="dxa" w:w="4419"/>
          </w:tcPr>
          <w:p>
            <w:r>
              <w:rPr>
                <w:rFonts w:ascii="Arial" w:hAnsi="Arial"/>
                <w:sz w:val="18"/>
              </w:rPr>
              <w:t>npm --prefix backend run test:api</w:t>
            </w:r>
          </w:p>
        </w:tc>
      </w:tr>
      <w:tr>
        <w:tc>
          <w:tcPr>
            <w:tcW w:type="dxa" w:w="4419"/>
          </w:tcPr>
          <w:p>
            <w:r>
              <w:rPr>
                <w:rFonts w:ascii="Arial" w:hAnsi="Arial"/>
                <w:sz w:val="18"/>
              </w:rPr>
              <w:t>API escritura controlada</w:t>
            </w:r>
          </w:p>
        </w:tc>
        <w:tc>
          <w:tcPr>
            <w:tcW w:type="dxa" w:w="4419"/>
          </w:tcPr>
          <w:p>
            <w:r>
              <w:rPr>
                <w:rFonts w:ascii="Arial" w:hAnsi="Arial"/>
                <w:sz w:val="18"/>
              </w:rPr>
              <w:t>npm --prefix backend run test:api:write</w:t>
            </w:r>
          </w:p>
        </w:tc>
      </w:tr>
      <w:tr>
        <w:tc>
          <w:tcPr>
            <w:tcW w:type="dxa" w:w="4419"/>
          </w:tcPr>
          <w:p>
            <w:r>
              <w:rPr>
                <w:rFonts w:ascii="Arial" w:hAnsi="Arial"/>
                <w:sz w:val="18"/>
              </w:rPr>
              <w:t>Frontend lint</w:t>
            </w:r>
          </w:p>
        </w:tc>
        <w:tc>
          <w:tcPr>
            <w:tcW w:type="dxa" w:w="4419"/>
          </w:tcPr>
          <w:p>
            <w:r>
              <w:rPr>
                <w:rFonts w:ascii="Arial" w:hAnsi="Arial"/>
                <w:sz w:val="18"/>
              </w:rPr>
              <w:t>npm --prefix frontend run lint</w:t>
            </w:r>
          </w:p>
        </w:tc>
      </w:tr>
      <w:tr>
        <w:tc>
          <w:tcPr>
            <w:tcW w:type="dxa" w:w="4419"/>
          </w:tcPr>
          <w:p>
            <w:r>
              <w:rPr>
                <w:rFonts w:ascii="Arial" w:hAnsi="Arial"/>
                <w:sz w:val="18"/>
              </w:rPr>
              <w:t>Frontend tests</w:t>
            </w:r>
          </w:p>
        </w:tc>
        <w:tc>
          <w:tcPr>
            <w:tcW w:type="dxa" w:w="4419"/>
          </w:tcPr>
          <w:p>
            <w:r>
              <w:rPr>
                <w:rFonts w:ascii="Arial" w:hAnsi="Arial"/>
                <w:sz w:val="18"/>
              </w:rPr>
              <w:t>npm --prefix frontend run test</w:t>
            </w:r>
          </w:p>
        </w:tc>
      </w:tr>
      <w:tr>
        <w:tc>
          <w:tcPr>
            <w:tcW w:type="dxa" w:w="4419"/>
          </w:tcPr>
          <w:p>
            <w:r>
              <w:rPr>
                <w:rFonts w:ascii="Arial" w:hAnsi="Arial"/>
                <w:sz w:val="18"/>
              </w:rPr>
              <w:t>PWA</w:t>
            </w:r>
          </w:p>
        </w:tc>
        <w:tc>
          <w:tcPr>
            <w:tcW w:type="dxa" w:w="4419"/>
          </w:tcPr>
          <w:p>
            <w:r>
              <w:rPr>
                <w:rFonts w:ascii="Arial" w:hAnsi="Arial"/>
                <w:sz w:val="18"/>
              </w:rPr>
              <w:t>npm --prefix frontend run test -- pwaConfig.test.ts</w:t>
            </w:r>
          </w:p>
        </w:tc>
      </w:tr>
      <w:tr>
        <w:tc>
          <w:tcPr>
            <w:tcW w:type="dxa" w:w="4419"/>
          </w:tcPr>
          <w:p>
            <w:r>
              <w:rPr>
                <w:rFonts w:ascii="Arial" w:hAnsi="Arial"/>
                <w:sz w:val="18"/>
              </w:rPr>
              <w:t>Reglas de estado</w:t>
            </w:r>
          </w:p>
        </w:tc>
        <w:tc>
          <w:tcPr>
            <w:tcW w:type="dxa" w:w="4419"/>
          </w:tcPr>
          <w:p>
            <w:r>
              <w:rPr>
                <w:rFonts w:ascii="Arial" w:hAnsi="Arial"/>
                <w:sz w:val="18"/>
              </w:rPr>
              <w:t>npm --prefix frontend run test -- estadoActuaciones.rules.test.ts evaluateAuroraRules.test.ts</w:t>
            </w:r>
          </w:p>
        </w:tc>
      </w:tr>
      <w:tr>
        <w:tc>
          <w:tcPr>
            <w:tcW w:type="dxa" w:w="4419"/>
          </w:tcPr>
          <w:p>
            <w:r>
              <w:rPr>
                <w:rFonts w:ascii="Arial" w:hAnsi="Arial"/>
                <w:sz w:val="18"/>
              </w:rPr>
              <w:t>Frontend build</w:t>
            </w:r>
          </w:p>
        </w:tc>
        <w:tc>
          <w:tcPr>
            <w:tcW w:type="dxa" w:w="4419"/>
          </w:tcPr>
          <w:p>
            <w:r>
              <w:rPr>
                <w:rFonts w:ascii="Arial" w:hAnsi="Arial"/>
                <w:sz w:val="18"/>
              </w:rPr>
              <w:t>npm --prefix frontend run build</w:t>
            </w:r>
          </w:p>
        </w:tc>
      </w:tr>
      <w:tr>
        <w:tc>
          <w:tcPr>
            <w:tcW w:type="dxa" w:w="4419"/>
          </w:tcPr>
          <w:p>
            <w:r>
              <w:rPr>
                <w:rFonts w:ascii="Arial" w:hAnsi="Arial"/>
                <w:sz w:val="18"/>
              </w:rPr>
              <w:t>Python cargas</w:t>
            </w:r>
          </w:p>
        </w:tc>
        <w:tc>
          <w:tcPr>
            <w:tcW w:type="dxa" w:w="4419"/>
          </w:tcPr>
          <w:p>
            <w:r>
              <w:rPr>
                <w:rFonts w:ascii="Arial" w:hAnsi="Arial"/>
                <w:sz w:val="18"/>
              </w:rPr>
              <w:t>python -m py_compile scripts/cargas_bd/*.py</w:t>
            </w:r>
          </w:p>
        </w:tc>
      </w:tr>
    </w:tbl>
    <w:p/>
    <w:p>
      <w:r>
        <w:rPr>
          <w:rFonts w:ascii="Arial" w:hAnsi="Arial"/>
          <w:sz w:val="20"/>
        </w:rPr>
        <w:t>Las pruebas de escritura deben ejecutarse únicamente contra un esquema temporal distinto a DNDP.</w:t>
      </w:r>
    </w:p>
    <w:p>
      <w:pPr>
        <w:pStyle w:val="Ttulo1"/>
      </w:pPr>
      <w:r>
        <w:t>Logs y solución de problemas</w:t>
      </w:r>
    </w:p>
    <w:tbl>
      <w:tblPr>
        <w:tblW w:type="auto" w:w="0"/>
        <w:tblLook w:firstColumn="1" w:firstRow="1" w:lastColumn="0" w:lastRow="0" w:noHBand="0" w:noVBand="1" w:val="04A0"/>
      </w:tblPr>
      <w:tblGrid>
        <w:gridCol w:w="4419"/>
        <w:gridCol w:w="4419"/>
      </w:tblGrid>
      <w:tr>
        <w:tc>
          <w:tcPr>
            <w:tcW w:type="dxa" w:w="4419"/>
          </w:tcPr>
          <w:p>
            <w:r>
              <w:rPr>
                <w:rFonts w:ascii="Arial" w:hAnsi="Arial"/>
                <w:b/>
                <w:sz w:val="18"/>
              </w:rPr>
              <w:t>Situación</w:t>
            </w:r>
          </w:p>
        </w:tc>
        <w:tc>
          <w:tcPr>
            <w:tcW w:type="dxa" w:w="4419"/>
          </w:tcPr>
          <w:p>
            <w:r>
              <w:rPr>
                <w:rFonts w:ascii="Arial" w:hAnsi="Arial"/>
                <w:b/>
                <w:sz w:val="18"/>
              </w:rPr>
              <w:t>Acción sugerida</w:t>
            </w:r>
          </w:p>
        </w:tc>
      </w:tr>
      <w:tr>
        <w:tc>
          <w:tcPr>
            <w:tcW w:type="dxa" w:w="4419"/>
          </w:tcPr>
          <w:p>
            <w:r>
              <w:rPr>
                <w:rFonts w:ascii="Arial" w:hAnsi="Arial"/>
                <w:sz w:val="18"/>
              </w:rPr>
              <w:t>Backend no inicia</w:t>
            </w:r>
          </w:p>
        </w:tc>
        <w:tc>
          <w:tcPr>
            <w:tcW w:type="dxa" w:w="4419"/>
          </w:tcPr>
          <w:p>
            <w:r>
              <w:rPr>
                <w:rFonts w:ascii="Arial" w:hAnsi="Arial"/>
                <w:sz w:val="18"/>
              </w:rPr>
              <w:t>Revisar PORT, variables obligatorias y logs.</w:t>
            </w:r>
          </w:p>
        </w:tc>
      </w:tr>
      <w:tr>
        <w:tc>
          <w:tcPr>
            <w:tcW w:type="dxa" w:w="4419"/>
          </w:tcPr>
          <w:p>
            <w:r>
              <w:rPr>
                <w:rFonts w:ascii="Arial" w:hAnsi="Arial"/>
                <w:sz w:val="18"/>
              </w:rPr>
              <w:t>Oracle no responde</w:t>
            </w:r>
          </w:p>
        </w:tc>
        <w:tc>
          <w:tcPr>
            <w:tcW w:type="dxa" w:w="4419"/>
          </w:tcPr>
          <w:p>
            <w:r>
              <w:rPr>
                <w:rFonts w:ascii="Arial" w:hAnsi="Arial"/>
                <w:sz w:val="18"/>
              </w:rPr>
              <w:t>Revisar red, service name y credenciales.</w:t>
            </w:r>
          </w:p>
        </w:tc>
      </w:tr>
      <w:tr>
        <w:tc>
          <w:tcPr>
            <w:tcW w:type="dxa" w:w="4419"/>
          </w:tcPr>
          <w:p>
            <w:r>
              <w:rPr>
                <w:rFonts w:ascii="Arial" w:hAnsi="Arial"/>
                <w:sz w:val="18"/>
              </w:rPr>
              <w:t>Carga mensual falla</w:t>
            </w:r>
          </w:p>
        </w:tc>
        <w:tc>
          <w:tcPr>
            <w:tcW w:type="dxa" w:w="4419"/>
          </w:tcPr>
          <w:p>
            <w:r>
              <w:rPr>
                <w:rFonts w:ascii="Arial" w:hAnsi="Arial"/>
                <w:sz w:val="18"/>
              </w:rPr>
              <w:t>Revisar log en Cargas mensuales, variables ORACLE_*, dependencias Python y formato del Excel.</w:t>
            </w:r>
          </w:p>
        </w:tc>
      </w:tr>
      <w:tr>
        <w:tc>
          <w:tcPr>
            <w:tcW w:type="dxa" w:w="4419"/>
          </w:tcPr>
          <w:p>
            <w:r>
              <w:rPr>
                <w:rFonts w:ascii="Arial" w:hAnsi="Arial"/>
                <w:sz w:val="18"/>
              </w:rPr>
              <w:t>Login local falla</w:t>
            </w:r>
          </w:p>
        </w:tc>
        <w:tc>
          <w:tcPr>
            <w:tcW w:type="dxa" w:w="4419"/>
          </w:tcPr>
          <w:p>
            <w:r>
              <w:rPr>
                <w:rFonts w:ascii="Arial" w:hAnsi="Arial"/>
                <w:sz w:val="18"/>
              </w:rPr>
              <w:t>Revisar estado de AUTH_LOCAL_ADMIN_ENABLED.</w:t>
            </w:r>
          </w:p>
        </w:tc>
      </w:tr>
      <w:tr>
        <w:tc>
          <w:tcPr>
            <w:tcW w:type="dxa" w:w="4419"/>
          </w:tcPr>
          <w:p>
            <w:r>
              <w:rPr>
                <w:rFonts w:ascii="Arial" w:hAnsi="Arial"/>
                <w:sz w:val="18"/>
              </w:rPr>
              <w:t>Azure AD falla</w:t>
            </w:r>
          </w:p>
        </w:tc>
        <w:tc>
          <w:tcPr>
            <w:tcW w:type="dxa" w:w="4419"/>
          </w:tcPr>
          <w:p>
            <w:r>
              <w:rPr>
                <w:rFonts w:ascii="Arial" w:hAnsi="Arial"/>
                <w:sz w:val="18"/>
              </w:rPr>
              <w:t>Revisar tenant, client ID, grupos y roles.</w:t>
            </w:r>
          </w:p>
        </w:tc>
      </w:tr>
      <w:tr>
        <w:tc>
          <w:tcPr>
            <w:tcW w:type="dxa" w:w="4419"/>
          </w:tcPr>
          <w:p>
            <w:r>
              <w:rPr>
                <w:rFonts w:ascii="Arial" w:hAnsi="Arial"/>
                <w:sz w:val="18"/>
              </w:rPr>
              <w:t>Frontend muestra errores de API</w:t>
            </w:r>
          </w:p>
        </w:tc>
        <w:tc>
          <w:tcPr>
            <w:tcW w:type="dxa" w:w="4419"/>
          </w:tcPr>
          <w:p>
            <w:r>
              <w:rPr>
                <w:rFonts w:ascii="Arial" w:hAnsi="Arial"/>
                <w:sz w:val="18"/>
              </w:rPr>
              <w:t>Revisar VITE_API_BASE_URL, CORS y backend.</w:t>
            </w:r>
          </w:p>
        </w:tc>
      </w:tr>
    </w:tbl>
    <w:p/>
    <w:p>
      <w:pPr>
        <w:pStyle w:val="Ttulo1"/>
      </w:pPr>
      <w:r>
        <w:t>Mantenimiento básico</w:t>
      </w:r>
    </w:p>
    <w:p>
      <w:r>
        <w:rPr>
          <w:rFonts w:ascii="Arial" w:hAnsi="Arial"/>
          <w:sz w:val="20"/>
        </w:rPr>
        <w:t>- Mantener dependencias actualizadas con validación previa.</w:t>
      </w:r>
    </w:p>
    <w:p>
      <w:r>
        <w:rPr>
          <w:rFonts w:ascii="Arial" w:hAnsi="Arial"/>
          <w:sz w:val="20"/>
        </w:rPr>
        <w:t>- Ejecutar pruebas antes de desplegar.</w:t>
      </w:r>
    </w:p>
    <w:p>
      <w:r>
        <w:rPr>
          <w:rFonts w:ascii="Arial" w:hAnsi="Arial"/>
          <w:sz w:val="20"/>
        </w:rPr>
        <w:t>- Actualizar documentación cuando cambien rutas o variables.</w:t>
      </w:r>
    </w:p>
    <w:p>
      <w:r>
        <w:rPr>
          <w:rFonts w:ascii="Arial" w:hAnsi="Arial"/>
          <w:sz w:val="20"/>
        </w:rPr>
        <w:t>- Revisar periódicamente datos sensibles versionados.</w:t>
      </w:r>
    </w:p>
    <w:p>
      <w:r>
        <w:rPr>
          <w:rFonts w:ascii="Arial" w:hAnsi="Arial"/>
          <w:sz w:val="20"/>
        </w:rPr>
        <w:t>- Mantener respaldos de base de datos gestionados por DBA.</w:t>
      </w:r>
    </w:p>
    <w:p>
      <w:pPr>
        <w:pStyle w:val="Ttulo1"/>
      </w:pPr>
      <w:r>
        <w:t>Recomendaciones técnicas</w:t>
      </w:r>
    </w:p>
    <w:p>
      <w:r>
        <w:rPr>
          <w:rFonts w:ascii="Arial" w:hAnsi="Arial"/>
          <w:sz w:val="20"/>
        </w:rPr>
        <w:t>- Usar Docker para despliegues repetibles.</w:t>
      </w:r>
    </w:p>
    <w:p>
      <w:r>
        <w:rPr>
          <w:rFonts w:ascii="Arial" w:hAnsi="Arial"/>
          <w:sz w:val="20"/>
        </w:rPr>
        <w:t>- Evitar escrituras de prueba sobre producción.</w:t>
      </w:r>
    </w:p>
    <w:p>
      <w:r>
        <w:rPr>
          <w:rFonts w:ascii="Arial" w:hAnsi="Arial"/>
          <w:sz w:val="20"/>
        </w:rPr>
        <w:t>- Configurar Azure AD para acceso institucional.</w:t>
      </w:r>
    </w:p>
    <w:p>
      <w:r>
        <w:rPr>
          <w:rFonts w:ascii="Arial" w:hAnsi="Arial"/>
          <w:sz w:val="20"/>
        </w:rPr>
        <w:t>- Registrar evidencias de cada despliegue.</w:t>
      </w:r>
    </w:p>
    <w:p>
      <w:r>
        <w:rPr>
          <w:rFonts w:ascii="Arial" w:hAnsi="Arial"/>
          <w:sz w:val="20"/>
        </w:rPr>
        <w:t>- Mantener documentacion/soporte/pruebas/SET_PRUEBAS_AURORA.md como bitácora de validación.</w:t>
      </w:r>
    </w:p>
    <w:p>
      <w:r>
        <w:br w:type="page"/>
      </w:r>
    </w:p>
    <w:p>
      <w:pPr>
        <w:pStyle w:val="Ttulo1"/>
      </w:pPr>
      <w:r>
        <w:t>Actualización 2026-06-01 - Operación del servicio Aurora</w:t>
      </w:r>
    </w:p>
    <w:p>
      <w:r>
        <w:t>El despliegue institucional recomendado usa Docker Compose. En este modo, Docker Compose es el mecanismo para subir, bajar, reiniciar y validar Aurora. PM2 no se ejecuta dentro del contenedor y solo aplica como alternativa Node.js tradicional cuando el servidor no usará Docker.</w:t>
      </w:r>
    </w:p>
    <w:p>
      <w:pPr>
        <w:pStyle w:val="Ttulo2"/>
      </w:pPr>
      <w:r>
        <w:t>Operación recomendada con Docker Compose</w:t>
      </w:r>
    </w:p>
    <w:p>
      <w:pPr>
        <w:pStyle w:val="Ttulo3"/>
      </w:pPr>
      <w:r>
        <w:t>Subir Aurora con Docker Compose</w:t>
      </w:r>
    </w:p>
    <w:p>
      <w:r>
        <w:rPr>
          <w:rFonts w:ascii="Consolas" w:hAnsi="Consolas"/>
          <w:sz w:val="16"/>
        </w:rPr>
        <w:t>cd /opt/aurora/&lt;carpeta-del-proyecto&gt;</w:t>
      </w:r>
      <w:r>
        <w:br/>
      </w:r>
      <w:r>
        <w:rPr>
          <w:rFonts w:ascii="Consolas" w:hAnsi="Consolas"/>
          <w:sz w:val="16"/>
        </w:rPr>
        <w:t>docker compose up -d</w:t>
      </w:r>
      <w:r>
        <w:br/>
      </w:r>
      <w:r>
        <w:rPr>
          <w:rFonts w:ascii="Consolas" w:hAnsi="Consolas"/>
          <w:sz w:val="16"/>
        </w:rPr>
        <w:t>docker compose ps</w:t>
      </w:r>
      <w:r>
        <w:br/>
      </w:r>
      <w:r>
        <w:rPr>
          <w:rFonts w:ascii="Consolas" w:hAnsi="Consolas"/>
          <w:sz w:val="16"/>
        </w:rPr>
        <w:t>curl http://127.0.0.1:7860/api/health</w:t>
      </w:r>
    </w:p>
    <w:p>
      <w:pPr>
        <w:pStyle w:val="Ttulo3"/>
      </w:pPr>
      <w:r>
        <w:t>Bajar Aurora con Docker Compose</w:t>
      </w:r>
    </w:p>
    <w:p>
      <w:r>
        <w:rPr>
          <w:rFonts w:ascii="Consolas" w:hAnsi="Consolas"/>
          <w:sz w:val="16"/>
        </w:rPr>
        <w:t>cd /opt/aurora/&lt;carpeta-del-proyecto&gt;</w:t>
      </w:r>
      <w:r>
        <w:br/>
      </w:r>
      <w:r>
        <w:rPr>
          <w:rFonts w:ascii="Consolas" w:hAnsi="Consolas"/>
          <w:sz w:val="16"/>
        </w:rPr>
        <w:t>docker compose down</w:t>
      </w:r>
      <w:r>
        <w:br/>
      </w:r>
      <w:r>
        <w:rPr>
          <w:rFonts w:ascii="Consolas" w:hAnsi="Consolas"/>
          <w:sz w:val="16"/>
        </w:rPr>
        <w:t>docker compose ps</w:t>
      </w:r>
      <w:r>
        <w:br/>
      </w:r>
      <w:r>
        <w:rPr>
          <w:rFonts w:ascii="Consolas" w:hAnsi="Consolas"/>
          <w:sz w:val="16"/>
        </w:rPr>
        <w:t>ss -ltnp | grep ':7860' || true</w:t>
      </w:r>
    </w:p>
    <w:p>
      <w:pPr>
        <w:pStyle w:val="Ttulo3"/>
      </w:pPr>
      <w:r>
        <w:t>Pausar sin remover contenedor</w:t>
      </w:r>
    </w:p>
    <w:p>
      <w:r>
        <w:rPr>
          <w:rFonts w:ascii="Consolas" w:hAnsi="Consolas"/>
          <w:sz w:val="16"/>
        </w:rPr>
        <w:t>docker compose stop aurora</w:t>
      </w:r>
    </w:p>
    <w:p>
      <w:pPr>
        <w:pStyle w:val="Ttulo3"/>
      </w:pPr>
      <w:r>
        <w:t>Volver a iniciar contenedor pausado</w:t>
      </w:r>
    </w:p>
    <w:p>
      <w:r>
        <w:rPr>
          <w:rFonts w:ascii="Consolas" w:hAnsi="Consolas"/>
          <w:sz w:val="16"/>
        </w:rPr>
        <w:t>docker compose start aurora</w:t>
      </w:r>
    </w:p>
    <w:p>
      <w:pPr>
        <w:pStyle w:val="Ttulo3"/>
      </w:pPr>
      <w:r>
        <w:t>Reiniciar Aurora</w:t>
      </w:r>
    </w:p>
    <w:p>
      <w:r>
        <w:rPr>
          <w:rFonts w:ascii="Consolas" w:hAnsi="Consolas"/>
          <w:sz w:val="16"/>
        </w:rPr>
        <w:t>docker compose restart aurora</w:t>
      </w:r>
      <w:r>
        <w:br/>
      </w:r>
      <w:r>
        <w:rPr>
          <w:rFonts w:ascii="Consolas" w:hAnsi="Consolas"/>
          <w:sz w:val="16"/>
        </w:rPr>
        <w:t>docker compose logs --tail=100 aurora</w:t>
      </w:r>
      <w:r>
        <w:br/>
      </w:r>
      <w:r>
        <w:rPr>
          <w:rFonts w:ascii="Consolas" w:hAnsi="Consolas"/>
          <w:sz w:val="16"/>
        </w:rPr>
        <w:t>curl http://127.0.0.1:7860/api/health</w:t>
      </w:r>
    </w:p>
    <w:p>
      <w:pPr>
        <w:pStyle w:val="Ttulo3"/>
      </w:pPr>
      <w:r>
        <w:t>Reconstruir después de cambios</w:t>
      </w:r>
    </w:p>
    <w:p>
      <w:r>
        <w:rPr>
          <w:rFonts w:ascii="Consolas" w:hAnsi="Consolas"/>
          <w:sz w:val="16"/>
        </w:rPr>
        <w:t>docker compose up --build -d</w:t>
      </w:r>
    </w:p>
    <w:p>
      <w:pPr>
        <w:pStyle w:val="Ttulo3"/>
      </w:pPr>
      <w:r>
        <w:t>Reconstrucción limpia</w:t>
      </w:r>
    </w:p>
    <w:p>
      <w:r>
        <w:rPr>
          <w:rFonts w:ascii="Consolas" w:hAnsi="Consolas"/>
          <w:sz w:val="16"/>
        </w:rPr>
        <w:t>docker compose build --no-cache aurora</w:t>
      </w:r>
      <w:r>
        <w:br/>
      </w:r>
      <w:r>
        <w:rPr>
          <w:rFonts w:ascii="Consolas" w:hAnsi="Consolas"/>
          <w:sz w:val="16"/>
        </w:rPr>
        <w:t>docker compose up -d</w:t>
      </w:r>
    </w:p>
    <w:p>
      <w:r>
        <w:t>El archivo docker-compose.yml define restart: unless-stopped. Por eso, si Docker queda habilitado al arranque del sistema operativo, Aurora debe volver a levantarse después de reiniciar el servidor.</w:t>
      </w:r>
    </w:p>
    <w:p>
      <w:r>
        <w:rPr>
          <w:rFonts w:ascii="Consolas" w:hAnsi="Consolas"/>
          <w:sz w:val="16"/>
        </w:rPr>
        <w:t>sudo systemctl is-enabled docker</w:t>
      </w:r>
      <w:r>
        <w:br/>
      </w:r>
      <w:r>
        <w:rPr>
          <w:rFonts w:ascii="Consolas" w:hAnsi="Consolas"/>
          <w:sz w:val="16"/>
        </w:rPr>
        <w:t>sudo systemctl status docker --no-pager</w:t>
      </w:r>
      <w:r>
        <w:br/>
      </w:r>
      <w:r>
        <w:rPr>
          <w:rFonts w:ascii="Consolas" w:hAnsi="Consolas"/>
          <w:sz w:val="16"/>
        </w:rPr>
        <w:t>sudo systemctl enable --now docker</w:t>
      </w:r>
    </w:p>
    <w:p>
      <w:pPr>
        <w:pStyle w:val="Ttulo2"/>
      </w:pPr>
      <w:r>
        <w:t>Uso alternativo de PM2</w:t>
      </w:r>
    </w:p>
    <w:p>
      <w:r>
        <w:t>PM2 es válido únicamente para operación Node.js directa, sin Docker. Este camino puede usarse para diagnóstico, pruebas controladas o por decisión explícita de Infraestructura. En operación PM2, ecosystem.config.cjs inicia backend/index.js con PORT=7860 y carga variables desde el .env de la raíz mediante DOTENV_CONFIG_PATH=../.env.</w:t>
      </w:r>
    </w:p>
    <w:tbl>
      <w:tblPr>
        <w:tblW w:type="auto" w:w="0"/>
        <w:jc w:val="center"/>
        <w:tblLook w:firstColumn="1" w:firstRow="1" w:lastColumn="0" w:lastRow="0" w:noHBand="0" w:noVBand="1" w:val="04A0"/>
      </w:tblPr>
      <w:tblGrid>
        <w:gridCol w:w="4419"/>
        <w:gridCol w:w="4419"/>
      </w:tblGrid>
      <w:tr>
        <w:tc>
          <w:tcPr>
            <w:tcW w:type="dxa" w:w="4419"/>
            <w:vAlign w:val="top"/>
            <w:shd w:fill="D9EAF7"/>
          </w:tcPr>
          <w:p>
            <w:r>
              <w:rPr>
                <w:rFonts w:ascii="Arial" w:hAnsi="Arial"/>
                <w:sz w:val="17"/>
              </w:rPr>
            </w:r>
            <w:r>
              <w:rPr>
                <w:rFonts w:ascii="Arial" w:hAnsi="Arial"/>
                <w:b/>
                <w:sz w:val="17"/>
              </w:rPr>
              <w:t>Acción</w:t>
            </w:r>
          </w:p>
        </w:tc>
        <w:tc>
          <w:tcPr>
            <w:tcW w:type="dxa" w:w="4419"/>
            <w:vAlign w:val="top"/>
            <w:shd w:fill="D9EAF7"/>
          </w:tcPr>
          <w:p>
            <w:r>
              <w:rPr>
                <w:rFonts w:ascii="Arial" w:hAnsi="Arial"/>
                <w:sz w:val="17"/>
              </w:rPr>
            </w:r>
            <w:r>
              <w:rPr>
                <w:rFonts w:ascii="Arial" w:hAnsi="Arial"/>
                <w:b/>
                <w:sz w:val="17"/>
              </w:rPr>
              <w:t>Comando</w:t>
            </w:r>
          </w:p>
        </w:tc>
      </w:tr>
      <w:tr>
        <w:tc>
          <w:tcPr>
            <w:tcW w:type="dxa" w:w="4419"/>
            <w:vAlign w:val="top"/>
          </w:tcPr>
          <w:p>
            <w:r>
              <w:rPr>
                <w:rFonts w:ascii="Arial" w:hAnsi="Arial"/>
                <w:sz w:val="17"/>
              </w:rPr>
            </w:r>
            <w:r>
              <w:rPr>
                <w:rFonts w:ascii="Arial" w:hAnsi="Arial"/>
                <w:b w:val="0"/>
                <w:sz w:val="17"/>
              </w:rPr>
              <w:t>Subir servicio Node.js con PM2</w:t>
            </w:r>
          </w:p>
        </w:tc>
        <w:tc>
          <w:tcPr>
            <w:tcW w:type="dxa" w:w="4419"/>
            <w:vAlign w:val="top"/>
          </w:tcPr>
          <w:p>
            <w:r>
              <w:rPr>
                <w:rFonts w:ascii="Arial" w:hAnsi="Arial"/>
                <w:sz w:val="17"/>
              </w:rPr>
            </w:r>
            <w:r>
              <w:rPr>
                <w:rFonts w:ascii="Arial" w:hAnsi="Arial"/>
                <w:b w:val="0"/>
                <w:sz w:val="17"/>
              </w:rPr>
              <w:t>npm run service:start</w:t>
            </w:r>
          </w:p>
        </w:tc>
      </w:tr>
      <w:tr>
        <w:tc>
          <w:tcPr>
            <w:tcW w:type="dxa" w:w="4419"/>
            <w:vAlign w:val="top"/>
          </w:tcPr>
          <w:p>
            <w:r>
              <w:rPr>
                <w:rFonts w:ascii="Arial" w:hAnsi="Arial"/>
                <w:sz w:val="17"/>
              </w:rPr>
            </w:r>
            <w:r>
              <w:rPr>
                <w:rFonts w:ascii="Arial" w:hAnsi="Arial"/>
                <w:b w:val="0"/>
                <w:sz w:val="17"/>
              </w:rPr>
              <w:t>Ver estado</w:t>
            </w:r>
          </w:p>
        </w:tc>
        <w:tc>
          <w:tcPr>
            <w:tcW w:type="dxa" w:w="4419"/>
            <w:vAlign w:val="top"/>
          </w:tcPr>
          <w:p>
            <w:r>
              <w:rPr>
                <w:rFonts w:ascii="Arial" w:hAnsi="Arial"/>
                <w:sz w:val="17"/>
              </w:rPr>
            </w:r>
            <w:r>
              <w:rPr>
                <w:rFonts w:ascii="Arial" w:hAnsi="Arial"/>
                <w:b w:val="0"/>
                <w:sz w:val="17"/>
              </w:rPr>
              <w:t>npm run service:status</w:t>
            </w:r>
          </w:p>
        </w:tc>
      </w:tr>
      <w:tr>
        <w:tc>
          <w:tcPr>
            <w:tcW w:type="dxa" w:w="4419"/>
            <w:vAlign w:val="top"/>
          </w:tcPr>
          <w:p>
            <w:r>
              <w:rPr>
                <w:rFonts w:ascii="Arial" w:hAnsi="Arial"/>
                <w:sz w:val="17"/>
              </w:rPr>
            </w:r>
            <w:r>
              <w:rPr>
                <w:rFonts w:ascii="Arial" w:hAnsi="Arial"/>
                <w:b w:val="0"/>
                <w:sz w:val="17"/>
              </w:rPr>
              <w:t>Ver logs</w:t>
            </w:r>
          </w:p>
        </w:tc>
        <w:tc>
          <w:tcPr>
            <w:tcW w:type="dxa" w:w="4419"/>
            <w:vAlign w:val="top"/>
          </w:tcPr>
          <w:p>
            <w:r>
              <w:rPr>
                <w:rFonts w:ascii="Arial" w:hAnsi="Arial"/>
                <w:sz w:val="17"/>
              </w:rPr>
            </w:r>
            <w:r>
              <w:rPr>
                <w:rFonts w:ascii="Arial" w:hAnsi="Arial"/>
                <w:b w:val="0"/>
                <w:sz w:val="17"/>
              </w:rPr>
              <w:t>npm run service:logs</w:t>
            </w:r>
          </w:p>
        </w:tc>
      </w:tr>
      <w:tr>
        <w:tc>
          <w:tcPr>
            <w:tcW w:type="dxa" w:w="4419"/>
            <w:vAlign w:val="top"/>
          </w:tcPr>
          <w:p>
            <w:r>
              <w:rPr>
                <w:rFonts w:ascii="Arial" w:hAnsi="Arial"/>
                <w:sz w:val="17"/>
              </w:rPr>
            </w:r>
            <w:r>
              <w:rPr>
                <w:rFonts w:ascii="Arial" w:hAnsi="Arial"/>
                <w:b w:val="0"/>
                <w:sz w:val="17"/>
              </w:rPr>
              <w:t>Reiniciar servicio</w:t>
            </w:r>
          </w:p>
        </w:tc>
        <w:tc>
          <w:tcPr>
            <w:tcW w:type="dxa" w:w="4419"/>
            <w:vAlign w:val="top"/>
          </w:tcPr>
          <w:p>
            <w:r>
              <w:rPr>
                <w:rFonts w:ascii="Arial" w:hAnsi="Arial"/>
                <w:sz w:val="17"/>
              </w:rPr>
            </w:r>
            <w:r>
              <w:rPr>
                <w:rFonts w:ascii="Arial" w:hAnsi="Arial"/>
                <w:b w:val="0"/>
                <w:sz w:val="17"/>
              </w:rPr>
              <w:t>npm run service:restart</w:t>
            </w:r>
          </w:p>
        </w:tc>
      </w:tr>
      <w:tr>
        <w:tc>
          <w:tcPr>
            <w:tcW w:type="dxa" w:w="4419"/>
            <w:vAlign w:val="top"/>
          </w:tcPr>
          <w:p>
            <w:r>
              <w:rPr>
                <w:rFonts w:ascii="Arial" w:hAnsi="Arial"/>
                <w:sz w:val="17"/>
              </w:rPr>
            </w:r>
            <w:r>
              <w:rPr>
                <w:rFonts w:ascii="Arial" w:hAnsi="Arial"/>
                <w:b w:val="0"/>
                <w:sz w:val="17"/>
              </w:rPr>
              <w:t>Detener servicio</w:t>
            </w:r>
          </w:p>
        </w:tc>
        <w:tc>
          <w:tcPr>
            <w:tcW w:type="dxa" w:w="4419"/>
            <w:vAlign w:val="top"/>
          </w:tcPr>
          <w:p>
            <w:r>
              <w:rPr>
                <w:rFonts w:ascii="Arial" w:hAnsi="Arial"/>
                <w:sz w:val="17"/>
              </w:rPr>
            </w:r>
            <w:r>
              <w:rPr>
                <w:rFonts w:ascii="Arial" w:hAnsi="Arial"/>
                <w:b w:val="0"/>
                <w:sz w:val="17"/>
              </w:rPr>
              <w:t>npm run service:stop</w:t>
            </w:r>
          </w:p>
        </w:tc>
      </w:tr>
      <w:tr>
        <w:tc>
          <w:tcPr>
            <w:tcW w:type="dxa" w:w="4419"/>
            <w:vAlign w:val="top"/>
          </w:tcPr>
          <w:p>
            <w:r>
              <w:rPr>
                <w:rFonts w:ascii="Arial" w:hAnsi="Arial"/>
                <w:sz w:val="17"/>
              </w:rPr>
            </w:r>
            <w:r>
              <w:rPr>
                <w:rFonts w:ascii="Arial" w:hAnsi="Arial"/>
                <w:b w:val="0"/>
                <w:sz w:val="17"/>
              </w:rPr>
              <w:t>Eliminar proceso PM2</w:t>
            </w:r>
          </w:p>
        </w:tc>
        <w:tc>
          <w:tcPr>
            <w:tcW w:type="dxa" w:w="4419"/>
            <w:vAlign w:val="top"/>
          </w:tcPr>
          <w:p>
            <w:r>
              <w:rPr>
                <w:rFonts w:ascii="Arial" w:hAnsi="Arial"/>
                <w:sz w:val="17"/>
              </w:rPr>
            </w:r>
            <w:r>
              <w:rPr>
                <w:rFonts w:ascii="Arial" w:hAnsi="Arial"/>
                <w:b w:val="0"/>
                <w:sz w:val="17"/>
              </w:rPr>
              <w:t>npm run service:delete</w:t>
            </w:r>
          </w:p>
        </w:tc>
      </w:tr>
    </w:tbl>
    <w:p/>
    <w:p>
      <w:r>
        <w:t>Para persistir PM2 después de reiniciar el servidor:</w:t>
      </w:r>
    </w:p>
    <w:p>
      <w:r>
        <w:rPr>
          <w:rFonts w:ascii="Consolas" w:hAnsi="Consolas"/>
          <w:sz w:val="16"/>
        </w:rPr>
        <w:t>npx pm2 startup</w:t>
      </w:r>
      <w:r>
        <w:br/>
      </w:r>
      <w:r>
        <w:rPr>
          <w:rFonts w:ascii="Consolas" w:hAnsi="Consolas"/>
          <w:sz w:val="16"/>
        </w:rPr>
        <w:t>npx pm2 save</w:t>
      </w:r>
    </w:p>
    <w:p>
      <w:r>
        <w:t>La salida de npx pm2 startup puede pedir ejecutar un comando con sudo. Ese comando debe revisarlo y ejecutarlo la persona administradora del servidor.</w:t>
      </w:r>
    </w:p>
    <w:sectPr w:rsidR="00AA147C" w:rsidRPr="00E551B3" w:rsidSect="0005346C">
      <w:headerReference w:type="default" r:id="rId13"/>
      <w:footerReference w:type="default" r:id="rId14"/>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EA563" w14:textId="77777777" w:rsidR="00B119D5" w:rsidRDefault="00B119D5" w:rsidP="004B2DF4">
      <w:pPr>
        <w:spacing w:after="0" w:line="240" w:lineRule="auto"/>
      </w:pPr>
      <w:r>
        <w:separator/>
      </w:r>
    </w:p>
  </w:endnote>
  <w:endnote w:type="continuationSeparator" w:id="0">
    <w:p w14:paraId="1AFAD277" w14:textId="77777777" w:rsidR="00B119D5" w:rsidRDefault="00B119D5" w:rsidP="004B2D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857DC" w14:textId="6EFB3226" w:rsidR="00C3299A" w:rsidRDefault="0098459B" w:rsidP="00AC4802">
    <w:pPr>
      <w:tabs>
        <w:tab w:val="right" w:pos="8838"/>
      </w:tabs>
      <w:spacing w:before="32" w:line="240" w:lineRule="auto"/>
      <w:ind w:left="20"/>
      <w:rPr>
        <w:noProof/>
      </w:rPr>
    </w:pPr>
    <w:r>
      <w:rPr>
        <w:noProof/>
      </w:rPr>
      <w:drawing>
        <wp:anchor distT="0" distB="0" distL="114300" distR="114300" simplePos="0" relativeHeight="251665408" behindDoc="1" locked="0" layoutInCell="1" allowOverlap="1" wp14:anchorId="5CBEF08C" wp14:editId="0DAA11F5">
          <wp:simplePos x="0" y="0"/>
          <wp:positionH relativeFrom="page">
            <wp:align>right</wp:align>
          </wp:positionH>
          <wp:positionV relativeFrom="paragraph">
            <wp:posOffset>-225425</wp:posOffset>
          </wp:positionV>
          <wp:extent cx="7736205" cy="1394460"/>
          <wp:effectExtent l="0" t="0" r="0" b="0"/>
          <wp:wrapNone/>
          <wp:docPr id="1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36205" cy="1394460"/>
                  </a:xfrm>
                  <a:prstGeom prst="rect">
                    <a:avLst/>
                  </a:prstGeom>
                  <a:noFill/>
                  <a:ln>
                    <a:noFill/>
                  </a:ln>
                </pic:spPr>
              </pic:pic>
            </a:graphicData>
          </a:graphic>
          <wp14:sizeRelH relativeFrom="page">
            <wp14:pctWidth>0</wp14:pctWidth>
          </wp14:sizeRelH>
          <wp14:sizeRelV relativeFrom="page">
            <wp14:pctHeight>0</wp14:pctHeight>
          </wp14:sizeRelV>
        </wp:anchor>
      </w:drawing>
    </w:r>
    <w:r w:rsidR="00AC4802">
      <w:rPr>
        <w:noProof/>
      </w:rPr>
      <w:tab/>
    </w:r>
  </w:p>
  <w:p w14:paraId="093A8C2D" w14:textId="54B310F2" w:rsidR="00C3299A" w:rsidRPr="00C3299A" w:rsidRDefault="0095783E" w:rsidP="0095783E">
    <w:pPr>
      <w:tabs>
        <w:tab w:val="left" w:pos="8076"/>
      </w:tabs>
      <w:spacing w:before="32" w:line="240" w:lineRule="auto"/>
      <w:ind w:left="20"/>
      <w:rPr>
        <w:rFonts w:ascii="Arial" w:hAnsi="Arial" w:cs="Arial"/>
        <w:sz w:val="18"/>
      </w:rPr>
    </w:pPr>
    <w:r>
      <w:rPr>
        <w:rFonts w:ascii="Arial" w:hAnsi="Arial" w:cs="Arial"/>
        <w:sz w:val="18"/>
      </w:rPr>
      <w:tab/>
    </w:r>
  </w:p>
  <w:p w14:paraId="0370CB8A" w14:textId="6B2AFB2F" w:rsidR="00C3299A" w:rsidRDefault="00C3299A" w:rsidP="000D1414">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3ACA7" w14:textId="77777777" w:rsidR="00B119D5" w:rsidRDefault="00B119D5" w:rsidP="004B2DF4">
      <w:pPr>
        <w:spacing w:after="0" w:line="240" w:lineRule="auto"/>
      </w:pPr>
      <w:r>
        <w:separator/>
      </w:r>
    </w:p>
  </w:footnote>
  <w:footnote w:type="continuationSeparator" w:id="0">
    <w:p w14:paraId="377F2EF5" w14:textId="77777777" w:rsidR="00B119D5" w:rsidRDefault="00B119D5" w:rsidP="004B2D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46143" w14:textId="1D50D409" w:rsidR="00822429" w:rsidRDefault="000550D8">
    <w:pPr>
      <w:pStyle w:val="Encabezado"/>
      <w:rPr>
        <w:noProof/>
      </w:rPr>
    </w:pPr>
    <w:r>
      <w:rPr>
        <w:noProof/>
      </w:rPr>
      <w:drawing>
        <wp:anchor distT="0" distB="0" distL="114300" distR="114300" simplePos="0" relativeHeight="251666432" behindDoc="0" locked="0" layoutInCell="1" allowOverlap="1" wp14:anchorId="28BF33E3" wp14:editId="244018D1">
          <wp:simplePos x="0" y="0"/>
          <wp:positionH relativeFrom="column">
            <wp:posOffset>-1179195</wp:posOffset>
          </wp:positionH>
          <wp:positionV relativeFrom="paragraph">
            <wp:posOffset>-434340</wp:posOffset>
          </wp:positionV>
          <wp:extent cx="7895590" cy="1554480"/>
          <wp:effectExtent l="0" t="0" r="0" b="7620"/>
          <wp:wrapSquare wrapText="bothSides"/>
          <wp:docPr id="1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95590" cy="155448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DF4"/>
    <w:rsid w:val="00020B2C"/>
    <w:rsid w:val="00022052"/>
    <w:rsid w:val="0004353B"/>
    <w:rsid w:val="0005346C"/>
    <w:rsid w:val="000550D8"/>
    <w:rsid w:val="000859A7"/>
    <w:rsid w:val="000A2A84"/>
    <w:rsid w:val="000C74B9"/>
    <w:rsid w:val="000D1414"/>
    <w:rsid w:val="000F5469"/>
    <w:rsid w:val="00154E64"/>
    <w:rsid w:val="00195C7C"/>
    <w:rsid w:val="001D4E5F"/>
    <w:rsid w:val="002369FA"/>
    <w:rsid w:val="002370F0"/>
    <w:rsid w:val="00291715"/>
    <w:rsid w:val="002C423A"/>
    <w:rsid w:val="002D6605"/>
    <w:rsid w:val="00314E39"/>
    <w:rsid w:val="003917BC"/>
    <w:rsid w:val="00400224"/>
    <w:rsid w:val="0041244A"/>
    <w:rsid w:val="00432EA3"/>
    <w:rsid w:val="0046170B"/>
    <w:rsid w:val="00480843"/>
    <w:rsid w:val="00485E52"/>
    <w:rsid w:val="004B2DF4"/>
    <w:rsid w:val="004C7BAD"/>
    <w:rsid w:val="004D63C4"/>
    <w:rsid w:val="004F4475"/>
    <w:rsid w:val="00557623"/>
    <w:rsid w:val="0060061D"/>
    <w:rsid w:val="00616C3A"/>
    <w:rsid w:val="00656A79"/>
    <w:rsid w:val="006E7527"/>
    <w:rsid w:val="006E78B3"/>
    <w:rsid w:val="007376A6"/>
    <w:rsid w:val="00776E19"/>
    <w:rsid w:val="0078714A"/>
    <w:rsid w:val="007B0902"/>
    <w:rsid w:val="00801FE8"/>
    <w:rsid w:val="00822429"/>
    <w:rsid w:val="00847C28"/>
    <w:rsid w:val="00853767"/>
    <w:rsid w:val="0089476B"/>
    <w:rsid w:val="008D5B4F"/>
    <w:rsid w:val="009469DC"/>
    <w:rsid w:val="0095783E"/>
    <w:rsid w:val="00971224"/>
    <w:rsid w:val="0098459B"/>
    <w:rsid w:val="009B4EF9"/>
    <w:rsid w:val="00A34DCA"/>
    <w:rsid w:val="00A42FD2"/>
    <w:rsid w:val="00A94061"/>
    <w:rsid w:val="00AA147C"/>
    <w:rsid w:val="00AC4802"/>
    <w:rsid w:val="00B119D5"/>
    <w:rsid w:val="00B450BC"/>
    <w:rsid w:val="00B70C97"/>
    <w:rsid w:val="00BB2A26"/>
    <w:rsid w:val="00C21900"/>
    <w:rsid w:val="00C3299A"/>
    <w:rsid w:val="00C80C56"/>
    <w:rsid w:val="00C83329"/>
    <w:rsid w:val="00CA0953"/>
    <w:rsid w:val="00CF2234"/>
    <w:rsid w:val="00D01106"/>
    <w:rsid w:val="00D660AF"/>
    <w:rsid w:val="00E11664"/>
    <w:rsid w:val="00E551B3"/>
    <w:rsid w:val="00E65B45"/>
    <w:rsid w:val="00E74017"/>
    <w:rsid w:val="00EE779B"/>
    <w:rsid w:val="00EF6A94"/>
    <w:rsid w:val="00F473F7"/>
    <w:rsid w:val="00FA2290"/>
    <w:rsid w:val="00FC1F6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29081"/>
  <w15:chartTrackingRefBased/>
  <w15:docId w15:val="{5CEE479D-9859-478E-BB3C-16562185F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234"/>
    <w:rPr>
      <w:rFonts w:ascii="Arial" w:hAnsi="Arial"/>
      <w:sz w:val="20"/>
    </w:rPr>
  </w:style>
  <w:style w:type="paragraph" w:styleId="Ttulo1">
    <w:name w:val="heading 1"/>
    <w:basedOn w:val="Normal"/>
    <w:next w:val="Normal"/>
    <w:link w:val="Ttulo1Car"/>
    <w:uiPriority w:val="9"/>
    <w:qFormat/>
    <w:rsid w:val="00B450BC"/>
    <w:pPr>
      <w:keepNext/>
      <w:keepLines/>
      <w:spacing w:before="360" w:after="80"/>
      <w:outlineLvl w:val="0"/>
    </w:pPr>
    <w:rPr>
      <w:rFonts w:asciiTheme="majorHAnsi" w:eastAsiaTheme="majorEastAsia" w:hAnsiTheme="majorHAnsi" w:cstheme="majorBidi" w:ascii="Arial" w:hAnsi="Arial"/>
      <w:color w:val="002B5C"/>
      <w:sz w:val="40"/>
      <w:szCs w:val="40"/>
    </w:rPr>
  </w:style>
  <w:style w:type="paragraph" w:styleId="Ttulo2">
    <w:name w:val="heading 2"/>
    <w:basedOn w:val="Normal"/>
    <w:next w:val="Normal"/>
    <w:link w:val="Ttulo2Car"/>
    <w:uiPriority w:val="9"/>
    <w:semiHidden/>
    <w:unhideWhenUsed/>
    <w:qFormat/>
    <w:rsid w:val="00B450BC"/>
    <w:pPr>
      <w:keepNext/>
      <w:keepLines/>
      <w:spacing w:before="160" w:after="80"/>
      <w:outlineLvl w:val="1"/>
    </w:pPr>
    <w:rPr>
      <w:rFonts w:asciiTheme="majorHAnsi" w:eastAsiaTheme="majorEastAsia" w:hAnsiTheme="majorHAnsi" w:cstheme="majorBidi" w:ascii="Arial" w:hAnsi="Arial"/>
      <w:color w:val="002B5C"/>
      <w:sz w:val="32"/>
      <w:szCs w:val="32"/>
    </w:rPr>
  </w:style>
  <w:style w:type="paragraph" w:styleId="Ttulo3">
    <w:name w:val="heading 3"/>
    <w:basedOn w:val="Normal"/>
    <w:next w:val="Normal"/>
    <w:link w:val="Ttulo3Car"/>
    <w:uiPriority w:val="9"/>
    <w:semiHidden/>
    <w:unhideWhenUsed/>
    <w:qFormat/>
    <w:rsid w:val="00B450BC"/>
    <w:pPr>
      <w:keepNext/>
      <w:keepLines/>
      <w:spacing w:before="160" w:after="80"/>
      <w:outlineLvl w:val="2"/>
    </w:pPr>
    <w:rPr>
      <w:rFonts w:eastAsiaTheme="majorEastAsia" w:cstheme="majorBidi" w:ascii="Arial" w:hAnsi="Arial"/>
      <w:color w:val="002B5C"/>
      <w:sz w:val="28"/>
      <w:szCs w:val="28"/>
    </w:rPr>
  </w:style>
  <w:style w:type="paragraph" w:styleId="Ttulo4">
    <w:name w:val="heading 4"/>
    <w:basedOn w:val="Normal"/>
    <w:next w:val="Normal"/>
    <w:link w:val="Ttulo4Car"/>
    <w:uiPriority w:val="9"/>
    <w:semiHidden/>
    <w:unhideWhenUsed/>
    <w:qFormat/>
    <w:rsid w:val="00B450BC"/>
    <w:pPr>
      <w:keepNext/>
      <w:keepLines/>
      <w:spacing w:before="80" w:after="40"/>
      <w:outlineLvl w:val="3"/>
    </w:pPr>
    <w:rPr>
      <w:rFonts w:eastAsiaTheme="majorEastAsia" w:cstheme="majorBidi"/>
      <w:i/>
      <w:iCs/>
      <w:color w:val="278FF8" w:themeColor="accent1" w:themeShade="BF"/>
    </w:rPr>
  </w:style>
  <w:style w:type="paragraph" w:styleId="Ttulo5">
    <w:name w:val="heading 5"/>
    <w:basedOn w:val="Normal"/>
    <w:next w:val="Normal"/>
    <w:link w:val="Ttulo5Car"/>
    <w:uiPriority w:val="9"/>
    <w:semiHidden/>
    <w:unhideWhenUsed/>
    <w:qFormat/>
    <w:rsid w:val="00B450BC"/>
    <w:pPr>
      <w:keepNext/>
      <w:keepLines/>
      <w:spacing w:before="80" w:after="40"/>
      <w:outlineLvl w:val="4"/>
    </w:pPr>
    <w:rPr>
      <w:rFonts w:eastAsiaTheme="majorEastAsia" w:cstheme="majorBidi"/>
      <w:color w:val="278FF8" w:themeColor="accent1" w:themeShade="BF"/>
    </w:rPr>
  </w:style>
  <w:style w:type="paragraph" w:styleId="Ttulo6">
    <w:name w:val="heading 6"/>
    <w:basedOn w:val="Normal"/>
    <w:next w:val="Normal"/>
    <w:link w:val="Ttulo6Car"/>
    <w:uiPriority w:val="9"/>
    <w:semiHidden/>
    <w:unhideWhenUsed/>
    <w:qFormat/>
    <w:rsid w:val="00B450B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450B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450B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450B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50BC"/>
    <w:rPr>
      <w:rFonts w:asciiTheme="majorHAnsi" w:eastAsiaTheme="majorEastAsia" w:hAnsiTheme="majorHAnsi" w:cstheme="majorBidi"/>
      <w:color w:val="278FF8" w:themeColor="accent1" w:themeShade="BF"/>
      <w:sz w:val="40"/>
      <w:szCs w:val="40"/>
    </w:rPr>
  </w:style>
  <w:style w:type="character" w:customStyle="1" w:styleId="Ttulo2Car">
    <w:name w:val="Título 2 Car"/>
    <w:basedOn w:val="Fuentedeprrafopredeter"/>
    <w:link w:val="Ttulo2"/>
    <w:uiPriority w:val="9"/>
    <w:semiHidden/>
    <w:rsid w:val="00B450BC"/>
    <w:rPr>
      <w:rFonts w:asciiTheme="majorHAnsi" w:eastAsiaTheme="majorEastAsia" w:hAnsiTheme="majorHAnsi" w:cstheme="majorBidi"/>
      <w:color w:val="278FF8" w:themeColor="accent1" w:themeShade="BF"/>
      <w:sz w:val="32"/>
      <w:szCs w:val="32"/>
    </w:rPr>
  </w:style>
  <w:style w:type="character" w:customStyle="1" w:styleId="Ttulo3Car">
    <w:name w:val="Título 3 Car"/>
    <w:basedOn w:val="Fuentedeprrafopredeter"/>
    <w:link w:val="Ttulo3"/>
    <w:uiPriority w:val="9"/>
    <w:semiHidden/>
    <w:rsid w:val="00B450BC"/>
    <w:rPr>
      <w:rFonts w:eastAsiaTheme="majorEastAsia" w:cstheme="majorBidi"/>
      <w:color w:val="278FF8" w:themeColor="accent1" w:themeShade="BF"/>
      <w:sz w:val="28"/>
      <w:szCs w:val="28"/>
    </w:rPr>
  </w:style>
  <w:style w:type="character" w:customStyle="1" w:styleId="Ttulo4Car">
    <w:name w:val="Título 4 Car"/>
    <w:basedOn w:val="Fuentedeprrafopredeter"/>
    <w:link w:val="Ttulo4"/>
    <w:uiPriority w:val="9"/>
    <w:semiHidden/>
    <w:rsid w:val="00B450BC"/>
    <w:rPr>
      <w:rFonts w:eastAsiaTheme="majorEastAsia" w:cstheme="majorBidi"/>
      <w:i/>
      <w:iCs/>
      <w:color w:val="278FF8" w:themeColor="accent1" w:themeShade="BF"/>
    </w:rPr>
  </w:style>
  <w:style w:type="character" w:customStyle="1" w:styleId="Ttulo5Car">
    <w:name w:val="Título 5 Car"/>
    <w:basedOn w:val="Fuentedeprrafopredeter"/>
    <w:link w:val="Ttulo5"/>
    <w:uiPriority w:val="9"/>
    <w:semiHidden/>
    <w:rsid w:val="00B450BC"/>
    <w:rPr>
      <w:rFonts w:eastAsiaTheme="majorEastAsia" w:cstheme="majorBidi"/>
      <w:color w:val="278FF8" w:themeColor="accent1" w:themeShade="BF"/>
    </w:rPr>
  </w:style>
  <w:style w:type="character" w:customStyle="1" w:styleId="Ttulo6Car">
    <w:name w:val="Título 6 Car"/>
    <w:basedOn w:val="Fuentedeprrafopredeter"/>
    <w:link w:val="Ttulo6"/>
    <w:uiPriority w:val="9"/>
    <w:semiHidden/>
    <w:rsid w:val="00B450B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450B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450B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450BC"/>
    <w:rPr>
      <w:rFonts w:eastAsiaTheme="majorEastAsia" w:cstheme="majorBidi"/>
      <w:color w:val="272727" w:themeColor="text1" w:themeTint="D8"/>
    </w:rPr>
  </w:style>
  <w:style w:type="paragraph" w:styleId="Ttulo">
    <w:name w:val="Title"/>
    <w:basedOn w:val="Normal"/>
    <w:next w:val="Normal"/>
    <w:link w:val="TtuloCar"/>
    <w:uiPriority w:val="10"/>
    <w:qFormat/>
    <w:rsid w:val="00B450BC"/>
    <w:pPr>
      <w:spacing w:after="80" w:line="240" w:lineRule="auto"/>
      <w:contextualSpacing/>
    </w:pPr>
    <w:rPr>
      <w:rFonts w:asciiTheme="majorHAnsi" w:eastAsiaTheme="majorEastAsia" w:hAnsiTheme="majorHAnsi" w:cstheme="majorBidi" w:ascii="Arial" w:hAnsi="Arial"/>
      <w:spacing w:val="-10"/>
      <w:kern w:val="28"/>
      <w:sz w:val="36"/>
      <w:szCs w:val="56"/>
    </w:rPr>
  </w:style>
  <w:style w:type="character" w:customStyle="1" w:styleId="TtuloCar">
    <w:name w:val="Título Car"/>
    <w:basedOn w:val="Fuentedeprrafopredeter"/>
    <w:link w:val="Ttulo"/>
    <w:uiPriority w:val="10"/>
    <w:rsid w:val="00B450B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450B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450B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450BC"/>
    <w:pPr>
      <w:spacing w:before="160"/>
      <w:jc w:val="center"/>
    </w:pPr>
    <w:rPr>
      <w:i/>
      <w:iCs/>
      <w:color w:val="404040" w:themeColor="text1" w:themeTint="BF"/>
    </w:rPr>
  </w:style>
  <w:style w:type="character" w:customStyle="1" w:styleId="CitaCar">
    <w:name w:val="Cita Car"/>
    <w:basedOn w:val="Fuentedeprrafopredeter"/>
    <w:link w:val="Cita"/>
    <w:uiPriority w:val="29"/>
    <w:rsid w:val="00B450BC"/>
    <w:rPr>
      <w:i/>
      <w:iCs/>
      <w:color w:val="404040" w:themeColor="text1" w:themeTint="BF"/>
    </w:rPr>
  </w:style>
  <w:style w:type="paragraph" w:styleId="Prrafodelista">
    <w:name w:val="List Paragraph"/>
    <w:basedOn w:val="Normal"/>
    <w:uiPriority w:val="34"/>
    <w:qFormat/>
    <w:rsid w:val="004B2DF4"/>
    <w:pPr>
      <w:ind w:left="720"/>
      <w:contextualSpacing/>
    </w:pPr>
  </w:style>
  <w:style w:type="character" w:styleId="nfasisintenso">
    <w:name w:val="Intense Emphasis"/>
    <w:basedOn w:val="Fuentedeprrafopredeter"/>
    <w:uiPriority w:val="21"/>
    <w:qFormat/>
    <w:rsid w:val="00B450BC"/>
    <w:rPr>
      <w:i/>
      <w:iCs/>
      <w:color w:val="278FF8" w:themeColor="accent1" w:themeShade="BF"/>
    </w:rPr>
  </w:style>
  <w:style w:type="paragraph" w:styleId="Citadestacada">
    <w:name w:val="Intense Quote"/>
    <w:basedOn w:val="Normal"/>
    <w:next w:val="Normal"/>
    <w:link w:val="CitadestacadaCar"/>
    <w:uiPriority w:val="30"/>
    <w:qFormat/>
    <w:rsid w:val="00B450BC"/>
    <w:pPr>
      <w:pBdr>
        <w:top w:val="single" w:sz="4" w:space="10" w:color="278FF8" w:themeColor="accent1" w:themeShade="BF"/>
        <w:bottom w:val="single" w:sz="4" w:space="10" w:color="278FF8" w:themeColor="accent1" w:themeShade="BF"/>
      </w:pBdr>
      <w:spacing w:before="360" w:after="360"/>
      <w:ind w:left="864" w:right="864"/>
      <w:jc w:val="center"/>
    </w:pPr>
    <w:rPr>
      <w:i/>
      <w:iCs/>
      <w:color w:val="278FF8" w:themeColor="accent1" w:themeShade="BF"/>
    </w:rPr>
  </w:style>
  <w:style w:type="character" w:customStyle="1" w:styleId="CitadestacadaCar">
    <w:name w:val="Cita destacada Car"/>
    <w:basedOn w:val="Fuentedeprrafopredeter"/>
    <w:link w:val="Citadestacada"/>
    <w:uiPriority w:val="30"/>
    <w:rsid w:val="00B450BC"/>
    <w:rPr>
      <w:i/>
      <w:iCs/>
      <w:color w:val="278FF8" w:themeColor="accent1" w:themeShade="BF"/>
    </w:rPr>
  </w:style>
  <w:style w:type="character" w:styleId="Referenciaintensa">
    <w:name w:val="Intense Reference"/>
    <w:basedOn w:val="Fuentedeprrafopredeter"/>
    <w:uiPriority w:val="32"/>
    <w:qFormat/>
    <w:rsid w:val="00B450BC"/>
    <w:rPr>
      <w:b/>
      <w:bCs/>
      <w:smallCaps/>
      <w:color w:val="278FF8" w:themeColor="accent1" w:themeShade="BF"/>
      <w:spacing w:val="5"/>
    </w:rPr>
  </w:style>
  <w:style w:type="paragraph" w:styleId="Encabezado">
    <w:name w:val="header"/>
    <w:basedOn w:val="Normal"/>
    <w:link w:val="EncabezadoCar"/>
    <w:uiPriority w:val="99"/>
    <w:unhideWhenUsed/>
    <w:rsid w:val="004B2DF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DF4"/>
  </w:style>
  <w:style w:type="paragraph" w:styleId="Piedepgina">
    <w:name w:val="footer"/>
    <w:basedOn w:val="Normal"/>
    <w:link w:val="PiedepginaCar"/>
    <w:uiPriority w:val="99"/>
    <w:unhideWhenUsed/>
    <w:rsid w:val="004B2DF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DF4"/>
  </w:style>
  <w:style w:type="paragraph" w:styleId="Descripcin">
    <w:name w:val="caption"/>
    <w:basedOn w:val="Normal"/>
    <w:next w:val="Normal"/>
    <w:uiPriority w:val="35"/>
    <w:semiHidden/>
    <w:unhideWhenUsed/>
    <w:qFormat/>
    <w:rsid w:val="00B450BC"/>
    <w:pPr>
      <w:spacing w:after="200" w:line="240" w:lineRule="auto"/>
    </w:pPr>
    <w:rPr>
      <w:i/>
      <w:iCs/>
      <w:color w:val="44546A" w:themeColor="text2"/>
      <w:sz w:val="18"/>
      <w:szCs w:val="18"/>
    </w:rPr>
  </w:style>
  <w:style w:type="character" w:styleId="Textoennegrita">
    <w:name w:val="Strong"/>
    <w:basedOn w:val="Fuentedeprrafopredeter"/>
    <w:uiPriority w:val="22"/>
    <w:qFormat/>
    <w:rsid w:val="00B450BC"/>
    <w:rPr>
      <w:b/>
      <w:bCs/>
    </w:rPr>
  </w:style>
  <w:style w:type="character" w:styleId="nfasis">
    <w:name w:val="Emphasis"/>
    <w:basedOn w:val="Fuentedeprrafopredeter"/>
    <w:uiPriority w:val="20"/>
    <w:qFormat/>
    <w:rsid w:val="00B450BC"/>
    <w:rPr>
      <w:i/>
      <w:iCs/>
    </w:rPr>
  </w:style>
  <w:style w:type="paragraph" w:styleId="Sinespaciado">
    <w:name w:val="No Spacing"/>
    <w:uiPriority w:val="1"/>
    <w:qFormat/>
    <w:rsid w:val="00B450BC"/>
    <w:pPr>
      <w:spacing w:after="0" w:line="240" w:lineRule="auto"/>
    </w:pPr>
  </w:style>
  <w:style w:type="character" w:styleId="nfasissutil">
    <w:name w:val="Subtle Emphasis"/>
    <w:basedOn w:val="Fuentedeprrafopredeter"/>
    <w:uiPriority w:val="19"/>
    <w:qFormat/>
    <w:rsid w:val="00B450BC"/>
    <w:rPr>
      <w:i/>
      <w:iCs/>
      <w:color w:val="404040" w:themeColor="text1" w:themeTint="BF"/>
    </w:rPr>
  </w:style>
  <w:style w:type="character" w:styleId="Referenciasutil">
    <w:name w:val="Subtle Reference"/>
    <w:basedOn w:val="Fuentedeprrafopredeter"/>
    <w:uiPriority w:val="31"/>
    <w:qFormat/>
    <w:rsid w:val="00B450BC"/>
    <w:rPr>
      <w:smallCaps/>
      <w:color w:val="5A5A5A" w:themeColor="text1" w:themeTint="A5"/>
    </w:rPr>
  </w:style>
  <w:style w:type="character" w:styleId="Ttulodellibro">
    <w:name w:val="Book Title"/>
    <w:basedOn w:val="Fuentedeprrafopredeter"/>
    <w:uiPriority w:val="33"/>
    <w:qFormat/>
    <w:rsid w:val="00B450BC"/>
    <w:rPr>
      <w:b/>
      <w:bCs/>
      <w:i/>
      <w:iCs/>
      <w:spacing w:val="5"/>
    </w:rPr>
  </w:style>
  <w:style w:type="paragraph" w:styleId="TtuloTDC">
    <w:name w:val="TOC Heading"/>
    <w:basedOn w:val="Ttulo1"/>
    <w:next w:val="Normal"/>
    <w:uiPriority w:val="39"/>
    <w:semiHidden/>
    <w:unhideWhenUsed/>
    <w:qFormat/>
    <w:rsid w:val="00B450BC"/>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336355">
      <w:bodyDiv w:val="1"/>
      <w:marLeft w:val="0"/>
      <w:marRight w:val="0"/>
      <w:marTop w:val="0"/>
      <w:marBottom w:val="0"/>
      <w:divBdr>
        <w:top w:val="none" w:sz="0" w:space="0" w:color="auto"/>
        <w:left w:val="none" w:sz="0" w:space="0" w:color="auto"/>
        <w:bottom w:val="none" w:sz="0" w:space="0" w:color="auto"/>
        <w:right w:val="none" w:sz="0" w:space="0" w:color="auto"/>
      </w:divBdr>
    </w:div>
    <w:div w:id="554508435">
      <w:bodyDiv w:val="1"/>
      <w:marLeft w:val="0"/>
      <w:marRight w:val="0"/>
      <w:marTop w:val="0"/>
      <w:marBottom w:val="0"/>
      <w:divBdr>
        <w:top w:val="none" w:sz="0" w:space="0" w:color="auto"/>
        <w:left w:val="none" w:sz="0" w:space="0" w:color="auto"/>
        <w:bottom w:val="none" w:sz="0" w:space="0" w:color="auto"/>
        <w:right w:val="none" w:sz="0" w:space="0" w:color="auto"/>
      </w:divBdr>
    </w:div>
    <w:div w:id="799031170">
      <w:bodyDiv w:val="1"/>
      <w:marLeft w:val="0"/>
      <w:marRight w:val="0"/>
      <w:marTop w:val="0"/>
      <w:marBottom w:val="0"/>
      <w:divBdr>
        <w:top w:val="none" w:sz="0" w:space="0" w:color="auto"/>
        <w:left w:val="none" w:sz="0" w:space="0" w:color="auto"/>
        <w:bottom w:val="none" w:sz="0" w:space="0" w:color="auto"/>
        <w:right w:val="none" w:sz="0" w:space="0" w:color="auto"/>
      </w:divBdr>
    </w:div>
    <w:div w:id="1915159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_rels/footer1.xml.rels><?xml version='1.0' encoding='UTF-8' standalone='yes'?>
<Relationships xmlns="http://schemas.openxmlformats.org/package/2006/relationships"><Relationship Id="rId1" Type="http://schemas.openxmlformats.org/officeDocument/2006/relationships/image" Target="media/image8.jpeg"/></Relationships>
</file>

<file path=word/_rels/header1.xml.rels><?xml version='1.0' encoding='UTF-8' standalone='yes'?>
<Relationships xmlns="http://schemas.openxmlformats.org/package/2006/relationships"><Relationship Id="rId1" Type="http://schemas.openxmlformats.org/officeDocument/2006/relationships/image" Target="media/image7.jpeg"/></Relationships>
</file>

<file path=word/theme/theme1.xml><?xml version="1.0" encoding="utf-8"?>
<a:theme xmlns:a="http://schemas.openxmlformats.org/drawingml/2006/main" name="Tema de Office">
  <a:themeElements>
    <a:clrScheme name="Doc defensoría">
      <a:dk1>
        <a:sysClr val="windowText" lastClr="000000"/>
      </a:dk1>
      <a:lt1>
        <a:sysClr val="window" lastClr="FFFFFF"/>
      </a:lt1>
      <a:dk2>
        <a:srgbClr val="44546A"/>
      </a:dk2>
      <a:lt2>
        <a:srgbClr val="E7E6E6"/>
      </a:lt2>
      <a:accent1>
        <a:srgbClr val="85C0FB"/>
      </a:accent1>
      <a:accent2>
        <a:srgbClr val="48A1FA"/>
      </a:accent2>
      <a:accent3>
        <a:srgbClr val="034A90"/>
      </a:accent3>
      <a:accent4>
        <a:srgbClr val="023160"/>
      </a:accent4>
      <a:accent5>
        <a:srgbClr val="FFD965"/>
      </a:accent5>
      <a:accent6>
        <a:srgbClr val="BF9000"/>
      </a:accent6>
      <a:hlink>
        <a:srgbClr val="00B0F0"/>
      </a:hlink>
      <a:folHlink>
        <a:srgbClr val="7030A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5A12D2-0262-41C7-B4E2-71F5FF88C2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TotalTime>
  <Pages>2</Pages>
  <Words>54</Words>
  <Characters>357</Characters>
  <Application>Microsoft Office Word</Application>
  <DocSecurity>0</DocSecurity>
  <Lines>14</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Aurora</dc:title>
  <dc:subject>Documentación técnica del sistema Aurora</dc:subject>
  <dc:creator>Andrés Barreto</dc:creator>
  <cp:keywords/>
  <dc:description>Regenerado desde documentacion_tecnica/MANUAL_TECNICO_AURORA.md</dc:description>
  <cp:lastModifiedBy>Andrés Barreto</cp:lastModifiedBy>
  <cp:revision>35</cp:revision>
  <dcterms:created xsi:type="dcterms:W3CDTF">2025-02-12T20:21:00Z</dcterms:created>
  <dcterms:modified xsi:type="dcterms:W3CDTF">2025-12-23T20:51:00Z</dcterms:modified>
</cp:coreProperties>
</file>