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2.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jpeg" ContentType="image/jpeg"/>
  <Override PartName="/word/media/image5.jpeg" ContentType="image/jpe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tbl>
      <w:tblPr>
        <w:tblW w:w="9632" w:type="dxa"/>
        <w:jc w:val="left"/>
        <w:tblInd w:w="-108" w:type="dxa"/>
        <w:tblLayout w:type="fixed"/>
        <w:tblCellMar>
          <w:top w:w="0" w:type="dxa"/>
          <w:left w:w="0" w:type="dxa"/>
          <w:bottom w:w="0" w:type="dxa"/>
          <w:right w:w="0" w:type="dxa"/>
        </w:tblCellMar>
        <w:tblLook w:val="04a0" w:noHBand="0" w:noVBand="1" w:firstColumn="1" w:lastRow="0" w:lastColumn="0" w:firstRow="1"/>
      </w:tblPr>
      <w:tblGrid>
        <w:gridCol w:w="4816"/>
        <w:gridCol w:w="4815"/>
      </w:tblGrid>
      <w:tr>
        <w:trPr/>
        <w:tc>
          <w:tcPr>
            <w:tcW w:w="4816" w:type="dxa"/>
            <w:tcBorders>
              <w:top w:val="single" w:sz="6" w:space="0" w:color="FFFFFF"/>
              <w:left w:val="single" w:sz="6" w:space="0" w:color="FFFFFF"/>
              <w:bottom w:val="single" w:sz="6" w:space="0" w:color="FFFFFF"/>
              <w:right w:val="single" w:sz="6" w:space="0" w:color="FFFFFF"/>
            </w:tcBorders>
            <w:shd w:color="auto" w:fill="FFFFFF" w:val="clear"/>
          </w:tcPr>
          <w:p>
            <w:pPr>
              <w:pStyle w:val="Normal"/>
              <w:widowControl/>
              <w:bidi w:val="0"/>
              <w:spacing w:lineRule="auto" w:line="252" w:before="0" w:after="80"/>
              <w:jc w:val="left"/>
              <w:rPr/>
            </w:pPr>
            <w:r>
              <w:rPr/>
              <w:drawing>
                <wp:inline distT="0" distB="0" distL="0" distR="0">
                  <wp:extent cx="4140200" cy="452945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4140200" cy="4529455"/>
                          </a:xfrm>
                          <a:prstGeom prst="rect">
                            <a:avLst/>
                          </a:prstGeom>
                          <a:noFill/>
                        </pic:spPr>
                      </pic:pic>
                    </a:graphicData>
                  </a:graphic>
                </wp:inline>
              </w:drawing>
            </w:r>
          </w:p>
        </w:tc>
        <w:tc>
          <w:tcPr>
            <w:tcW w:w="4815" w:type="dxa"/>
            <w:tcBorders>
              <w:top w:val="single" w:sz="6" w:space="0" w:color="FFFFFF"/>
              <w:left w:val="single" w:sz="6" w:space="0" w:color="FFFFFF"/>
              <w:bottom w:val="single" w:sz="6" w:space="0" w:color="FFFFFF"/>
              <w:right w:val="single" w:sz="6" w:space="0" w:color="FFFFFF"/>
            </w:tcBorders>
            <w:shd w:color="auto" w:fill="FFFFFF" w:val="clear"/>
          </w:tcPr>
          <w:p>
            <w:pPr>
              <w:pStyle w:val="Normal"/>
              <w:spacing w:before="0" w:after="80"/>
              <w:jc w:val="center"/>
              <w:rPr/>
            </w:pPr>
            <w:r>
              <w:rPr/>
              <w:drawing>
                <wp:inline distT="0" distB="0" distL="0" distR="0">
                  <wp:extent cx="1619885" cy="2182495"/>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1619885" cy="2182495"/>
                          </a:xfrm>
                          <a:prstGeom prst="rect">
                            <a:avLst/>
                          </a:prstGeom>
                          <a:noFill/>
                        </pic:spPr>
                      </pic:pic>
                    </a:graphicData>
                  </a:graphic>
                </wp:inline>
              </w:drawing>
            </w:r>
          </w:p>
        </w:tc>
      </w:tr>
    </w:tbl>
    <w:p>
      <w:pPr>
        <w:pStyle w:val="Normal"/>
        <w:spacing w:before="80" w:after="80"/>
        <w:jc w:val="right"/>
        <w:rPr>
          <w:lang w:val="es-CO"/>
        </w:rPr>
      </w:pPr>
      <w:r>
        <w:rPr>
          <w:color w:val="1F2937"/>
          <w:sz w:val="20"/>
          <w:lang w:val="es-CO"/>
        </w:rPr>
        <w:t>Bogotá, D. C. · 2026-06-01</w:t>
      </w:r>
    </w:p>
    <w:p>
      <w:pPr>
        <w:pStyle w:val="Normal"/>
        <w:rPr>
          <w:lang w:val="es-CO"/>
        </w:rPr>
      </w:pPr>
      <w:r>
        <w:rPr>
          <w:lang w:val="es-CO"/>
        </w:rPr>
      </w:r>
    </w:p>
    <w:p>
      <w:pPr>
        <w:pStyle w:val="Normal"/>
        <w:spacing w:before="560" w:after="240"/>
        <w:jc w:val="center"/>
        <w:rPr>
          <w:lang w:val="es-CO"/>
        </w:rPr>
      </w:pPr>
      <w:r>
        <w:rPr>
          <w:b/>
          <w:color w:val="111827"/>
          <w:sz w:val="52"/>
          <w:lang w:val="es-CO"/>
        </w:rPr>
        <w:t>Manual técnico Aurora</w:t>
      </w:r>
    </w:p>
    <w:p>
      <w:pPr>
        <w:pStyle w:val="Normal"/>
        <w:jc w:val="center"/>
        <w:rPr>
          <w:lang w:val="es-CO"/>
        </w:rPr>
      </w:pPr>
      <w:r>
        <w:rPr>
          <w:b/>
          <w:color w:val="0B2D52"/>
          <w:sz w:val="28"/>
          <w:lang w:val="es-CO"/>
        </w:rPr>
        <w:t>Dirección Nacional de Defensoría Pública</w:t>
      </w:r>
    </w:p>
    <w:p>
      <w:pPr>
        <w:pStyle w:val="Normal"/>
        <w:jc w:val="center"/>
        <w:rPr>
          <w:lang w:val="es-CO"/>
        </w:rPr>
      </w:pPr>
      <w:r>
        <w:rPr>
          <w:color w:val="667085"/>
          <w:sz w:val="22"/>
          <w:lang w:val="es-CO"/>
        </w:rPr>
        <w:t>Grupo de Transformación Digital</w:t>
      </w:r>
    </w:p>
    <w:p>
      <w:pPr>
        <w:pStyle w:val="Normal"/>
        <w:jc w:val="center"/>
        <w:rPr/>
      </w:pPr>
      <w:r>
        <w:rPr>
          <w:color w:val="667085"/>
          <w:sz w:val="22"/>
        </w:rPr>
        <w:t>Documento técnico institucional</w:t>
      </w:r>
    </w:p>
    <w:p>
      <w:pPr>
        <w:pStyle w:val="Normal"/>
        <w:rPr/>
      </w:pPr>
      <w:r>
        <w:rPr/>
      </w:r>
    </w:p>
    <w:p>
      <w:pPr>
        <w:pStyle w:val="Normal"/>
        <w:rPr/>
      </w:pPr>
      <w:r>
        <w:rPr/>
      </w:r>
    </w:p>
    <w:p>
      <w:pPr>
        <w:pStyle w:val="Normal"/>
        <w:rPr/>
      </w:pPr>
      <w:r>
        <w:rPr/>
      </w:r>
    </w:p>
    <w:p>
      <w:pPr>
        <w:pStyle w:val="Normal"/>
        <w:jc w:val="center"/>
        <w:rPr/>
      </w:pPr>
      <w:r>
        <w:rPr/>
        <w:drawing>
          <wp:inline distT="0" distB="0" distL="0" distR="0">
            <wp:extent cx="1800225" cy="27686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1800225" cy="276860"/>
                    </a:xfrm>
                    <a:prstGeom prst="rect">
                      <a:avLst/>
                    </a:prstGeom>
                    <a:noFill/>
                  </pic:spPr>
                </pic:pic>
              </a:graphicData>
            </a:graphic>
          </wp:inline>
        </w:drawing>
      </w:r>
    </w:p>
    <w:p>
      <w:pPr>
        <w:pStyle w:val="Normal"/>
        <w:rPr/>
      </w:pPr>
      <w:r>
        <w:rPr/>
      </w:r>
      <w:r>
        <w:br w:type="page"/>
      </w:r>
    </w:p>
    <w:p>
      <w:pPr>
        <w:pStyle w:val="Heading1"/>
        <w:spacing w:before="0" w:after="60"/>
        <w:rPr/>
      </w:pPr>
      <w:bookmarkStart w:id="0" w:name="__RefHeading___Toc7003_3389959019"/>
      <w:bookmarkStart w:id="1" w:name="_Toc231224307"/>
      <w:bookmarkEnd w:id="0"/>
      <w:r>
        <w:rPr/>
        <w:t>Control de cambios</w:t>
      </w:r>
      <w:bookmarkEnd w:id="1"/>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907"/>
        <w:gridCol w:w="1359"/>
        <w:gridCol w:w="2268"/>
        <w:gridCol w:w="3970"/>
        <w:gridCol w:w="1077"/>
      </w:tblGrid>
      <w:tr>
        <w:trPr>
          <w:tblHeader w:val="true"/>
        </w:trPr>
        <w:tc>
          <w:tcPr>
            <w:tcW w:w="907"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Versión</w:t>
            </w:r>
          </w:p>
        </w:tc>
        <w:tc>
          <w:tcPr>
            <w:tcW w:w="1359"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Fecha</w:t>
            </w:r>
          </w:p>
        </w:tc>
        <w:tc>
          <w:tcPr>
            <w:tcW w:w="2268"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Responsable</w:t>
            </w:r>
          </w:p>
        </w:tc>
        <w:tc>
          <w:tcPr>
            <w:tcW w:w="397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Descripción del cambio</w:t>
            </w:r>
          </w:p>
        </w:tc>
        <w:tc>
          <w:tcPr>
            <w:tcW w:w="1077"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Aprobación</w:t>
            </w:r>
          </w:p>
        </w:tc>
      </w:tr>
      <w:tr>
        <w:trPr/>
        <w:tc>
          <w:tcPr>
            <w:tcW w:w="90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1.0</w:t>
            </w:r>
          </w:p>
        </w:tc>
        <w:tc>
          <w:tcPr>
            <w:tcW w:w="135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2026-05-29</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Dirección Nacional de Defensoría Pública (DNDP) - Grupo de Transformación Digital</w:t>
            </w:r>
          </w:p>
        </w:tc>
        <w:tc>
          <w:tcPr>
            <w:tcW w:w="397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Versión inicial de manual técnico.</w:t>
            </w:r>
          </w:p>
        </w:tc>
        <w:tc>
          <w:tcPr>
            <w:tcW w:w="107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Equipo DNDP</w:t>
            </w:r>
          </w:p>
        </w:tc>
      </w:tr>
      <w:tr>
        <w:trPr/>
        <w:tc>
          <w:tcPr>
            <w:tcW w:w="90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1.1</w:t>
            </w:r>
          </w:p>
        </w:tc>
        <w:tc>
          <w:tcPr>
            <w:tcW w:w="135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2026-06-01</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Dirección Nacional de Defensoría Pública (DNDP) - Grupo de Transformación Digital</w:t>
            </w:r>
          </w:p>
        </w:tc>
        <w:tc>
          <w:tcPr>
            <w:tcW w:w="397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Ajustes adicionales de Docker: validación de sintaxis Compose, puerto alterno, recreación del contenedor por cambios de .env, verificación de autenticación con /api/auth/config, uso correcto de 127.0.0.1 y túneles, y precisión sobre PM2.</w:t>
            </w:r>
          </w:p>
        </w:tc>
        <w:tc>
          <w:tcPr>
            <w:tcW w:w="107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Pendiente aprobación institucional</w:t>
            </w:r>
          </w:p>
        </w:tc>
      </w:tr>
    </w:tbl>
    <w:p>
      <w:pPr>
        <w:pStyle w:val="Normal"/>
        <w:rPr/>
      </w:pPr>
      <w:r>
        <w:rPr/>
      </w:r>
    </w:p>
    <w:p>
      <w:pPr>
        <w:pStyle w:val="Normal"/>
        <w:rPr/>
      </w:pPr>
      <w:r>
        <w:rPr/>
      </w:r>
      <w:r>
        <w:br w:type="page"/>
      </w:r>
    </w:p>
    <w:p>
      <w:pPr>
        <w:pStyle w:val="Heading1"/>
        <w:spacing w:before="0" w:after="60"/>
        <w:rPr/>
      </w:pPr>
      <w:bookmarkStart w:id="2" w:name="__RefHeading___Toc7005_3389959019"/>
      <w:bookmarkStart w:id="3" w:name="_Toc231224308"/>
      <w:bookmarkEnd w:id="2"/>
      <w:r>
        <w:rPr/>
        <w:t>Tabla de contenido</w:t>
      </w:r>
      <w:bookmarkEnd w:id="3"/>
    </w:p>
    <w:sdt>
      <w:sdtPr>
        <w:docPartObj>
          <w:docPartGallery w:val="Table of Contents"/>
          <w:docPartUnique w:val="true"/>
        </w:docPartObj>
      </w:sdtPr>
      <w:sdtContent>
        <w:p>
          <w:pPr>
            <w:pStyle w:val="TOC1"/>
            <w:tabs>
              <w:tab w:val="clear" w:pos="720"/>
              <w:tab w:val="right" w:pos="9631" w:leader="dot"/>
            </w:tabs>
            <w:rPr/>
          </w:pPr>
          <w:r>
            <w:fldChar w:fldCharType="begin"/>
          </w:r>
          <w:r>
            <w:rPr>
              <w:webHidden/>
              <w:rStyle w:val="IndexLink"/>
            </w:rPr>
            <w:instrText xml:space="preserve"> TOC \z \o "1-3" \u \h</w:instrText>
          </w:r>
          <w:r>
            <w:rPr>
              <w:webHidden/>
              <w:rStyle w:val="IndexLink"/>
            </w:rPr>
            <w:fldChar w:fldCharType="separate"/>
          </w:r>
          <w:hyperlink w:anchor="__RefHeading___Toc7003_3389959019">
            <w:r>
              <w:rPr>
                <w:webHidden/>
                <w:rStyle w:val="IndexLink"/>
              </w:rPr>
              <w:t>Control de cambios</w:t>
              <w:tab/>
              <w:t>2</w:t>
            </w:r>
          </w:hyperlink>
        </w:p>
        <w:p>
          <w:pPr>
            <w:pStyle w:val="TOC1"/>
            <w:tabs>
              <w:tab w:val="clear" w:pos="720"/>
              <w:tab w:val="right" w:pos="9631" w:leader="dot"/>
            </w:tabs>
            <w:rPr/>
          </w:pPr>
          <w:hyperlink w:anchor="__RefHeading___Toc7005_3389959019">
            <w:r>
              <w:rPr>
                <w:webHidden/>
                <w:rStyle w:val="IndexLink"/>
              </w:rPr>
              <w:t>Tabla de contenido</w:t>
              <w:tab/>
              <w:t>3</w:t>
            </w:r>
          </w:hyperlink>
        </w:p>
        <w:p>
          <w:pPr>
            <w:pStyle w:val="TOC2"/>
            <w:tabs>
              <w:tab w:val="clear" w:pos="720"/>
              <w:tab w:val="right" w:pos="9631" w:leader="dot"/>
            </w:tabs>
            <w:rPr/>
          </w:pPr>
          <w:hyperlink w:anchor="__RefHeading___Toc7007_3389959019">
            <w:r>
              <w:rPr>
                <w:webHidden/>
                <w:rStyle w:val="IndexLink"/>
              </w:rPr>
              <w:t>Introducción</w:t>
              <w:tab/>
              <w:t>4</w:t>
            </w:r>
          </w:hyperlink>
        </w:p>
        <w:p>
          <w:pPr>
            <w:pStyle w:val="TOC2"/>
            <w:tabs>
              <w:tab w:val="clear" w:pos="720"/>
              <w:tab w:val="right" w:pos="9631" w:leader="dot"/>
            </w:tabs>
            <w:rPr/>
          </w:pPr>
          <w:hyperlink w:anchor="__RefHeading___Toc7009_3389959019">
            <w:r>
              <w:rPr>
                <w:webHidden/>
                <w:rStyle w:val="IndexLink"/>
              </w:rPr>
              <w:t>Objetivo del sistema</w:t>
              <w:tab/>
              <w:t>4</w:t>
            </w:r>
          </w:hyperlink>
        </w:p>
        <w:p>
          <w:pPr>
            <w:pStyle w:val="TOC2"/>
            <w:tabs>
              <w:tab w:val="clear" w:pos="720"/>
              <w:tab w:val="right" w:pos="9631" w:leader="dot"/>
            </w:tabs>
            <w:rPr/>
          </w:pPr>
          <w:hyperlink w:anchor="__RefHeading___Toc7011_3389959019">
            <w:r>
              <w:rPr>
                <w:webHidden/>
                <w:rStyle w:val="IndexLink"/>
              </w:rPr>
              <w:t>Tecnologías utilizadas</w:t>
              <w:tab/>
              <w:t>4</w:t>
            </w:r>
          </w:hyperlink>
        </w:p>
        <w:p>
          <w:pPr>
            <w:pStyle w:val="TOC2"/>
            <w:tabs>
              <w:tab w:val="clear" w:pos="720"/>
              <w:tab w:val="right" w:pos="9631" w:leader="dot"/>
            </w:tabs>
            <w:rPr/>
          </w:pPr>
          <w:hyperlink w:anchor="__RefHeading___Toc7013_3389959019">
            <w:r>
              <w:rPr>
                <w:webHidden/>
                <w:rStyle w:val="IndexLink"/>
              </w:rPr>
              <w:t>Arquitectura general</w:t>
              <w:tab/>
              <w:t>4</w:t>
            </w:r>
          </w:hyperlink>
        </w:p>
        <w:p>
          <w:pPr>
            <w:pStyle w:val="TOC3"/>
            <w:tabs>
              <w:tab w:val="clear" w:pos="720"/>
              <w:tab w:val="right" w:pos="9631" w:leader="dot"/>
            </w:tabs>
            <w:rPr/>
          </w:pPr>
          <w:hyperlink w:anchor="__RefHeading___Toc7015_3389959019">
            <w:r>
              <w:rPr>
                <w:webHidden/>
                <w:rStyle w:val="IndexLink"/>
              </w:rPr>
              <w:t>Flujo técnico de alto nivel</w:t>
              <w:tab/>
              <w:t>5</w:t>
            </w:r>
          </w:hyperlink>
        </w:p>
        <w:p>
          <w:pPr>
            <w:pStyle w:val="TOC3"/>
            <w:tabs>
              <w:tab w:val="clear" w:pos="720"/>
              <w:tab w:val="right" w:pos="9631" w:leader="dot"/>
            </w:tabs>
            <w:rPr/>
          </w:pPr>
          <w:hyperlink w:anchor="__RefHeading___Toc7017_3389959019">
            <w:r>
              <w:rPr>
                <w:webHidden/>
                <w:rStyle w:val="IndexLink"/>
              </w:rPr>
              <w:t>Componentes principales</w:t>
              <w:tab/>
              <w:t>5</w:t>
            </w:r>
          </w:hyperlink>
        </w:p>
        <w:p>
          <w:pPr>
            <w:pStyle w:val="TOC2"/>
            <w:tabs>
              <w:tab w:val="clear" w:pos="720"/>
              <w:tab w:val="right" w:pos="9631" w:leader="dot"/>
            </w:tabs>
            <w:rPr/>
          </w:pPr>
          <w:hyperlink w:anchor="__RefHeading___Toc7019_3389959019">
            <w:r>
              <w:rPr>
                <w:webHidden/>
                <w:rStyle w:val="IndexLink"/>
              </w:rPr>
              <w:t>Estructura del proyecto</w:t>
              <w:tab/>
              <w:t>5</w:t>
            </w:r>
          </w:hyperlink>
        </w:p>
        <w:p>
          <w:pPr>
            <w:pStyle w:val="TOC2"/>
            <w:tabs>
              <w:tab w:val="clear" w:pos="720"/>
              <w:tab w:val="right" w:pos="9631" w:leader="dot"/>
            </w:tabs>
            <w:rPr/>
          </w:pPr>
          <w:hyperlink w:anchor="__RefHeading___Toc7021_3389959019">
            <w:r>
              <w:rPr>
                <w:webHidden/>
                <w:rStyle w:val="IndexLink"/>
              </w:rPr>
              <w:t>Configuración del backend</w:t>
              <w:tab/>
              <w:t>6</w:t>
            </w:r>
          </w:hyperlink>
        </w:p>
        <w:p>
          <w:pPr>
            <w:pStyle w:val="TOC3"/>
            <w:tabs>
              <w:tab w:val="clear" w:pos="720"/>
              <w:tab w:val="right" w:pos="9631" w:leader="dot"/>
            </w:tabs>
            <w:rPr/>
          </w:pPr>
          <w:hyperlink w:anchor="__RefHeading___Toc7023_3389959019">
            <w:r>
              <w:rPr>
                <w:webHidden/>
                <w:rStyle w:val="IndexLink"/>
              </w:rPr>
              <w:t>Seguridad HTTP y CORS</w:t>
              <w:tab/>
              <w:t>6</w:t>
            </w:r>
          </w:hyperlink>
        </w:p>
        <w:p>
          <w:pPr>
            <w:pStyle w:val="TOC3"/>
            <w:tabs>
              <w:tab w:val="clear" w:pos="720"/>
              <w:tab w:val="right" w:pos="9631" w:leader="dot"/>
            </w:tabs>
            <w:rPr/>
          </w:pPr>
          <w:hyperlink w:anchor="__RefHeading___Toc7025_3389959019">
            <w:r>
              <w:rPr>
                <w:webHidden/>
                <w:rStyle w:val="IndexLink"/>
              </w:rPr>
              <w:t>Autenticación y roles</w:t>
              <w:tab/>
              <w:t>6</w:t>
            </w:r>
          </w:hyperlink>
        </w:p>
        <w:p>
          <w:pPr>
            <w:pStyle w:val="TOC2"/>
            <w:tabs>
              <w:tab w:val="clear" w:pos="720"/>
              <w:tab w:val="right" w:pos="9631" w:leader="dot"/>
            </w:tabs>
            <w:rPr/>
          </w:pPr>
          <w:hyperlink w:anchor="__RefHeading___Toc7027_3389959019">
            <w:r>
              <w:rPr>
                <w:webHidden/>
                <w:rStyle w:val="IndexLink"/>
              </w:rPr>
              <w:t>Configuración del frontend</w:t>
              <w:tab/>
              <w:t>7</w:t>
            </w:r>
          </w:hyperlink>
        </w:p>
        <w:p>
          <w:pPr>
            <w:pStyle w:val="TOC3"/>
            <w:tabs>
              <w:tab w:val="clear" w:pos="720"/>
              <w:tab w:val="right" w:pos="9631" w:leader="dot"/>
            </w:tabs>
            <w:rPr/>
          </w:pPr>
          <w:hyperlink w:anchor="__RefHeading___Toc7029_3389959019">
            <w:r>
              <w:rPr>
                <w:webHidden/>
                <w:rStyle w:val="IndexLink"/>
              </w:rPr>
              <w:t>Organización funcional del frontend</w:t>
              <w:tab/>
              <w:t>7</w:t>
            </w:r>
          </w:hyperlink>
        </w:p>
        <w:p>
          <w:pPr>
            <w:pStyle w:val="TOC3"/>
            <w:tabs>
              <w:tab w:val="clear" w:pos="720"/>
              <w:tab w:val="right" w:pos="9631" w:leader="dot"/>
            </w:tabs>
            <w:rPr/>
          </w:pPr>
          <w:hyperlink w:anchor="__RefHeading___Toc7031_3389959019">
            <w:r>
              <w:rPr>
                <w:webHidden/>
                <w:rStyle w:val="IndexLink"/>
              </w:rPr>
              <w:t>Estados e historial de actuaciones</w:t>
              <w:tab/>
              <w:t>7</w:t>
            </w:r>
          </w:hyperlink>
        </w:p>
        <w:p>
          <w:pPr>
            <w:pStyle w:val="TOC3"/>
            <w:tabs>
              <w:tab w:val="clear" w:pos="720"/>
              <w:tab w:val="right" w:pos="9631" w:leader="dot"/>
            </w:tabs>
            <w:rPr/>
          </w:pPr>
          <w:hyperlink w:anchor="__RefHeading___Toc7033_3389959019">
            <w:r>
              <w:rPr>
                <w:webHidden/>
                <w:rStyle w:val="IndexLink"/>
              </w:rPr>
              <w:t>PWA y operacion offline</w:t>
              <w:tab/>
              <w:t>7</w:t>
            </w:r>
          </w:hyperlink>
        </w:p>
        <w:p>
          <w:pPr>
            <w:pStyle w:val="TOC2"/>
            <w:tabs>
              <w:tab w:val="clear" w:pos="720"/>
              <w:tab w:val="right" w:pos="9631" w:leader="dot"/>
            </w:tabs>
            <w:rPr/>
          </w:pPr>
          <w:hyperlink w:anchor="__RefHeading___Toc7035_3389959019">
            <w:r>
              <w:rPr>
                <w:webHidden/>
                <w:rStyle w:val="IndexLink"/>
              </w:rPr>
              <w:t>Configuración de base de datos</w:t>
              <w:tab/>
              <w:t>8</w:t>
            </w:r>
          </w:hyperlink>
        </w:p>
        <w:p>
          <w:pPr>
            <w:pStyle w:val="TOC3"/>
            <w:tabs>
              <w:tab w:val="clear" w:pos="720"/>
              <w:tab w:val="right" w:pos="9631" w:leader="dot"/>
            </w:tabs>
            <w:rPr/>
          </w:pPr>
          <w:hyperlink w:anchor="__RefHeading___Toc7037_3389959019">
            <w:r>
              <w:rPr>
                <w:webHidden/>
                <w:rStyle w:val="IndexLink"/>
              </w:rPr>
              <w:t>Acceso a datos y normalización</w:t>
              <w:tab/>
              <w:t>8</w:t>
            </w:r>
          </w:hyperlink>
        </w:p>
        <w:p>
          <w:pPr>
            <w:pStyle w:val="TOC3"/>
            <w:tabs>
              <w:tab w:val="clear" w:pos="720"/>
              <w:tab w:val="right" w:pos="9631" w:leader="dot"/>
            </w:tabs>
            <w:rPr/>
          </w:pPr>
          <w:hyperlink w:anchor="__RefHeading___Toc7039_3389959019">
            <w:r>
              <w:rPr>
                <w:webHidden/>
                <w:rStyle w:val="IndexLink"/>
              </w:rPr>
              <w:t>Modelo lógico usado por la aplicación</w:t>
              <w:tab/>
              <w:t>8</w:t>
            </w:r>
          </w:hyperlink>
        </w:p>
        <w:p>
          <w:pPr>
            <w:pStyle w:val="TOC2"/>
            <w:tabs>
              <w:tab w:val="clear" w:pos="720"/>
              <w:tab w:val="right" w:pos="9631" w:leader="dot"/>
            </w:tabs>
            <w:rPr/>
          </w:pPr>
          <w:hyperlink w:anchor="__RefHeading___Toc7041_3389959019">
            <w:r>
              <w:rPr>
                <w:webHidden/>
                <w:rStyle w:val="IndexLink"/>
              </w:rPr>
              <w:t>API principal</w:t>
              <w:tab/>
              <w:t>9</w:t>
            </w:r>
          </w:hyperlink>
        </w:p>
        <w:p>
          <w:pPr>
            <w:pStyle w:val="TOC3"/>
            <w:tabs>
              <w:tab w:val="clear" w:pos="720"/>
              <w:tab w:val="right" w:pos="9631" w:leader="dot"/>
            </w:tabs>
            <w:rPr/>
          </w:pPr>
          <w:hyperlink w:anchor="__RefHeading___Toc7043_3389959019">
            <w:r>
              <w:rPr>
                <w:webHidden/>
                <w:rStyle w:val="IndexLink"/>
              </w:rPr>
              <w:t>Cache y límites operativos</w:t>
              <w:tab/>
              <w:t>9</w:t>
            </w:r>
          </w:hyperlink>
        </w:p>
        <w:p>
          <w:pPr>
            <w:pStyle w:val="TOC2"/>
            <w:tabs>
              <w:tab w:val="clear" w:pos="720"/>
              <w:tab w:val="right" w:pos="9631" w:leader="dot"/>
            </w:tabs>
            <w:rPr/>
          </w:pPr>
          <w:hyperlink w:anchor="__RefHeading___Toc7045_3389959019">
            <w:r>
              <w:rPr>
                <w:webHidden/>
                <w:rStyle w:val="IndexLink"/>
              </w:rPr>
              <w:t>Reglas de negocio</w:t>
              <w:tab/>
              <w:t>9</w:t>
            </w:r>
          </w:hyperlink>
        </w:p>
        <w:p>
          <w:pPr>
            <w:pStyle w:val="TOC3"/>
            <w:tabs>
              <w:tab w:val="clear" w:pos="720"/>
              <w:tab w:val="right" w:pos="9631" w:leader="dot"/>
            </w:tabs>
            <w:rPr/>
          </w:pPr>
          <w:hyperlink w:anchor="__RefHeading___Toc7047_3389959019">
            <w:r>
              <w:rPr>
                <w:webHidden/>
                <w:rStyle w:val="IndexLink"/>
              </w:rPr>
              <w:t>Principios técnicos de evaluación</w:t>
              <w:tab/>
              <w:t>10</w:t>
            </w:r>
          </w:hyperlink>
        </w:p>
        <w:p>
          <w:pPr>
            <w:pStyle w:val="TOC3"/>
            <w:tabs>
              <w:tab w:val="clear" w:pos="720"/>
              <w:tab w:val="right" w:pos="9631" w:leader="dot"/>
            </w:tabs>
            <w:rPr/>
          </w:pPr>
          <w:hyperlink w:anchor="__RefHeading___Toc7049_3389959019">
            <w:r>
              <w:rPr>
                <w:webHidden/>
                <w:rStyle w:val="IndexLink"/>
              </w:rPr>
              <w:t>Flujo Aurora para condenados</w:t>
              <w:tab/>
              <w:t>10</w:t>
            </w:r>
          </w:hyperlink>
        </w:p>
        <w:p>
          <w:pPr>
            <w:pStyle w:val="TOC3"/>
            <w:tabs>
              <w:tab w:val="clear" w:pos="720"/>
              <w:tab w:val="right" w:pos="9631" w:leader="dot"/>
            </w:tabs>
            <w:rPr/>
          </w:pPr>
          <w:hyperlink w:anchor="__RefHeading___Toc7051_3389959019">
            <w:r>
              <w:rPr>
                <w:webHidden/>
                <w:rStyle w:val="IndexLink"/>
              </w:rPr>
              <w:t>Dependencias y campos deshabilitados en Aurora</w:t>
              <w:tab/>
              <w:t>10</w:t>
            </w:r>
          </w:hyperlink>
        </w:p>
        <w:p>
          <w:pPr>
            <w:pStyle w:val="TOC3"/>
            <w:tabs>
              <w:tab w:val="clear" w:pos="720"/>
              <w:tab w:val="right" w:pos="9631" w:leader="dot"/>
            </w:tabs>
            <w:rPr/>
          </w:pPr>
          <w:hyperlink w:anchor="__RefHeading___Toc7053_3389959019">
            <w:r>
              <w:rPr>
                <w:webHidden/>
                <w:rStyle w:val="IndexLink"/>
              </w:rPr>
              <w:t>Cierre de caso en Aurora</w:t>
              <w:tab/>
              <w:t>11</w:t>
            </w:r>
          </w:hyperlink>
        </w:p>
        <w:p>
          <w:pPr>
            <w:pStyle w:val="TOC3"/>
            <w:tabs>
              <w:tab w:val="clear" w:pos="720"/>
              <w:tab w:val="right" w:pos="9631" w:leader="dot"/>
            </w:tabs>
            <w:rPr/>
          </w:pPr>
          <w:hyperlink w:anchor="__RefHeading___Toc7055_3389959019">
            <w:r>
              <w:rPr>
                <w:webHidden/>
                <w:rStyle w:val="IndexLink"/>
              </w:rPr>
              <w:t>Estado derivado en Aurora</w:t>
              <w:tab/>
              <w:t>11</w:t>
            </w:r>
          </w:hyperlink>
        </w:p>
        <w:p>
          <w:pPr>
            <w:pStyle w:val="TOC3"/>
            <w:tabs>
              <w:tab w:val="clear" w:pos="720"/>
              <w:tab w:val="right" w:pos="9631" w:leader="dot"/>
            </w:tabs>
            <w:rPr/>
          </w:pPr>
          <w:hyperlink w:anchor="__RefHeading___Toc7057_3389959019">
            <w:r>
              <w:rPr>
                <w:webHidden/>
                <w:rStyle w:val="IndexLink"/>
              </w:rPr>
              <w:t>Flujo Sindicados</w:t>
              <w:tab/>
              <w:t>11</w:t>
            </w:r>
          </w:hyperlink>
        </w:p>
        <w:p>
          <w:pPr>
            <w:pStyle w:val="TOC3"/>
            <w:tabs>
              <w:tab w:val="clear" w:pos="720"/>
              <w:tab w:val="right" w:pos="9631" w:leader="dot"/>
            </w:tabs>
            <w:rPr/>
          </w:pPr>
          <w:hyperlink w:anchor="__RefHeading___Toc7059_3389959019">
            <w:r>
              <w:rPr>
                <w:webHidden/>
                <w:rStyle w:val="IndexLink"/>
              </w:rPr>
              <w:t>Semáforo de estados</w:t>
              <w:tab/>
              <w:t>12</w:t>
            </w:r>
          </w:hyperlink>
        </w:p>
        <w:p>
          <w:pPr>
            <w:pStyle w:val="TOC3"/>
            <w:tabs>
              <w:tab w:val="clear" w:pos="720"/>
              <w:tab w:val="right" w:pos="9631" w:leader="dot"/>
            </w:tabs>
            <w:rPr/>
          </w:pPr>
          <w:hyperlink w:anchor="__RefHeading___Toc7061_3389959019">
            <w:r>
              <w:rPr>
                <w:webHidden/>
                <w:rStyle w:val="IndexLink"/>
              </w:rPr>
              <w:t>Historial de actuaciones</w:t>
              <w:tab/>
              <w:t>12</w:t>
            </w:r>
          </w:hyperlink>
        </w:p>
        <w:p>
          <w:pPr>
            <w:pStyle w:val="TOC3"/>
            <w:tabs>
              <w:tab w:val="clear" w:pos="720"/>
              <w:tab w:val="right" w:pos="9631" w:leader="dot"/>
            </w:tabs>
            <w:rPr/>
          </w:pPr>
          <w:hyperlink w:anchor="__RefHeading___Toc7063_3389959019">
            <w:r>
              <w:rPr>
                <w:webHidden/>
                <w:rStyle w:val="IndexLink"/>
              </w:rPr>
              <w:t>Validaciones temporales del formulario</w:t>
              <w:tab/>
              <w:t>12</w:t>
            </w:r>
          </w:hyperlink>
        </w:p>
        <w:p>
          <w:pPr>
            <w:pStyle w:val="TOC3"/>
            <w:tabs>
              <w:tab w:val="clear" w:pos="720"/>
              <w:tab w:val="right" w:pos="9631" w:leader="dot"/>
            </w:tabs>
            <w:rPr/>
          </w:pPr>
          <w:hyperlink w:anchor="__RefHeading___Toc7065_3389959019">
            <w:r>
              <w:rPr>
                <w:webHidden/>
                <w:rStyle w:val="IndexLink"/>
              </w:rPr>
              <w:t>Cargas mensuales staging/ETL</w:t>
              <w:tab/>
              <w:t>13</w:t>
            </w:r>
          </w:hyperlink>
        </w:p>
        <w:p>
          <w:pPr>
            <w:pStyle w:val="TOC2"/>
            <w:tabs>
              <w:tab w:val="clear" w:pos="720"/>
              <w:tab w:val="right" w:pos="9631" w:leader="dot"/>
            </w:tabs>
            <w:rPr/>
          </w:pPr>
          <w:hyperlink w:anchor="__RefHeading___Toc7067_3389959019">
            <w:r>
              <w:rPr>
                <w:webHidden/>
                <w:rStyle w:val="IndexLink"/>
              </w:rPr>
              <w:t>Variables de entorno</w:t>
              <w:tab/>
              <w:t>13</w:t>
            </w:r>
          </w:hyperlink>
        </w:p>
        <w:p>
          <w:pPr>
            <w:pStyle w:val="TOC2"/>
            <w:tabs>
              <w:tab w:val="clear" w:pos="720"/>
              <w:tab w:val="right" w:pos="9631" w:leader="dot"/>
            </w:tabs>
            <w:rPr/>
          </w:pPr>
          <w:hyperlink w:anchor="__RefHeading___Toc7069_3389959019">
            <w:r>
              <w:rPr>
                <w:webHidden/>
                <w:rStyle w:val="IndexLink"/>
              </w:rPr>
              <w:t>Ejecución local</w:t>
              <w:tab/>
              <w:t>13</w:t>
            </w:r>
          </w:hyperlink>
        </w:p>
        <w:p>
          <w:pPr>
            <w:pStyle w:val="TOC2"/>
            <w:tabs>
              <w:tab w:val="clear" w:pos="720"/>
              <w:tab w:val="right" w:pos="9631" w:leader="dot"/>
            </w:tabs>
            <w:rPr/>
          </w:pPr>
          <w:hyperlink w:anchor="__RefHeading___Toc7071_3389959019">
            <w:r>
              <w:rPr>
                <w:webHidden/>
                <w:rStyle w:val="IndexLink"/>
              </w:rPr>
              <w:t>Despliegue</w:t>
              <w:tab/>
              <w:t>14</w:t>
            </w:r>
          </w:hyperlink>
        </w:p>
        <w:p>
          <w:pPr>
            <w:pStyle w:val="TOC3"/>
            <w:tabs>
              <w:tab w:val="clear" w:pos="720"/>
              <w:tab w:val="right" w:pos="9631" w:leader="dot"/>
            </w:tabs>
            <w:rPr/>
          </w:pPr>
          <w:hyperlink w:anchor="__RefHeading___Toc7073_3389959019">
            <w:r>
              <w:rPr>
                <w:webHidden/>
                <w:rStyle w:val="IndexLink"/>
              </w:rPr>
              <w:t>Operación del servicio con Docker Compose</w:t>
              <w:tab/>
              <w:t>15</w:t>
            </w:r>
          </w:hyperlink>
        </w:p>
        <w:p>
          <w:pPr>
            <w:pStyle w:val="TOC3"/>
            <w:tabs>
              <w:tab w:val="clear" w:pos="720"/>
              <w:tab w:val="right" w:pos="9631" w:leader="dot"/>
            </w:tabs>
            <w:rPr/>
          </w:pPr>
          <w:hyperlink w:anchor="__RefHeading___Toc7075_3389959019">
            <w:r>
              <w:rPr>
                <w:webHidden/>
                <w:rStyle w:val="IndexLink"/>
              </w:rPr>
              <w:t>Autenticación institucional y Azure</w:t>
              <w:tab/>
              <w:t>16</w:t>
            </w:r>
          </w:hyperlink>
        </w:p>
        <w:p>
          <w:pPr>
            <w:pStyle w:val="TOC3"/>
            <w:tabs>
              <w:tab w:val="clear" w:pos="720"/>
              <w:tab w:val="right" w:pos="9631" w:leader="dot"/>
            </w:tabs>
            <w:rPr/>
          </w:pPr>
          <w:hyperlink w:anchor="__RefHeading___Toc7077_3389959019">
            <w:r>
              <w:rPr>
                <w:webHidden/>
                <w:rStyle w:val="IndexLink"/>
              </w:rPr>
              <w:t>Acceso desde equipo cliente</w:t>
              <w:tab/>
              <w:t>16</w:t>
            </w:r>
          </w:hyperlink>
        </w:p>
        <w:p>
          <w:pPr>
            <w:pStyle w:val="TOC3"/>
            <w:tabs>
              <w:tab w:val="clear" w:pos="720"/>
              <w:tab w:val="right" w:pos="9631" w:leader="dot"/>
            </w:tabs>
            <w:rPr/>
          </w:pPr>
          <w:hyperlink w:anchor="__RefHeading___Toc7079_3389959019">
            <w:r>
              <w:rPr>
                <w:webHidden/>
                <w:rStyle w:val="IndexLink"/>
              </w:rPr>
              <w:t>Prueba operativa puntual con Node.js en segundo plano</w:t>
              <w:tab/>
              <w:t>17</w:t>
            </w:r>
          </w:hyperlink>
        </w:p>
        <w:p>
          <w:pPr>
            <w:pStyle w:val="TOC3"/>
            <w:tabs>
              <w:tab w:val="clear" w:pos="720"/>
              <w:tab w:val="right" w:pos="9631" w:leader="dot"/>
            </w:tabs>
            <w:rPr/>
          </w:pPr>
          <w:hyperlink w:anchor="__RefHeading___Toc7081_3389959019">
            <w:r>
              <w:rPr>
                <w:webHidden/>
                <w:rStyle w:val="IndexLink"/>
              </w:rPr>
              <w:t>Uso de PM2</w:t>
              <w:tab/>
              <w:t>18</w:t>
            </w:r>
          </w:hyperlink>
        </w:p>
        <w:p>
          <w:pPr>
            <w:pStyle w:val="TOC2"/>
            <w:tabs>
              <w:tab w:val="clear" w:pos="720"/>
              <w:tab w:val="right" w:pos="9631" w:leader="dot"/>
            </w:tabs>
            <w:rPr/>
          </w:pPr>
          <w:hyperlink w:anchor="__RefHeading___Toc7083_3389959019">
            <w:r>
              <w:rPr>
                <w:webHidden/>
                <w:rStyle w:val="IndexLink"/>
              </w:rPr>
              <w:t>Validaciones posteriores al despliegue</w:t>
              <w:tab/>
              <w:t>19</w:t>
            </w:r>
          </w:hyperlink>
        </w:p>
        <w:p>
          <w:pPr>
            <w:pStyle w:val="TOC2"/>
            <w:tabs>
              <w:tab w:val="clear" w:pos="720"/>
              <w:tab w:val="right" w:pos="9631" w:leader="dot"/>
            </w:tabs>
            <w:rPr/>
          </w:pPr>
          <w:hyperlink w:anchor="__RefHeading___Toc7085_3389959019">
            <w:r>
              <w:rPr>
                <w:webHidden/>
                <w:rStyle w:val="IndexLink"/>
              </w:rPr>
              <w:t>Pruebas disponibles</w:t>
              <w:tab/>
              <w:t>19</w:t>
            </w:r>
          </w:hyperlink>
        </w:p>
        <w:p>
          <w:pPr>
            <w:pStyle w:val="TOC2"/>
            <w:tabs>
              <w:tab w:val="clear" w:pos="720"/>
              <w:tab w:val="right" w:pos="9631" w:leader="dot"/>
            </w:tabs>
            <w:rPr/>
          </w:pPr>
          <w:hyperlink w:anchor="__RefHeading___Toc7087_3389959019">
            <w:r>
              <w:rPr>
                <w:webHidden/>
                <w:rStyle w:val="IndexLink"/>
              </w:rPr>
              <w:t>Logs y solución de problemas</w:t>
              <w:tab/>
              <w:t>19</w:t>
            </w:r>
          </w:hyperlink>
        </w:p>
        <w:p>
          <w:pPr>
            <w:pStyle w:val="TOC2"/>
            <w:tabs>
              <w:tab w:val="clear" w:pos="720"/>
              <w:tab w:val="right" w:pos="9631" w:leader="dot"/>
            </w:tabs>
            <w:rPr/>
          </w:pPr>
          <w:hyperlink w:anchor="__RefHeading___Toc7089_3389959019">
            <w:r>
              <w:rPr>
                <w:webHidden/>
                <w:rStyle w:val="IndexLink"/>
              </w:rPr>
              <w:t>Mantenimiento básico</w:t>
              <w:tab/>
              <w:t>20</w:t>
            </w:r>
          </w:hyperlink>
        </w:p>
        <w:p>
          <w:pPr>
            <w:pStyle w:val="TOC2"/>
            <w:tabs>
              <w:tab w:val="clear" w:pos="720"/>
              <w:tab w:val="right" w:pos="9631" w:leader="dot"/>
            </w:tabs>
            <w:rPr/>
          </w:pPr>
          <w:hyperlink w:anchor="__RefHeading___Toc7091_3389959019">
            <w:r>
              <w:rPr>
                <w:webHidden/>
                <w:rStyle w:val="IndexLink"/>
              </w:rPr>
              <w:t>Recomendaciones técnicas</w:t>
              <w:tab/>
              <w:t>20</w:t>
            </w:r>
          </w:hyperlink>
          <w:r>
            <w:rPr>
              <w:rStyle w:val="IndexLink"/>
            </w:rPr>
            <w:fldChar w:fldCharType="end"/>
          </w:r>
        </w:p>
      </w:sdtContent>
    </w:sdt>
    <w:p>
      <w:pPr>
        <w:pStyle w:val="Normal"/>
        <w:rPr>
          <w:lang w:val="es-CO"/>
        </w:rPr>
      </w:pPr>
      <w:r>
        <w:rPr>
          <w:lang w:val="es-CO"/>
        </w:rPr>
      </w:r>
    </w:p>
    <w:p>
      <w:pPr>
        <w:pStyle w:val="Normal"/>
        <w:spacing w:before="0" w:after="60"/>
        <w:rPr>
          <w:lang w:val="es-CO"/>
        </w:rPr>
      </w:pPr>
      <w:r>
        <w:rPr>
          <w:color w:val="1F2937"/>
          <w:sz w:val="18"/>
          <w:lang w:val="es-CO"/>
        </w:rPr>
        <w:t>Fecha: 2026-05-29</w:t>
      </w:r>
    </w:p>
    <w:p>
      <w:pPr>
        <w:pStyle w:val="Heading2"/>
        <w:rPr>
          <w:lang w:val="es-CO"/>
        </w:rPr>
      </w:pPr>
      <w:bookmarkStart w:id="4" w:name="__RefHeading___Toc7007_3389959019"/>
      <w:bookmarkStart w:id="5" w:name="_Toc231224309"/>
      <w:bookmarkEnd w:id="4"/>
      <w:r>
        <w:rPr>
          <w:lang w:val="es-CO"/>
        </w:rPr>
        <w:t>Introducción</w:t>
      </w:r>
      <w:bookmarkEnd w:id="5"/>
    </w:p>
    <w:p>
      <w:pPr>
        <w:pStyle w:val="Normal"/>
        <w:spacing w:before="0" w:after="60"/>
        <w:rPr>
          <w:lang w:val="es-CO"/>
        </w:rPr>
      </w:pPr>
      <w:r>
        <w:rPr>
          <w:color w:val="1F2937"/>
          <w:sz w:val="18"/>
          <w:lang w:val="es-CO"/>
        </w:rPr>
        <w:t>Este manual integra la información técnica básica de Aurora para apoyar instalación, despliegue, mantenimiento y validación. Fue elaborado a partir del repositorio, documentación existente y pruebas registradas.</w:t>
      </w:r>
    </w:p>
    <w:p>
      <w:pPr>
        <w:pStyle w:val="Heading2"/>
        <w:rPr>
          <w:lang w:val="es-CO"/>
        </w:rPr>
      </w:pPr>
      <w:bookmarkStart w:id="6" w:name="__RefHeading___Toc7009_3389959019"/>
      <w:bookmarkStart w:id="7" w:name="_Toc231224310"/>
      <w:bookmarkEnd w:id="6"/>
      <w:r>
        <w:rPr>
          <w:lang w:val="es-CO"/>
        </w:rPr>
        <w:t>Objetivo del sistema</w:t>
      </w:r>
      <w:bookmarkEnd w:id="7"/>
    </w:p>
    <w:p>
      <w:pPr>
        <w:pStyle w:val="Normal"/>
        <w:spacing w:before="0" w:after="60"/>
        <w:rPr>
          <w:lang w:val="es-CO"/>
        </w:rPr>
      </w:pPr>
      <w:r>
        <w:rPr>
          <w:color w:val="1F2937"/>
          <w:sz w:val="18"/>
          <w:lang w:val="es-CO"/>
        </w:rPr>
        <w:t>Aurora apoya la gestión de atención jurídica de personas privadas de la libertad. Desde el código se observan funciones de consulta, formulario de atención, gestión de actuaciones, asignación de defensores, validación PAG y descarga de formatos.</w:t>
      </w:r>
    </w:p>
    <w:p>
      <w:pPr>
        <w:pStyle w:val="Heading2"/>
        <w:rPr/>
      </w:pPr>
      <w:bookmarkStart w:id="8" w:name="__RefHeading___Toc7011_3389959019"/>
      <w:bookmarkStart w:id="9" w:name="_Toc231224311"/>
      <w:bookmarkEnd w:id="8"/>
      <w:r>
        <w:rPr/>
        <w:t>Tecnologías utilizadas</w:t>
      </w:r>
      <w:bookmarkEnd w:id="9"/>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890"/>
        <w:gridCol w:w="6690"/>
      </w:tblGrid>
      <w:tr>
        <w:trPr>
          <w:tblHeader w:val="true"/>
        </w:trPr>
        <w:tc>
          <w:tcPr>
            <w:tcW w:w="28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Capa</w:t>
            </w:r>
          </w:p>
        </w:tc>
        <w:tc>
          <w:tcPr>
            <w:tcW w:w="66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Tecnología</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React, Vite, JavaScript/TypeScript, PWA</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Node.js, Express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Autenticación</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 Azure AD opcional</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Base de datos</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Oracle mediante oracledb</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Datos complementarios</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Catálogo local de formatos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Cargas ETL</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Python (pandas, openpyxl, oracledb) orquestado desde backend</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Pruebas</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Vitest, scripts Node</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Despliegue</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Docker Compose como camino principal; PM2 solo como alternativa Node.js tradicional</w:t>
            </w:r>
          </w:p>
        </w:tc>
      </w:tr>
    </w:tbl>
    <w:p>
      <w:pPr>
        <w:pStyle w:val="Normal"/>
        <w:rPr/>
      </w:pPr>
      <w:r>
        <w:rPr/>
      </w:r>
    </w:p>
    <w:p>
      <w:pPr>
        <w:pStyle w:val="Heading2"/>
        <w:rPr/>
      </w:pPr>
      <w:bookmarkStart w:id="10" w:name="__RefHeading___Toc7013_3389959019"/>
      <w:bookmarkStart w:id="11" w:name="_Toc231224312"/>
      <w:bookmarkEnd w:id="10"/>
      <w:r>
        <w:rPr/>
        <w:t>Arquitectura general</w:t>
      </w:r>
      <w:bookmarkEnd w:id="11"/>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Usuario -&gt; Frontend React -&gt; Backend Express /api -&gt; Oracle</w:t>
            </w:r>
          </w:p>
        </w:tc>
      </w:tr>
    </w:tbl>
    <w:p>
      <w:pPr>
        <w:pStyle w:val="Normal"/>
        <w:rPr/>
      </w:pPr>
      <w:r>
        <w:rPr/>
      </w:r>
    </w:p>
    <w:p>
      <w:pPr>
        <w:pStyle w:val="Normal"/>
        <w:spacing w:before="0" w:after="60"/>
        <w:rPr>
          <w:lang w:val="es-CO"/>
        </w:rPr>
      </w:pPr>
      <w:r>
        <w:rPr>
          <w:color w:val="1F2937"/>
          <w:sz w:val="18"/>
          <w:lang w:val="es-CO"/>
        </w:rPr>
        <w:t xml:space="preserve">En producción, el backend puede servir el frontend compilado. El despliegue Docker usa un contenedor único que compila </w:t>
      </w:r>
      <w:r>
        <w:rPr>
          <w:rFonts w:eastAsia="Consolas" w:ascii="Consolas" w:hAnsi="Consolas"/>
          <w:color w:val="111827"/>
          <w:sz w:val="16"/>
          <w:lang w:val="es-CO"/>
        </w:rPr>
        <w:t>frontend/</w:t>
      </w:r>
      <w:r>
        <w:rPr>
          <w:color w:val="1F2937"/>
          <w:sz w:val="18"/>
          <w:lang w:val="es-CO"/>
        </w:rPr>
        <w:t xml:space="preserve"> y copia </w:t>
      </w:r>
      <w:r>
        <w:rPr>
          <w:rFonts w:eastAsia="Consolas" w:ascii="Consolas" w:hAnsi="Consolas"/>
          <w:color w:val="111827"/>
          <w:sz w:val="16"/>
          <w:lang w:val="es-CO"/>
        </w:rPr>
        <w:t>dist</w:t>
      </w:r>
      <w:r>
        <w:rPr>
          <w:color w:val="1F2937"/>
          <w:sz w:val="18"/>
          <w:lang w:val="es-CO"/>
        </w:rPr>
        <w:t xml:space="preserve"> a </w:t>
      </w:r>
      <w:r>
        <w:rPr>
          <w:rFonts w:eastAsia="Consolas" w:ascii="Consolas" w:hAnsi="Consolas"/>
          <w:color w:val="111827"/>
          <w:sz w:val="16"/>
          <w:lang w:val="es-CO"/>
        </w:rPr>
        <w:t>backend/public/app</w:t>
      </w:r>
      <w:r>
        <w:rPr>
          <w:color w:val="1F2937"/>
          <w:sz w:val="18"/>
          <w:lang w:val="es-CO"/>
        </w:rPr>
        <w:t>.</w:t>
      </w:r>
    </w:p>
    <w:p>
      <w:pPr>
        <w:pStyle w:val="Heading3"/>
        <w:rPr/>
      </w:pPr>
      <w:bookmarkStart w:id="12" w:name="__RefHeading___Toc7015_3389959019"/>
      <w:bookmarkStart w:id="13" w:name="_Toc231224313"/>
      <w:bookmarkEnd w:id="12"/>
      <w:r>
        <w:rPr/>
        <w:t>Flujo técnico de alto nivel</w:t>
      </w:r>
      <w:bookmarkEnd w:id="13"/>
    </w:p>
    <w:p>
      <w:pPr>
        <w:pStyle w:val="ListNumber"/>
        <w:numPr>
          <w:ilvl w:val="0"/>
          <w:numId w:val="4"/>
        </w:numPr>
        <w:spacing w:before="0" w:after="60"/>
        <w:contextualSpacing/>
        <w:rPr>
          <w:lang w:val="es-CO"/>
        </w:rPr>
      </w:pPr>
      <w:r>
        <w:rPr>
          <w:color w:val="1F2937"/>
          <w:lang w:val="es-CO"/>
        </w:rPr>
        <w:t xml:space="preserve">El usuario ingresa al frontend React y obtiene la configuración de autenticación desde </w:t>
      </w:r>
      <w:r>
        <w:rPr>
          <w:rFonts w:eastAsia="Consolas" w:ascii="Consolas" w:hAnsi="Consolas"/>
          <w:color w:val="111827"/>
          <w:sz w:val="16"/>
          <w:lang w:val="es-CO"/>
        </w:rPr>
        <w:t>/api/auth/config</w:t>
      </w:r>
      <w:r>
        <w:rPr>
          <w:color w:val="1F2937"/>
          <w:lang w:val="es-CO"/>
        </w:rPr>
        <w:t>.</w:t>
      </w:r>
    </w:p>
    <w:p>
      <w:pPr>
        <w:pStyle w:val="ListNumber"/>
        <w:numPr>
          <w:ilvl w:val="0"/>
          <w:numId w:val="4"/>
        </w:numPr>
        <w:spacing w:before="0" w:after="60"/>
        <w:contextualSpacing/>
        <w:rPr>
          <w:lang w:val="es-CO"/>
        </w:rPr>
      </w:pPr>
      <w:r>
        <w:rPr>
          <w:color w:val="1F2937"/>
          <w:lang w:val="es-CO"/>
        </w:rPr>
        <w:t>El usuario inicia sesión mediante Microsoft Entra ID (Azure AD) o, en ambientes habilitados, mediante usuario local administrativo.</w:t>
      </w:r>
    </w:p>
    <w:p>
      <w:pPr>
        <w:pStyle w:val="ListNumber"/>
        <w:numPr>
          <w:ilvl w:val="0"/>
          <w:numId w:val="4"/>
        </w:numPr>
        <w:spacing w:before="0" w:after="60"/>
        <w:contextualSpacing/>
        <w:rPr>
          <w:lang w:val="es-CO"/>
        </w:rPr>
      </w:pPr>
      <w:r>
        <w:rPr>
          <w:color w:val="1F2937"/>
          <w:lang w:val="es-CO"/>
        </w:rPr>
        <w:t xml:space="preserve">El backend valida la identidad y emite un JWT propio de Aurora. Ese token se usa como </w:t>
      </w:r>
      <w:r>
        <w:rPr>
          <w:rFonts w:eastAsia="Consolas" w:ascii="Consolas" w:hAnsi="Consolas"/>
          <w:color w:val="111827"/>
          <w:sz w:val="16"/>
          <w:lang w:val="es-CO"/>
        </w:rPr>
        <w:t>Bearer</w:t>
      </w:r>
      <w:r>
        <w:rPr>
          <w:color w:val="1F2937"/>
          <w:lang w:val="es-CO"/>
        </w:rPr>
        <w:t xml:space="preserve"> en las rutas protegidas.</w:t>
      </w:r>
    </w:p>
    <w:p>
      <w:pPr>
        <w:pStyle w:val="ListNumber"/>
        <w:numPr>
          <w:ilvl w:val="0"/>
          <w:numId w:val="4"/>
        </w:numPr>
        <w:spacing w:before="0" w:after="60"/>
        <w:contextualSpacing/>
        <w:rPr>
          <w:lang w:val="es-CO"/>
        </w:rPr>
      </w:pPr>
      <w:r>
        <w:rPr>
          <w:color w:val="1F2937"/>
          <w:lang w:val="es-CO"/>
        </w:rPr>
        <w:t xml:space="preserve">El frontend consulta personas privadas de la libertad, registros asignados, formatos y defensores a través de </w:t>
      </w:r>
      <w:r>
        <w:rPr>
          <w:rFonts w:eastAsia="Consolas" w:ascii="Consolas" w:hAnsi="Consolas"/>
          <w:color w:val="111827"/>
          <w:sz w:val="16"/>
          <w:lang w:val="es-CO"/>
        </w:rPr>
        <w:t>/api</w:t>
      </w:r>
      <w:r>
        <w:rPr>
          <w:color w:val="1F2937"/>
          <w:lang w:val="es-CO"/>
        </w:rPr>
        <w:t>.</w:t>
      </w:r>
    </w:p>
    <w:p>
      <w:pPr>
        <w:pStyle w:val="ListNumber"/>
        <w:numPr>
          <w:ilvl w:val="0"/>
          <w:numId w:val="4"/>
        </w:numPr>
        <w:spacing w:before="0" w:after="60"/>
        <w:contextualSpacing/>
        <w:rPr>
          <w:lang w:val="es-CO"/>
        </w:rPr>
      </w:pPr>
      <w:r>
        <w:rPr>
          <w:color w:val="1F2937"/>
          <w:lang w:val="es-CO"/>
        </w:rPr>
        <w:t>El backend accede a Oracle mediante repositorios especializados y normaliza datos de origen para exponer una respuesta estable al frontend.</w:t>
      </w:r>
    </w:p>
    <w:p>
      <w:pPr>
        <w:pStyle w:val="ListNumber"/>
        <w:numPr>
          <w:ilvl w:val="0"/>
          <w:numId w:val="4"/>
        </w:numPr>
        <w:spacing w:before="0" w:after="60"/>
        <w:contextualSpacing/>
        <w:rPr>
          <w:lang w:val="es-CO"/>
        </w:rPr>
      </w:pPr>
      <w:r>
        <w:rPr>
          <w:color w:val="1F2937"/>
          <w:lang w:val="es-CO"/>
        </w:rPr>
        <w:t>El formulario de atención aplica reglas de negocio en cliente para visibilidad, obligatoriedad, dependencias, estado del trámite y cierre del caso.</w:t>
      </w:r>
    </w:p>
    <w:p>
      <w:pPr>
        <w:pStyle w:val="ListNumber"/>
        <w:numPr>
          <w:ilvl w:val="0"/>
          <w:numId w:val="4"/>
        </w:numPr>
        <w:spacing w:before="0" w:after="60"/>
        <w:contextualSpacing/>
        <w:rPr>
          <w:lang w:val="es-CO"/>
        </w:rPr>
      </w:pPr>
      <w:r>
        <w:rPr>
          <w:color w:val="1F2937"/>
          <w:lang w:val="es-CO"/>
        </w:rPr>
        <w:t>Al guardar, el backend persiste los cambios funcionales y el historial de actuaciones en Oracle.</w:t>
      </w:r>
    </w:p>
    <w:p>
      <w:pPr>
        <w:pStyle w:val="ListNumber"/>
        <w:numPr>
          <w:ilvl w:val="0"/>
          <w:numId w:val="4"/>
        </w:numPr>
        <w:spacing w:before="0" w:after="60"/>
        <w:contextualSpacing/>
        <w:rPr>
          <w:lang w:val="es-CO"/>
        </w:rPr>
      </w:pPr>
      <w:r>
        <w:rPr>
          <w:color w:val="1F2937"/>
          <w:lang w:val="es-CO"/>
        </w:rPr>
        <w:t>El módulo administrativo de cargas almacena archivos Excel en un directorio controlado, ejecuta la carga Python en segundo plano y registra estado/logs para seguimiento operativo.</w:t>
      </w:r>
    </w:p>
    <w:p>
      <w:pPr>
        <w:pStyle w:val="Heading3"/>
        <w:rPr/>
      </w:pPr>
      <w:bookmarkStart w:id="14" w:name="__RefHeading___Toc7017_3389959019"/>
      <w:bookmarkStart w:id="15" w:name="_Toc231224314"/>
      <w:bookmarkEnd w:id="14"/>
      <w:r>
        <w:rPr/>
        <w:t>Componentes principales</w:t>
      </w:r>
      <w:bookmarkEnd w:id="15"/>
    </w:p>
    <w:tbl>
      <w:tblPr>
        <w:tblW w:w="9742"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319"/>
        <w:gridCol w:w="2974"/>
        <w:gridCol w:w="4449"/>
      </w:tblGrid>
      <w:tr>
        <w:trPr>
          <w:tblHeader w:val="true"/>
        </w:trPr>
        <w:tc>
          <w:tcPr>
            <w:tcW w:w="2319"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Componente</w:t>
            </w:r>
          </w:p>
        </w:tc>
        <w:tc>
          <w:tcPr>
            <w:tcW w:w="2974"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Ruta</w:t>
            </w:r>
          </w:p>
        </w:tc>
        <w:tc>
          <w:tcPr>
            <w:tcW w:w="4449"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Responsabilidad</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Entrada backend</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backend/index.js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Configura Express, seguridad HTTP, CORS, rutas, frontend estático y cierre ordenado.</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Autenticación</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backend/services/authService.js, backend/middleware/auth.js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Valida Azure AD o usuario local, firma JWT interno y protege rutas.</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 funcional PPL</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backend/routes/ppl.js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Consulta, filtros, detalle, actuaciones, asignación de defensor y validación PAG.</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 defensores</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backend/routes/defensores.js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Lista y registra defensores.</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 formatos</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backend/routes/formatos.js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Lista formatos y resuelve URLs de descarga.</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 cargas BD</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backend/routes/adminCargas.js, backend/services/cargaBdService.js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Recibe archivos, controla trabajos, historial y logs de cargas.</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Repositorios Oracle</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backend/repositories/oracle/, backend/db/</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Encapsulan SQL, pool Oracle y normalización de resultados.</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Formulario atención</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frontend/src/pages/FormularioAtencion.jsx</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Renderiza flujo de atención y guarda actuaciones.</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Reglas Aurora</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frontend/src/config/formRules.aurora.ts, frontend/src/utils/evaluateAuroraRules.ts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Define reglas de condenados: bloques, dependencias, estados y cierre.</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Reglas Sindicados</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frontend/src/config/formRules.celeste.ts, frontend/src/utils/evaluateCelesteRules.ts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Define reglas de sindicados: bloques, estados y cierre.</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Estado actuaciones</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frontend/src/config/estadoActuaciones.rules.ts</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Unifica etiqueta visual, semáforo y estado lógico mostrado en listados/historial.</w:t>
            </w:r>
          </w:p>
        </w:tc>
      </w:tr>
      <w:tr>
        <w:trPr/>
        <w:tc>
          <w:tcPr>
            <w:tcW w:w="23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PWA</w:t>
            </w:r>
          </w:p>
        </w:tc>
        <w:tc>
          <w:tcPr>
            <w:tcW w:w="2974"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frontend/public/service-worker.js, frontend/public/manifest.json</w:t>
            </w:r>
          </w:p>
        </w:tc>
        <w:tc>
          <w:tcPr>
            <w:tcW w:w="444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Cache del shell, soporte offline acotado y reintentos de escrituras permitidas.</w:t>
            </w:r>
          </w:p>
        </w:tc>
      </w:tr>
    </w:tbl>
    <w:p>
      <w:pPr>
        <w:pStyle w:val="Normal"/>
        <w:rPr>
          <w:lang w:val="es-CO"/>
        </w:rPr>
      </w:pPr>
      <w:r>
        <w:rPr>
          <w:lang w:val="es-CO"/>
        </w:rPr>
      </w:r>
    </w:p>
    <w:p>
      <w:pPr>
        <w:pStyle w:val="Heading2"/>
        <w:rPr/>
      </w:pPr>
      <w:bookmarkStart w:id="16" w:name="__RefHeading___Toc7019_3389959019"/>
      <w:bookmarkStart w:id="17" w:name="_Toc231224315"/>
      <w:bookmarkEnd w:id="16"/>
      <w:r>
        <w:rPr/>
        <w:t>Estructura del proyecto</w:t>
      </w:r>
      <w:bookmarkEnd w:id="17"/>
    </w:p>
    <w:tbl>
      <w:tblPr>
        <w:tblW w:w="9742"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3371"/>
        <w:gridCol w:w="6370"/>
      </w:tblGrid>
      <w:tr>
        <w:trPr>
          <w:tblHeader w:val="true"/>
        </w:trPr>
        <w:tc>
          <w:tcPr>
            <w:tcW w:w="3371"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Ruta</w:t>
            </w:r>
          </w:p>
        </w:tc>
        <w:tc>
          <w:tcPr>
            <w:tcW w:w="637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Uso</w:t>
            </w:r>
          </w:p>
        </w:tc>
      </w:tr>
      <w:tr>
        <w:trPr/>
        <w:tc>
          <w:tcPr>
            <w:tcW w:w="3371"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w:t>
            </w:r>
          </w:p>
        </w:tc>
        <w:tc>
          <w:tcPr>
            <w:tcW w:w="637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Interfaz de usuario.</w:t>
            </w:r>
          </w:p>
        </w:tc>
      </w:tr>
      <w:tr>
        <w:trPr/>
        <w:tc>
          <w:tcPr>
            <w:tcW w:w="3371"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w:t>
            </w:r>
          </w:p>
        </w:tc>
        <w:tc>
          <w:tcPr>
            <w:tcW w:w="637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API y acceso a datos.</w:t>
            </w:r>
          </w:p>
        </w:tc>
      </w:tr>
      <w:tr>
        <w:trPr/>
        <w:tc>
          <w:tcPr>
            <w:tcW w:w="3371"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scripts/cargas_bd/</w:t>
            </w:r>
          </w:p>
        </w:tc>
        <w:tc>
          <w:tcPr>
            <w:tcW w:w="637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Servicios de carga Excel hacia staging Oracle y ejecución ETL.</w:t>
            </w:r>
          </w:p>
        </w:tc>
      </w:tr>
      <w:tr>
        <w:trPr/>
        <w:tc>
          <w:tcPr>
            <w:tcW w:w="3371"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documentacion/documentacion_tecnica/base_datos/</w:t>
            </w:r>
          </w:p>
        </w:tc>
        <w:tc>
          <w:tcPr>
            <w:tcW w:w="637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Documentos del modelo de datos.</w:t>
            </w:r>
          </w:p>
        </w:tc>
      </w:tr>
      <w:tr>
        <w:trPr/>
        <w:tc>
          <w:tcPr>
            <w:tcW w:w="3371"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documentacion/documentacion_tecnica/</w:t>
            </w:r>
          </w:p>
        </w:tc>
        <w:tc>
          <w:tcPr>
            <w:tcW w:w="637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Documentación técnica formal del proyecto.</w:t>
            </w:r>
          </w:p>
        </w:tc>
      </w:tr>
    </w:tbl>
    <w:p>
      <w:pPr>
        <w:pStyle w:val="Normal"/>
        <w:rPr>
          <w:lang w:val="es-CO"/>
        </w:rPr>
      </w:pPr>
      <w:r>
        <w:rPr>
          <w:lang w:val="es-CO"/>
        </w:rPr>
      </w:r>
    </w:p>
    <w:p>
      <w:pPr>
        <w:pStyle w:val="Heading2"/>
        <w:rPr>
          <w:lang w:val="es-CO"/>
        </w:rPr>
      </w:pPr>
      <w:bookmarkStart w:id="18" w:name="__RefHeading___Toc7021_3389959019"/>
      <w:bookmarkStart w:id="19" w:name="_Toc231224316"/>
      <w:bookmarkEnd w:id="18"/>
      <w:r>
        <w:rPr>
          <w:lang w:val="es-CO"/>
        </w:rPr>
        <w:t>Configuración del backend</w:t>
      </w:r>
      <w:bookmarkEnd w:id="19"/>
    </w:p>
    <w:p>
      <w:pPr>
        <w:pStyle w:val="Normal"/>
        <w:spacing w:before="0" w:after="60"/>
        <w:rPr>
          <w:lang w:val="es-CO"/>
        </w:rPr>
      </w:pPr>
      <w:r>
        <w:rPr>
          <w:color w:val="1F2937"/>
          <w:sz w:val="18"/>
          <w:lang w:val="es-CO"/>
        </w:rPr>
        <w:t xml:space="preserve">El backend se inicia desde </w:t>
      </w:r>
      <w:r>
        <w:rPr>
          <w:rFonts w:eastAsia="Consolas" w:ascii="Consolas" w:hAnsi="Consolas"/>
          <w:color w:val="111827"/>
          <w:sz w:val="16"/>
          <w:lang w:val="es-CO"/>
        </w:rPr>
        <w:t>backend/index.js</w:t>
      </w:r>
      <w:r>
        <w:rPr>
          <w:color w:val="1F2937"/>
          <w:sz w:val="18"/>
          <w:lang w:val="es-CO"/>
        </w:rPr>
        <w:t xml:space="preserve">. Carga variables con </w:t>
      </w:r>
      <w:r>
        <w:rPr>
          <w:rFonts w:eastAsia="Consolas" w:ascii="Consolas" w:hAnsi="Consolas"/>
          <w:color w:val="111827"/>
          <w:sz w:val="16"/>
          <w:lang w:val="es-CO"/>
        </w:rPr>
        <w:t>dotenv</w:t>
      </w:r>
      <w:r>
        <w:rPr>
          <w:color w:val="1F2937"/>
          <w:sz w:val="18"/>
          <w:lang w:val="es-CO"/>
        </w:rPr>
        <w:t xml:space="preserve">, usando </w:t>
      </w:r>
      <w:r>
        <w:rPr>
          <w:rFonts w:eastAsia="Consolas" w:ascii="Consolas" w:hAnsi="Consolas"/>
          <w:color w:val="111827"/>
          <w:sz w:val="16"/>
          <w:lang w:val="es-CO"/>
        </w:rPr>
        <w:t>DOTENV_CONFIG_PATH</w:t>
      </w:r>
      <w:r>
        <w:rPr>
          <w:color w:val="1F2937"/>
          <w:sz w:val="18"/>
          <w:lang w:val="es-CO"/>
        </w:rPr>
        <w:t xml:space="preserve"> si se define o </w:t>
      </w:r>
      <w:r>
        <w:rPr>
          <w:rFonts w:eastAsia="Consolas" w:ascii="Consolas" w:hAnsi="Consolas"/>
          <w:color w:val="111827"/>
          <w:sz w:val="16"/>
          <w:lang w:val="es-CO"/>
        </w:rPr>
        <w:t>backend/.env</w:t>
      </w:r>
      <w:r>
        <w:rPr>
          <w:color w:val="1F2937"/>
          <w:sz w:val="18"/>
          <w:lang w:val="es-CO"/>
        </w:rPr>
        <w:t xml:space="preserve"> por defecto.</w:t>
      </w:r>
    </w:p>
    <w:p>
      <w:pPr>
        <w:pStyle w:val="Normal"/>
        <w:spacing w:before="0" w:after="60"/>
        <w:rPr/>
      </w:pPr>
      <w:r>
        <w:rPr>
          <w:color w:val="1F2937"/>
          <w:sz w:val="18"/>
        </w:rPr>
        <w:t>Funciones principales:</w:t>
      </w:r>
    </w:p>
    <w:p>
      <w:pPr>
        <w:pStyle w:val="ListBullet"/>
        <w:numPr>
          <w:ilvl w:val="0"/>
          <w:numId w:val="1"/>
        </w:numPr>
        <w:spacing w:before="0" w:after="60"/>
        <w:contextualSpacing/>
        <w:rPr/>
      </w:pPr>
      <w:r>
        <w:rPr>
          <w:color w:val="1F2937"/>
        </w:rPr>
        <w:t>Configuración de Helmet.</w:t>
      </w:r>
    </w:p>
    <w:p>
      <w:pPr>
        <w:pStyle w:val="ListBullet"/>
        <w:numPr>
          <w:ilvl w:val="0"/>
          <w:numId w:val="1"/>
        </w:numPr>
        <w:spacing w:before="0" w:after="60"/>
        <w:contextualSpacing/>
        <w:rPr/>
      </w:pPr>
      <w:r>
        <w:rPr>
          <w:color w:val="1F2937"/>
        </w:rPr>
        <w:t>Configuración de CORS.</w:t>
      </w:r>
    </w:p>
    <w:p>
      <w:pPr>
        <w:pStyle w:val="ListBullet"/>
        <w:numPr>
          <w:ilvl w:val="0"/>
          <w:numId w:val="1"/>
        </w:numPr>
        <w:spacing w:before="0" w:after="60"/>
        <w:contextualSpacing/>
        <w:rPr/>
      </w:pPr>
      <w:r>
        <w:rPr>
          <w:color w:val="1F2937"/>
        </w:rPr>
        <w:t xml:space="preserve">Límite JSON de </w:t>
      </w:r>
      <w:r>
        <w:rPr>
          <w:rFonts w:eastAsia="Consolas" w:ascii="Consolas" w:hAnsi="Consolas"/>
          <w:color w:val="111827"/>
          <w:sz w:val="16"/>
        </w:rPr>
        <w:t>256kb</w:t>
      </w:r>
      <w:r>
        <w:rPr>
          <w:color w:val="1F2937"/>
        </w:rPr>
        <w:t>.</w:t>
      </w:r>
    </w:p>
    <w:p>
      <w:pPr>
        <w:pStyle w:val="ListBullet"/>
        <w:numPr>
          <w:ilvl w:val="0"/>
          <w:numId w:val="1"/>
        </w:numPr>
        <w:spacing w:before="0" w:after="60"/>
        <w:contextualSpacing/>
        <w:rPr>
          <w:lang w:val="es-CO"/>
        </w:rPr>
      </w:pPr>
      <w:r>
        <w:rPr>
          <w:color w:val="1F2937"/>
          <w:lang w:val="es-CO"/>
        </w:rPr>
        <w:t>Rutas públicas de salud y autenticación.</w:t>
      </w:r>
    </w:p>
    <w:p>
      <w:pPr>
        <w:pStyle w:val="ListBullet"/>
        <w:numPr>
          <w:ilvl w:val="0"/>
          <w:numId w:val="1"/>
        </w:numPr>
        <w:spacing w:before="0" w:after="60"/>
        <w:contextualSpacing/>
        <w:rPr/>
      </w:pPr>
      <w:r>
        <w:rPr>
          <w:color w:val="1F2937"/>
        </w:rPr>
        <w:t>Rutas protegidas de negocio.</w:t>
      </w:r>
    </w:p>
    <w:p>
      <w:pPr>
        <w:pStyle w:val="ListBullet"/>
        <w:numPr>
          <w:ilvl w:val="0"/>
          <w:numId w:val="1"/>
        </w:numPr>
        <w:spacing w:before="0" w:after="60"/>
        <w:contextualSpacing/>
        <w:rPr>
          <w:lang w:val="es-CO"/>
        </w:rPr>
      </w:pPr>
      <w:r>
        <w:rPr>
          <w:color w:val="1F2937"/>
          <w:lang w:val="es-CO"/>
        </w:rPr>
        <w:t>Rutas administrativas para carga mensual de archivos Excel a staging/ETL.</w:t>
      </w:r>
    </w:p>
    <w:p>
      <w:pPr>
        <w:pStyle w:val="ListBullet"/>
        <w:numPr>
          <w:ilvl w:val="0"/>
          <w:numId w:val="1"/>
        </w:numPr>
        <w:spacing w:before="0" w:after="60"/>
        <w:contextualSpacing/>
        <w:rPr>
          <w:lang w:val="es-CO"/>
        </w:rPr>
      </w:pPr>
      <w:r>
        <w:rPr>
          <w:color w:val="1F2937"/>
          <w:lang w:val="es-CO"/>
        </w:rPr>
        <w:t>Servicio estático de frontend compilado.</w:t>
      </w:r>
    </w:p>
    <w:p>
      <w:pPr>
        <w:pStyle w:val="ListBullet"/>
        <w:numPr>
          <w:ilvl w:val="0"/>
          <w:numId w:val="1"/>
        </w:numPr>
        <w:spacing w:before="0" w:after="60"/>
        <w:contextualSpacing/>
        <w:rPr>
          <w:lang w:val="es-CO"/>
        </w:rPr>
      </w:pPr>
      <w:r>
        <w:rPr>
          <w:color w:val="1F2937"/>
          <w:lang w:val="es-CO"/>
        </w:rPr>
        <w:t>Cierre ordenado del pool Oracle.</w:t>
      </w:r>
    </w:p>
    <w:p>
      <w:pPr>
        <w:pStyle w:val="Heading3"/>
        <w:rPr>
          <w:lang w:val="es-CO"/>
        </w:rPr>
      </w:pPr>
      <w:bookmarkStart w:id="20" w:name="__RefHeading___Toc7023_3389959019"/>
      <w:bookmarkStart w:id="21" w:name="_Toc231224317"/>
      <w:bookmarkEnd w:id="20"/>
      <w:r>
        <w:rPr>
          <w:lang w:val="es-CO"/>
        </w:rPr>
        <w:t>Seguridad HTTP y CORS</w:t>
      </w:r>
      <w:bookmarkEnd w:id="21"/>
    </w:p>
    <w:p>
      <w:pPr>
        <w:pStyle w:val="Normal"/>
        <w:spacing w:before="0" w:after="60"/>
        <w:rPr/>
      </w:pPr>
      <w:r>
        <w:rPr>
          <w:color w:val="1F2937"/>
          <w:sz w:val="18"/>
          <w:lang w:val="es-CO"/>
        </w:rPr>
        <w:t xml:space="preserve">El backend aplica </w:t>
      </w:r>
      <w:r>
        <w:rPr>
          <w:rFonts w:eastAsia="Consolas" w:ascii="Consolas" w:hAnsi="Consolas"/>
          <w:color w:val="111827"/>
          <w:sz w:val="16"/>
          <w:lang w:val="es-CO"/>
        </w:rPr>
        <w:t>helmet</w:t>
      </w:r>
      <w:r>
        <w:rPr>
          <w:color w:val="1F2937"/>
          <w:sz w:val="18"/>
          <w:lang w:val="es-CO"/>
        </w:rPr>
        <w:t xml:space="preserve"> y deshabilita </w:t>
      </w:r>
      <w:r>
        <w:rPr>
          <w:rFonts w:eastAsia="Consolas" w:ascii="Consolas" w:hAnsi="Consolas"/>
          <w:color w:val="111827"/>
          <w:sz w:val="16"/>
          <w:lang w:val="es-CO"/>
        </w:rPr>
        <w:t>x-powered-by</w:t>
      </w:r>
      <w:r>
        <w:rPr>
          <w:color w:val="1F2937"/>
          <w:sz w:val="18"/>
          <w:lang w:val="es-CO"/>
        </w:rPr>
        <w:t xml:space="preserve">. La política CSP restringe carga de scripts y estilos al mismo origen, permite conexión a Microsoft para autenticación y bloquea </w:t>
      </w:r>
      <w:r>
        <w:rPr>
          <w:rFonts w:eastAsia="Consolas" w:ascii="Consolas" w:hAnsi="Consolas"/>
          <w:color w:val="111827"/>
          <w:sz w:val="16"/>
          <w:lang w:val="es-CO"/>
        </w:rPr>
        <w:t>frame-ancestors</w:t>
      </w:r>
      <w:r>
        <w:rPr>
          <w:color w:val="1F2937"/>
          <w:sz w:val="18"/>
          <w:lang w:val="es-CO"/>
        </w:rPr>
        <w:t xml:space="preserve">. </w:t>
      </w:r>
      <w:r>
        <w:rPr>
          <w:color w:val="1F2937"/>
          <w:sz w:val="18"/>
        </w:rPr>
        <w:t>El CORS se resuelve por solicitud:</w:t>
      </w:r>
    </w:p>
    <w:p>
      <w:pPr>
        <w:pStyle w:val="ListBullet"/>
        <w:numPr>
          <w:ilvl w:val="0"/>
          <w:numId w:val="1"/>
        </w:numPr>
        <w:spacing w:before="0" w:after="60"/>
        <w:contextualSpacing/>
        <w:rPr>
          <w:lang w:val="es-CO"/>
        </w:rPr>
      </w:pPr>
      <w:r>
        <w:rPr>
          <w:color w:val="1F2937"/>
          <w:lang w:val="es-CO"/>
        </w:rPr>
        <w:t xml:space="preserve">Si no existe encabezado </w:t>
      </w:r>
      <w:r>
        <w:rPr>
          <w:rFonts w:eastAsia="Consolas" w:ascii="Consolas" w:hAnsi="Consolas"/>
          <w:color w:val="111827"/>
          <w:sz w:val="16"/>
          <w:lang w:val="es-CO"/>
        </w:rPr>
        <w:t>Origin</w:t>
      </w:r>
      <w:r>
        <w:rPr>
          <w:color w:val="1F2937"/>
          <w:lang w:val="es-CO"/>
        </w:rPr>
        <w:t>, la solicitud se acepta.</w:t>
      </w:r>
    </w:p>
    <w:p>
      <w:pPr>
        <w:pStyle w:val="ListBullet"/>
        <w:numPr>
          <w:ilvl w:val="0"/>
          <w:numId w:val="1"/>
        </w:numPr>
        <w:spacing w:before="0" w:after="60"/>
        <w:contextualSpacing/>
        <w:rPr>
          <w:lang w:val="es-CO"/>
        </w:rPr>
      </w:pPr>
      <w:r>
        <w:rPr>
          <w:color w:val="1F2937"/>
          <w:lang w:val="es-CO"/>
        </w:rPr>
        <w:t>Si el origen coincide con el mismo host calculado por proxy, se acepta.</w:t>
      </w:r>
    </w:p>
    <w:p>
      <w:pPr>
        <w:pStyle w:val="ListBullet"/>
        <w:numPr>
          <w:ilvl w:val="0"/>
          <w:numId w:val="1"/>
        </w:numPr>
        <w:spacing w:before="0" w:after="60"/>
        <w:contextualSpacing/>
        <w:rPr>
          <w:lang w:val="es-CO"/>
        </w:rPr>
      </w:pPr>
      <w:r>
        <w:rPr>
          <w:color w:val="1F2937"/>
          <w:lang w:val="es-CO"/>
        </w:rPr>
        <w:t xml:space="preserve">Si el origen aparece en </w:t>
      </w:r>
      <w:r>
        <w:rPr>
          <w:rFonts w:eastAsia="Consolas" w:ascii="Consolas" w:hAnsi="Consolas"/>
          <w:color w:val="111827"/>
          <w:sz w:val="16"/>
          <w:lang w:val="es-CO"/>
        </w:rPr>
        <w:t>CORS_ORIGIN</w:t>
      </w:r>
      <w:r>
        <w:rPr>
          <w:color w:val="1F2937"/>
          <w:lang w:val="es-CO"/>
        </w:rPr>
        <w:t>, se acepta.</w:t>
      </w:r>
    </w:p>
    <w:p>
      <w:pPr>
        <w:pStyle w:val="ListBullet"/>
        <w:numPr>
          <w:ilvl w:val="0"/>
          <w:numId w:val="1"/>
        </w:numPr>
        <w:spacing w:before="0" w:after="60"/>
        <w:contextualSpacing/>
        <w:rPr>
          <w:lang w:val="es-CO"/>
        </w:rPr>
      </w:pPr>
      <w:r>
        <w:rPr>
          <w:color w:val="1F2937"/>
          <w:lang w:val="es-CO"/>
        </w:rPr>
        <w:t>En desarrollo, si no se configuró lista explícita, se permite el origen.</w:t>
      </w:r>
    </w:p>
    <w:p>
      <w:pPr>
        <w:pStyle w:val="ListBullet"/>
        <w:numPr>
          <w:ilvl w:val="0"/>
          <w:numId w:val="1"/>
        </w:numPr>
        <w:spacing w:before="0" w:after="60"/>
        <w:contextualSpacing/>
        <w:rPr>
          <w:lang w:val="es-CO"/>
        </w:rPr>
      </w:pPr>
      <w:r>
        <w:rPr>
          <w:color w:val="1F2937"/>
          <w:lang w:val="es-CO"/>
        </w:rPr>
        <w:t>En producción, los orígenes no autorizados se rechazan.</w:t>
      </w:r>
    </w:p>
    <w:p>
      <w:pPr>
        <w:pStyle w:val="Normal"/>
        <w:spacing w:before="0" w:after="60"/>
        <w:rPr>
          <w:lang w:val="es-CO"/>
        </w:rPr>
      </w:pPr>
      <w:r>
        <w:rPr>
          <w:color w:val="1F2937"/>
          <w:sz w:val="18"/>
          <w:lang w:val="es-CO"/>
        </w:rPr>
        <w:t xml:space="preserve">El tamaño máximo del cuerpo JSON está limitado a </w:t>
      </w:r>
      <w:r>
        <w:rPr>
          <w:rFonts w:eastAsia="Consolas" w:ascii="Consolas" w:hAnsi="Consolas"/>
          <w:color w:val="111827"/>
          <w:sz w:val="16"/>
          <w:lang w:val="es-CO"/>
        </w:rPr>
        <w:t>256kb</w:t>
      </w:r>
      <w:r>
        <w:rPr>
          <w:color w:val="1F2937"/>
          <w:sz w:val="18"/>
          <w:lang w:val="es-CO"/>
        </w:rPr>
        <w:t>, lo cual reduce riesgo de cargas accidentales por rutas transaccionales.</w:t>
      </w:r>
    </w:p>
    <w:p>
      <w:pPr>
        <w:pStyle w:val="Heading3"/>
        <w:rPr>
          <w:lang w:val="es-CO"/>
        </w:rPr>
      </w:pPr>
      <w:bookmarkStart w:id="22" w:name="__RefHeading___Toc7025_3389959019"/>
      <w:bookmarkStart w:id="23" w:name="_Toc231224318"/>
      <w:bookmarkEnd w:id="22"/>
      <w:r>
        <w:rPr>
          <w:lang w:val="es-CO"/>
        </w:rPr>
        <w:t>Autenticación y roles</w:t>
      </w:r>
      <w:bookmarkEnd w:id="23"/>
    </w:p>
    <w:p>
      <w:pPr>
        <w:pStyle w:val="Normal"/>
        <w:spacing w:before="0" w:after="60"/>
        <w:rPr>
          <w:lang w:val="es-CO"/>
        </w:rPr>
      </w:pPr>
      <w:r>
        <w:rPr>
          <w:color w:val="1F2937"/>
          <w:sz w:val="18"/>
          <w:lang w:val="es-CO"/>
        </w:rPr>
        <w:t>Aurora usa dos niveles de autenticación:</w:t>
      </w:r>
    </w:p>
    <w:p>
      <w:pPr>
        <w:pStyle w:val="ListNumber"/>
        <w:numPr>
          <w:ilvl w:val="0"/>
          <w:numId w:val="4"/>
        </w:numPr>
        <w:spacing w:before="0" w:after="60"/>
        <w:contextualSpacing/>
        <w:rPr>
          <w:lang w:val="es-CO"/>
        </w:rPr>
      </w:pPr>
      <w:r>
        <w:rPr>
          <w:color w:val="1F2937"/>
          <w:lang w:val="es-CO"/>
        </w:rPr>
        <w:t>Validación de identidad externa o local.</w:t>
      </w:r>
    </w:p>
    <w:p>
      <w:pPr>
        <w:pStyle w:val="ListNumber"/>
        <w:numPr>
          <w:ilvl w:val="0"/>
          <w:numId w:val="4"/>
        </w:numPr>
        <w:spacing w:before="0" w:after="60"/>
        <w:contextualSpacing/>
        <w:rPr>
          <w:lang w:val="es-CO"/>
        </w:rPr>
      </w:pPr>
      <w:r>
        <w:rPr>
          <w:color w:val="1F2937"/>
          <w:lang w:val="es-CO"/>
        </w:rPr>
        <w:t>Emisión de token interno de aplicación.</w:t>
      </w:r>
    </w:p>
    <w:p>
      <w:pPr>
        <w:pStyle w:val="Normal"/>
        <w:spacing w:before="0" w:after="60"/>
        <w:rPr>
          <w:lang w:val="es-CO"/>
        </w:rPr>
      </w:pPr>
      <w:r>
        <w:rPr>
          <w:color w:val="1F2937"/>
          <w:sz w:val="18"/>
          <w:lang w:val="es-CO"/>
        </w:rPr>
        <w:t xml:space="preserve">En Azure AD, el backend valida el </w:t>
      </w:r>
      <w:r>
        <w:rPr>
          <w:rFonts w:eastAsia="Consolas" w:ascii="Consolas" w:hAnsi="Consolas"/>
          <w:color w:val="111827"/>
          <w:sz w:val="16"/>
          <w:lang w:val="es-CO"/>
        </w:rPr>
        <w:t>idToken</w:t>
      </w:r>
      <w:r>
        <w:rPr>
          <w:color w:val="1F2937"/>
          <w:sz w:val="18"/>
          <w:lang w:val="es-CO"/>
        </w:rPr>
        <w:t xml:space="preserve"> con JWKS de Microsoft, verifica </w:t>
      </w:r>
      <w:r>
        <w:rPr>
          <w:rFonts w:eastAsia="Consolas" w:ascii="Consolas" w:hAnsi="Consolas"/>
          <w:color w:val="111827"/>
          <w:sz w:val="16"/>
          <w:lang w:val="es-CO"/>
        </w:rPr>
        <w:t>tenant</w:t>
      </w:r>
      <w:r>
        <w:rPr>
          <w:color w:val="1F2937"/>
          <w:sz w:val="18"/>
          <w:lang w:val="es-CO"/>
        </w:rPr>
        <w:t xml:space="preserve">, </w:t>
      </w:r>
      <w:r>
        <w:rPr>
          <w:rFonts w:eastAsia="Consolas" w:ascii="Consolas" w:hAnsi="Consolas"/>
          <w:color w:val="111827"/>
          <w:sz w:val="16"/>
          <w:lang w:val="es-CO"/>
        </w:rPr>
        <w:t>audience</w:t>
      </w:r>
      <w:r>
        <w:rPr>
          <w:color w:val="1F2937"/>
          <w:sz w:val="18"/>
          <w:lang w:val="es-CO"/>
        </w:rPr>
        <w:t xml:space="preserve"> e </w:t>
      </w:r>
      <w:r>
        <w:rPr>
          <w:rFonts w:eastAsia="Consolas" w:ascii="Consolas" w:hAnsi="Consolas"/>
          <w:color w:val="111827"/>
          <w:sz w:val="16"/>
          <w:lang w:val="es-CO"/>
        </w:rPr>
        <w:t>issuer</w:t>
      </w:r>
      <w:r>
        <w:rPr>
          <w:color w:val="1F2937"/>
          <w:sz w:val="18"/>
          <w:lang w:val="es-CO"/>
        </w:rPr>
        <w:t xml:space="preserve">, y opcionalmente valida dominios, grupos o roles requeridos. En autenticación local, el usuario administrativo solo se permite si </w:t>
      </w:r>
      <w:r>
        <w:rPr>
          <w:rFonts w:eastAsia="Consolas" w:ascii="Consolas" w:hAnsi="Consolas"/>
          <w:color w:val="111827"/>
          <w:sz w:val="16"/>
          <w:lang w:val="es-CO"/>
        </w:rPr>
        <w:t>AUTH_LOCAL_ADMIN_ENABLED</w:t>
      </w:r>
      <w:r>
        <w:rPr>
          <w:color w:val="1F2937"/>
          <w:sz w:val="18"/>
          <w:lang w:val="es-CO"/>
        </w:rPr>
        <w:t xml:space="preserve"> lo habilita; en producción no se admiten credenciales por defecto.</w:t>
      </w:r>
    </w:p>
    <w:p>
      <w:pPr>
        <w:pStyle w:val="Normal"/>
        <w:spacing w:before="0" w:after="60"/>
        <w:rPr>
          <w:lang w:val="es-CO"/>
        </w:rPr>
      </w:pPr>
      <w:r>
        <w:rPr>
          <w:color w:val="1F2937"/>
          <w:sz w:val="18"/>
          <w:lang w:val="es-CO"/>
        </w:rPr>
        <w:t xml:space="preserve">El token interno se firma con </w:t>
      </w:r>
      <w:r>
        <w:rPr>
          <w:rFonts w:eastAsia="Consolas" w:ascii="Consolas" w:hAnsi="Consolas"/>
          <w:color w:val="111827"/>
          <w:sz w:val="16"/>
          <w:lang w:val="es-CO"/>
        </w:rPr>
        <w:t>AUTH_JWT_SECRET</w:t>
      </w:r>
      <w:r>
        <w:rPr>
          <w:color w:val="1F2937"/>
          <w:sz w:val="18"/>
          <w:lang w:val="es-CO"/>
        </w:rPr>
        <w:t xml:space="preserve">, algoritmo </w:t>
      </w:r>
      <w:r>
        <w:rPr>
          <w:rFonts w:eastAsia="Consolas" w:ascii="Consolas" w:hAnsi="Consolas"/>
          <w:color w:val="111827"/>
          <w:sz w:val="16"/>
          <w:lang w:val="es-CO"/>
        </w:rPr>
        <w:t>HS256</w:t>
      </w:r>
      <w:r>
        <w:rPr>
          <w:color w:val="1F2937"/>
          <w:sz w:val="18"/>
          <w:lang w:val="es-CO"/>
        </w:rPr>
        <w:t xml:space="preserve">, </w:t>
      </w:r>
      <w:r>
        <w:rPr>
          <w:rFonts w:eastAsia="Consolas" w:ascii="Consolas" w:hAnsi="Consolas"/>
          <w:color w:val="111827"/>
          <w:sz w:val="16"/>
          <w:lang w:val="es-CO"/>
        </w:rPr>
        <w:t>issuer</w:t>
      </w:r>
      <w:r>
        <w:rPr>
          <w:color w:val="1F2937"/>
          <w:sz w:val="18"/>
          <w:lang w:val="es-CO"/>
        </w:rPr>
        <w:t xml:space="preserve"> y </w:t>
      </w:r>
      <w:r>
        <w:rPr>
          <w:rFonts w:eastAsia="Consolas" w:ascii="Consolas" w:hAnsi="Consolas"/>
          <w:color w:val="111827"/>
          <w:sz w:val="16"/>
          <w:lang w:val="es-CO"/>
        </w:rPr>
        <w:t>audience</w:t>
      </w:r>
      <w:r>
        <w:rPr>
          <w:color w:val="1F2937"/>
          <w:sz w:val="18"/>
          <w:lang w:val="es-CO"/>
        </w:rPr>
        <w:t xml:space="preserve"> configurables. La duración estándar se controla con </w:t>
      </w:r>
      <w:r>
        <w:rPr>
          <w:rFonts w:eastAsia="Consolas" w:ascii="Consolas" w:hAnsi="Consolas"/>
          <w:color w:val="111827"/>
          <w:sz w:val="16"/>
          <w:lang w:val="es-CO"/>
        </w:rPr>
        <w:t>AUTH_TOKEN_TTL</w:t>
      </w:r>
      <w:r>
        <w:rPr>
          <w:color w:val="1F2937"/>
          <w:sz w:val="18"/>
          <w:lang w:val="es-CO"/>
        </w:rPr>
        <w:t xml:space="preserve"> y la sesión recordada con </w:t>
      </w:r>
      <w:r>
        <w:rPr>
          <w:rFonts w:eastAsia="Consolas" w:ascii="Consolas" w:hAnsi="Consolas"/>
          <w:color w:val="111827"/>
          <w:sz w:val="16"/>
          <w:lang w:val="es-CO"/>
        </w:rPr>
        <w:t>AUTH_REMEMBER_TOKEN_TTL</w:t>
      </w:r>
      <w:r>
        <w:rPr>
          <w:color w:val="1F2937"/>
          <w:sz w:val="18"/>
          <w:lang w:val="es-CO"/>
        </w:rPr>
        <w:t>.</w:t>
      </w:r>
    </w:p>
    <w:p>
      <w:pPr>
        <w:pStyle w:val="Normal"/>
        <w:spacing w:before="0" w:after="60"/>
        <w:rPr/>
      </w:pPr>
      <w:r>
        <w:rPr>
          <w:color w:val="1F2937"/>
          <w:sz w:val="18"/>
        </w:rPr>
        <w:t>Roles funcionales:</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890"/>
        <w:gridCol w:w="6690"/>
      </w:tblGrid>
      <w:tr>
        <w:trPr>
          <w:tblHeader w:val="true"/>
        </w:trPr>
        <w:tc>
          <w:tcPr>
            <w:tcW w:w="28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Rol</w:t>
            </w:r>
          </w:p>
        </w:tc>
        <w:tc>
          <w:tcPr>
            <w:tcW w:w="66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Uso técnico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user</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Acceso a rutas protegidas ordinarias: consulta, formularios, formatos, defensores y asignaciones según interfaz.</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admin</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Acceso ordinario y operación del módulo administrativo de cargas, cuando esté permitido por CARGUEBD_ADMIN_ROLES.</w:t>
            </w:r>
          </w:p>
        </w:tc>
      </w:tr>
    </w:tbl>
    <w:p>
      <w:pPr>
        <w:pStyle w:val="Normal"/>
        <w:rPr>
          <w:lang w:val="es-CO"/>
        </w:rPr>
      </w:pPr>
      <w:r>
        <w:rPr>
          <w:lang w:val="es-CO"/>
        </w:rPr>
      </w:r>
    </w:p>
    <w:p>
      <w:pPr>
        <w:pStyle w:val="Normal"/>
        <w:spacing w:before="0" w:after="60"/>
        <w:rPr>
          <w:lang w:val="es-CO"/>
        </w:rPr>
      </w:pPr>
      <w:r>
        <w:rPr>
          <w:color w:val="1F2937"/>
          <w:sz w:val="18"/>
          <w:lang w:val="es-CO"/>
        </w:rPr>
        <w:t xml:space="preserve">La ruta </w:t>
      </w:r>
      <w:r>
        <w:rPr>
          <w:rFonts w:eastAsia="Consolas" w:ascii="Consolas" w:hAnsi="Consolas"/>
          <w:color w:val="111827"/>
          <w:sz w:val="16"/>
          <w:lang w:val="es-CO"/>
        </w:rPr>
        <w:t>/api/admin/cargas</w:t>
      </w:r>
      <w:r>
        <w:rPr>
          <w:color w:val="1F2937"/>
          <w:sz w:val="18"/>
          <w:lang w:val="es-CO"/>
        </w:rPr>
        <w:t xml:space="preserve"> aplica validación adicional de rol administrativo. Si </w:t>
      </w:r>
      <w:r>
        <w:rPr>
          <w:rFonts w:eastAsia="Consolas" w:ascii="Consolas" w:hAnsi="Consolas"/>
          <w:color w:val="111827"/>
          <w:sz w:val="16"/>
          <w:lang w:val="es-CO"/>
        </w:rPr>
        <w:t>CARGUEBD_ADMIN_ROLES</w:t>
      </w:r>
      <w:r>
        <w:rPr>
          <w:color w:val="1F2937"/>
          <w:sz w:val="18"/>
          <w:lang w:val="es-CO"/>
        </w:rPr>
        <w:t xml:space="preserve"> se configura, el usuario autenticado debe tener al menos uno de esos roles.</w:t>
      </w:r>
    </w:p>
    <w:p>
      <w:pPr>
        <w:pStyle w:val="Normal"/>
        <w:rPr/>
      </w:pPr>
      <w:r>
        <w:rPr/>
        <w:t>Adicionalmente, AZURE_AD_ADMIN_GROUP_IDS permite mapear Object IDs de grupos de Microsoft Entra ID al rol interno admin de Aurora. Esta variable se usa para diferenciar grupos con ingreso autorizado de grupos con permisos administrativos dentro de la aplicación.</w:t>
      </w:r>
    </w:p>
    <w:p>
      <w:pPr>
        <w:pStyle w:val="Heading2"/>
        <w:rPr>
          <w:lang w:val="es-CO"/>
        </w:rPr>
      </w:pPr>
      <w:bookmarkStart w:id="24" w:name="__RefHeading___Toc7027_3389959019"/>
      <w:bookmarkStart w:id="25" w:name="_Toc231224319"/>
      <w:bookmarkEnd w:id="24"/>
      <w:r>
        <w:rPr>
          <w:lang w:val="es-CO"/>
        </w:rPr>
        <w:t>Configuración del frontend</w:t>
      </w:r>
      <w:bookmarkEnd w:id="25"/>
    </w:p>
    <w:p>
      <w:pPr>
        <w:pStyle w:val="Normal"/>
        <w:spacing w:before="0" w:after="60"/>
        <w:rPr>
          <w:lang w:val="es-CO"/>
        </w:rPr>
      </w:pPr>
      <w:r>
        <w:rPr>
          <w:color w:val="1F2937"/>
          <w:sz w:val="18"/>
          <w:lang w:val="es-CO"/>
        </w:rPr>
        <w:t xml:space="preserve">El frontend está en </w:t>
      </w:r>
      <w:r>
        <w:rPr>
          <w:rFonts w:eastAsia="Consolas" w:ascii="Consolas" w:hAnsi="Consolas"/>
          <w:color w:val="111827"/>
          <w:sz w:val="16"/>
          <w:lang w:val="es-CO"/>
        </w:rPr>
        <w:t>frontend/</w:t>
      </w:r>
      <w:r>
        <w:rPr>
          <w:color w:val="1F2937"/>
          <w:sz w:val="18"/>
          <w:lang w:val="es-CO"/>
        </w:rPr>
        <w:t xml:space="preserve"> y se compila con Vite.</w:t>
      </w:r>
    </w:p>
    <w:p>
      <w:pPr>
        <w:pStyle w:val="Normal"/>
        <w:spacing w:before="0" w:after="60"/>
        <w:rPr/>
      </w:pPr>
      <w:r>
        <w:rPr>
          <w:color w:val="1F2937"/>
          <w:sz w:val="18"/>
        </w:rPr>
        <w:t>Variables relevantes:</w:t>
      </w:r>
    </w:p>
    <w:p>
      <w:pPr>
        <w:pStyle w:val="ListBullet"/>
        <w:numPr>
          <w:ilvl w:val="0"/>
          <w:numId w:val="1"/>
        </w:numPr>
        <w:spacing w:before="0" w:after="60"/>
        <w:contextualSpacing/>
        <w:rPr/>
      </w:pPr>
      <w:r>
        <w:rPr>
          <w:rFonts w:eastAsia="Consolas" w:ascii="Consolas" w:hAnsi="Consolas"/>
          <w:color w:val="111827"/>
          <w:sz w:val="16"/>
        </w:rPr>
        <w:t>VITE_API_BASE_URL</w:t>
      </w:r>
    </w:p>
    <w:p>
      <w:pPr>
        <w:pStyle w:val="ListBullet"/>
        <w:numPr>
          <w:ilvl w:val="0"/>
          <w:numId w:val="1"/>
        </w:numPr>
        <w:spacing w:before="0" w:after="60"/>
        <w:contextualSpacing/>
        <w:rPr/>
      </w:pPr>
      <w:r>
        <w:rPr>
          <w:rFonts w:eastAsia="Consolas" w:ascii="Consolas" w:hAnsi="Consolas"/>
          <w:color w:val="111827"/>
          <w:sz w:val="16"/>
        </w:rPr>
        <w:t>VITE_DEV_API_TARGET</w:t>
      </w:r>
    </w:p>
    <w:p>
      <w:pPr>
        <w:pStyle w:val="ListBullet"/>
        <w:numPr>
          <w:ilvl w:val="0"/>
          <w:numId w:val="1"/>
        </w:numPr>
        <w:spacing w:before="0" w:after="60"/>
        <w:contextualSpacing/>
        <w:rPr/>
      </w:pPr>
      <w:r>
        <w:rPr>
          <w:rFonts w:eastAsia="Consolas" w:ascii="Consolas" w:hAnsi="Consolas"/>
          <w:color w:val="111827"/>
          <w:sz w:val="16"/>
        </w:rPr>
        <w:t>VITE_DEV_PORT</w:t>
      </w:r>
    </w:p>
    <w:p>
      <w:pPr>
        <w:pStyle w:val="Normal"/>
        <w:spacing w:before="0" w:after="60"/>
        <w:rPr>
          <w:lang w:val="es-CO"/>
        </w:rPr>
      </w:pPr>
      <w:r>
        <w:rPr>
          <w:color w:val="1F2937"/>
          <w:sz w:val="18"/>
          <w:lang w:val="es-CO"/>
        </w:rPr>
        <w:t xml:space="preserve">En desarrollo, Vite usa proxy para </w:t>
      </w:r>
      <w:r>
        <w:rPr>
          <w:rFonts w:eastAsia="Consolas" w:ascii="Consolas" w:hAnsi="Consolas"/>
          <w:color w:val="111827"/>
          <w:sz w:val="16"/>
          <w:lang w:val="es-CO"/>
        </w:rPr>
        <w:t>/api</w:t>
      </w:r>
      <w:r>
        <w:rPr>
          <w:color w:val="1F2937"/>
          <w:sz w:val="18"/>
          <w:lang w:val="es-CO"/>
        </w:rPr>
        <w:t xml:space="preserve">. En producción con el backend como servidor único, se recomienda </w:t>
      </w:r>
      <w:r>
        <w:rPr>
          <w:rFonts w:eastAsia="Consolas" w:ascii="Consolas" w:hAnsi="Consolas"/>
          <w:color w:val="111827"/>
          <w:sz w:val="16"/>
          <w:lang w:val="es-CO"/>
        </w:rPr>
        <w:t>VITE_API_BASE_URL=/api</w:t>
      </w:r>
      <w:r>
        <w:rPr>
          <w:color w:val="1F2937"/>
          <w:sz w:val="18"/>
          <w:lang w:val="es-CO"/>
        </w:rPr>
        <w:t>.</w:t>
      </w:r>
    </w:p>
    <w:p>
      <w:pPr>
        <w:pStyle w:val="Heading3"/>
        <w:rPr/>
      </w:pPr>
      <w:bookmarkStart w:id="26" w:name="__RefHeading___Toc7029_3389959019"/>
      <w:bookmarkStart w:id="27" w:name="_Toc231224320"/>
      <w:bookmarkEnd w:id="26"/>
      <w:r>
        <w:rPr/>
        <w:t>Organización funcional del frontend</w:t>
      </w:r>
      <w:bookmarkEnd w:id="27"/>
    </w:p>
    <w:tbl>
      <w:tblPr>
        <w:tblW w:w="9742"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338"/>
        <w:gridCol w:w="2919"/>
        <w:gridCol w:w="4485"/>
      </w:tblGrid>
      <w:tr>
        <w:trPr>
          <w:tblHeader w:val="true"/>
        </w:trPr>
        <w:tc>
          <w:tcPr>
            <w:tcW w:w="2338"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Pantalla</w:t>
            </w:r>
          </w:p>
        </w:tc>
        <w:tc>
          <w:tcPr>
            <w:tcW w:w="2919"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Ruta fuente</w:t>
            </w:r>
          </w:p>
        </w:tc>
        <w:tc>
          <w:tcPr>
            <w:tcW w:w="4485"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Descripción técnica</w:t>
            </w:r>
          </w:p>
        </w:tc>
      </w:tr>
      <w:tr>
        <w:trPr/>
        <w:tc>
          <w:tcPr>
            <w:tcW w:w="233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Inicio</w:t>
            </w:r>
          </w:p>
        </w:tc>
        <w:tc>
          <w:tcPr>
            <w:tcW w:w="29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frontend/src/pages/Home.jsx</w:t>
            </w:r>
          </w:p>
        </w:tc>
        <w:tc>
          <w:tcPr>
            <w:tcW w:w="4485"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Panel de entrada a módulos principales.</w:t>
            </w:r>
          </w:p>
        </w:tc>
      </w:tr>
      <w:tr>
        <w:trPr/>
        <w:tc>
          <w:tcPr>
            <w:tcW w:w="233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Login</w:t>
            </w:r>
          </w:p>
        </w:tc>
        <w:tc>
          <w:tcPr>
            <w:tcW w:w="29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frontend/src/pages/LoginPage.jsx</w:t>
            </w:r>
          </w:p>
        </w:tc>
        <w:tc>
          <w:tcPr>
            <w:tcW w:w="4485"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Obtiene configuración de autenticación, invoca Azure AD o login local y almacena sesión.</w:t>
            </w:r>
          </w:p>
        </w:tc>
      </w:tr>
      <w:tr>
        <w:trPr/>
        <w:tc>
          <w:tcPr>
            <w:tcW w:w="233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Registros asignados</w:t>
            </w:r>
          </w:p>
        </w:tc>
        <w:tc>
          <w:tcPr>
            <w:tcW w:w="29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frontend/src/pages/RegistrosAsignados.jsx</w:t>
            </w:r>
          </w:p>
        </w:tc>
        <w:tc>
          <w:tcPr>
            <w:tcW w:w="4485"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Consulta listados, filtros y estados de actuación.</w:t>
            </w:r>
          </w:p>
        </w:tc>
      </w:tr>
      <w:tr>
        <w:trPr/>
        <w:tc>
          <w:tcPr>
            <w:tcW w:w="233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Formulario de atención</w:t>
            </w:r>
          </w:p>
        </w:tc>
        <w:tc>
          <w:tcPr>
            <w:tcW w:w="29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frontend/src/pages/FormularioAtencion.jsx</w:t>
            </w:r>
          </w:p>
        </w:tc>
        <w:tc>
          <w:tcPr>
            <w:tcW w:w="4485"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Orquesta captura progresiva, reglas de negocio, validación y guardado.</w:t>
            </w:r>
          </w:p>
        </w:tc>
      </w:tr>
      <w:tr>
        <w:trPr/>
        <w:tc>
          <w:tcPr>
            <w:tcW w:w="233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Asignación defensores</w:t>
            </w:r>
          </w:p>
        </w:tc>
        <w:tc>
          <w:tcPr>
            <w:tcW w:w="29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frontend/src/pages/AsignacionDefensores.jsx</w:t>
            </w:r>
          </w:p>
        </w:tc>
        <w:tc>
          <w:tcPr>
            <w:tcW w:w="4485"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Gestiona asignación y usa estado derivado para acción a impulsar.</w:t>
            </w:r>
          </w:p>
        </w:tc>
      </w:tr>
      <w:tr>
        <w:trPr/>
        <w:tc>
          <w:tcPr>
            <w:tcW w:w="233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Cargas BD</w:t>
            </w:r>
          </w:p>
        </w:tc>
        <w:tc>
          <w:tcPr>
            <w:tcW w:w="29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frontend/src/pages/AdminCargasBD.jsx</w:t>
            </w:r>
          </w:p>
        </w:tc>
        <w:tc>
          <w:tcPr>
            <w:tcW w:w="4485"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UI administrativa para subir archivos, consultar estado, logs y reintentar trabajos.</w:t>
            </w:r>
          </w:p>
        </w:tc>
      </w:tr>
      <w:tr>
        <w:trPr/>
        <w:tc>
          <w:tcPr>
            <w:tcW w:w="233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Caja de herramientas</w:t>
            </w:r>
          </w:p>
        </w:tc>
        <w:tc>
          <w:tcPr>
            <w:tcW w:w="29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frontend/src/pages/CajaHerramientas.jsx</w:t>
            </w:r>
          </w:p>
        </w:tc>
        <w:tc>
          <w:tcPr>
            <w:tcW w:w="4485"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Acceso a formatos y recursos de apoyo.</w:t>
            </w:r>
          </w:p>
        </w:tc>
      </w:tr>
      <w:tr>
        <w:trPr/>
        <w:tc>
          <w:tcPr>
            <w:tcW w:w="233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Manual interactivo</w:t>
            </w:r>
          </w:p>
        </w:tc>
        <w:tc>
          <w:tcPr>
            <w:tcW w:w="2919"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frontend/src/pages/ManualInteractivo.jsx</w:t>
            </w:r>
          </w:p>
        </w:tc>
        <w:tc>
          <w:tcPr>
            <w:tcW w:w="4485"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Consulta de ayuda funcional dentro de la aplicación.</w:t>
            </w:r>
          </w:p>
        </w:tc>
      </w:tr>
    </w:tbl>
    <w:p>
      <w:pPr>
        <w:pStyle w:val="Normal"/>
        <w:rPr>
          <w:lang w:val="es-CO"/>
        </w:rPr>
      </w:pPr>
      <w:r>
        <w:rPr>
          <w:lang w:val="es-CO"/>
        </w:rPr>
      </w:r>
    </w:p>
    <w:p>
      <w:pPr>
        <w:pStyle w:val="Heading3"/>
        <w:rPr/>
      </w:pPr>
      <w:bookmarkStart w:id="28" w:name="__RefHeading___Toc7031_3389959019"/>
      <w:bookmarkStart w:id="29" w:name="_Toc231224321"/>
      <w:bookmarkEnd w:id="28"/>
      <w:r>
        <w:rPr/>
        <w:t>Estados e historial de actuaciones</w:t>
      </w:r>
      <w:bookmarkEnd w:id="29"/>
    </w:p>
    <w:p>
      <w:pPr>
        <w:pStyle w:val="ListBullet"/>
        <w:numPr>
          <w:ilvl w:val="0"/>
          <w:numId w:val="1"/>
        </w:numPr>
        <w:spacing w:before="0" w:after="60"/>
        <w:contextualSpacing/>
        <w:rPr>
          <w:lang w:val="es-CO"/>
        </w:rPr>
      </w:pPr>
      <w:r>
        <w:rPr>
          <w:rFonts w:eastAsia="Consolas" w:ascii="Consolas" w:hAnsi="Consolas"/>
          <w:color w:val="111827"/>
          <w:sz w:val="16"/>
          <w:lang w:val="es-CO"/>
        </w:rPr>
        <w:t>frontend/src/config/estadoActuaciones.rules.ts</w:t>
      </w:r>
      <w:r>
        <w:rPr>
          <w:color w:val="1F2937"/>
          <w:lang w:val="es-CO"/>
        </w:rPr>
        <w:t xml:space="preserve"> es el punto común para derivar etiquetas de estado.</w:t>
      </w:r>
    </w:p>
    <w:p>
      <w:pPr>
        <w:pStyle w:val="ListBullet"/>
        <w:numPr>
          <w:ilvl w:val="0"/>
          <w:numId w:val="1"/>
        </w:numPr>
        <w:spacing w:before="0" w:after="60"/>
        <w:contextualSpacing/>
        <w:rPr>
          <w:lang w:val="es-CO"/>
        </w:rPr>
      </w:pPr>
      <w:r>
        <w:rPr>
          <w:rFonts w:eastAsia="Consolas" w:ascii="Consolas" w:hAnsi="Consolas"/>
          <w:color w:val="111827"/>
          <w:sz w:val="16"/>
          <w:lang w:val="es-CO"/>
        </w:rPr>
        <w:t>FormularioAtencion.jsx</w:t>
      </w:r>
      <w:r>
        <w:rPr>
          <w:color w:val="1F2937"/>
          <w:lang w:val="es-CO"/>
        </w:rPr>
        <w:t xml:space="preserve"> sincroniza </w:t>
      </w:r>
      <w:r>
        <w:rPr>
          <w:rFonts w:eastAsia="Consolas" w:ascii="Consolas" w:hAnsi="Consolas"/>
          <w:color w:val="111827"/>
          <w:sz w:val="16"/>
          <w:lang w:val="es-CO"/>
        </w:rPr>
        <w:t>Estado del trámite</w:t>
      </w:r>
      <w:r>
        <w:rPr>
          <w:color w:val="1F2937"/>
          <w:lang w:val="es-CO"/>
        </w:rPr>
        <w:t xml:space="preserve"> y </w:t>
      </w:r>
      <w:r>
        <w:rPr>
          <w:rFonts w:eastAsia="Consolas" w:ascii="Consolas" w:hAnsi="Consolas"/>
          <w:color w:val="111827"/>
          <w:sz w:val="16"/>
          <w:lang w:val="es-CO"/>
        </w:rPr>
        <w:t>Estado del caso</w:t>
      </w:r>
      <w:r>
        <w:rPr>
          <w:color w:val="1F2937"/>
          <w:lang w:val="es-CO"/>
        </w:rPr>
        <w:t xml:space="preserve"> al guardar.</w:t>
      </w:r>
    </w:p>
    <w:p>
      <w:pPr>
        <w:pStyle w:val="ListBullet"/>
        <w:numPr>
          <w:ilvl w:val="0"/>
          <w:numId w:val="1"/>
        </w:numPr>
        <w:spacing w:before="0" w:after="60"/>
        <w:contextualSpacing/>
        <w:rPr>
          <w:lang w:val="es-CO"/>
        </w:rPr>
      </w:pPr>
      <w:r>
        <w:rPr>
          <w:rFonts w:eastAsia="Consolas" w:ascii="Consolas" w:hAnsi="Consolas"/>
          <w:color w:val="111827"/>
          <w:sz w:val="16"/>
          <w:lang w:val="es-CO"/>
        </w:rPr>
        <w:t>HistorialActuacionesPPL.jsx</w:t>
      </w:r>
      <w:r>
        <w:rPr>
          <w:color w:val="1F2937"/>
          <w:lang w:val="es-CO"/>
        </w:rPr>
        <w:t xml:space="preserve"> recalcula la fila activa con el registro vivo del formulario, por lo que la UI puede mostrar cambios de estado antes de guardar o recargar.</w:t>
      </w:r>
    </w:p>
    <w:p>
      <w:pPr>
        <w:pStyle w:val="ListBullet"/>
        <w:numPr>
          <w:ilvl w:val="0"/>
          <w:numId w:val="1"/>
        </w:numPr>
        <w:spacing w:before="0" w:after="60"/>
        <w:contextualSpacing/>
        <w:rPr>
          <w:lang w:val="es-CO"/>
        </w:rPr>
      </w:pPr>
      <w:r>
        <w:rPr>
          <w:rFonts w:eastAsia="Consolas" w:ascii="Consolas" w:hAnsi="Consolas"/>
          <w:color w:val="111827"/>
          <w:sz w:val="16"/>
          <w:lang w:val="es-CO"/>
        </w:rPr>
        <w:t>AsignacionDefensores.jsx</w:t>
      </w:r>
      <w:r>
        <w:rPr>
          <w:color w:val="1F2937"/>
          <w:lang w:val="es-CO"/>
        </w:rPr>
        <w:t xml:space="preserve"> usa el mismo derivador para </w:t>
      </w:r>
      <w:r>
        <w:rPr>
          <w:rFonts w:eastAsia="Consolas" w:ascii="Consolas" w:hAnsi="Consolas"/>
          <w:color w:val="111827"/>
          <w:sz w:val="16"/>
          <w:lang w:val="es-CO"/>
        </w:rPr>
        <w:t>Acción a impulsar</w:t>
      </w:r>
      <w:r>
        <w:rPr>
          <w:color w:val="1F2937"/>
          <w:lang w:val="es-CO"/>
        </w:rPr>
        <w:t>.</w:t>
      </w:r>
    </w:p>
    <w:p>
      <w:pPr>
        <w:pStyle w:val="Heading3"/>
        <w:rPr>
          <w:lang w:val="es-CO"/>
        </w:rPr>
      </w:pPr>
      <w:bookmarkStart w:id="30" w:name="__RefHeading___Toc7033_3389959019"/>
      <w:bookmarkStart w:id="31" w:name="_Toc231224322"/>
      <w:bookmarkEnd w:id="30"/>
      <w:r>
        <w:rPr>
          <w:lang w:val="es-CO"/>
        </w:rPr>
        <w:t>PWA y operacion offline</w:t>
      </w:r>
      <w:bookmarkEnd w:id="31"/>
    </w:p>
    <w:p>
      <w:pPr>
        <w:pStyle w:val="Normal"/>
        <w:spacing w:before="0" w:after="60"/>
        <w:rPr>
          <w:lang w:val="es-CO"/>
        </w:rPr>
      </w:pPr>
      <w:r>
        <w:rPr>
          <w:color w:val="1F2937"/>
          <w:sz w:val="18"/>
          <w:lang w:val="es-CO"/>
        </w:rPr>
        <w:t xml:space="preserve">Aurora incluye manifest y service worker de produccion. El build de frontend ejecuta </w:t>
      </w:r>
      <w:r>
        <w:rPr>
          <w:rFonts w:eastAsia="Consolas" w:ascii="Consolas" w:hAnsi="Consolas"/>
          <w:color w:val="111827"/>
          <w:sz w:val="16"/>
          <w:lang w:val="es-CO"/>
        </w:rPr>
        <w:t>frontend/scripts/inject-pwa-assets.mjs</w:t>
      </w:r>
      <w:r>
        <w:rPr>
          <w:color w:val="1F2937"/>
          <w:sz w:val="18"/>
          <w:lang w:val="es-CO"/>
        </w:rPr>
        <w:t xml:space="preserve"> para precachear los assets hash generados por Vite en </w:t>
      </w:r>
      <w:r>
        <w:rPr>
          <w:rFonts w:eastAsia="Consolas" w:ascii="Consolas" w:hAnsi="Consolas"/>
          <w:color w:val="111827"/>
          <w:sz w:val="16"/>
          <w:lang w:val="es-CO"/>
        </w:rPr>
        <w:t>dist/assets</w:t>
      </w:r>
      <w:r>
        <w:rPr>
          <w:color w:val="1F2937"/>
          <w:sz w:val="18"/>
          <w:lang w:val="es-CO"/>
        </w:rPr>
        <w:t>.</w:t>
      </w:r>
    </w:p>
    <w:p>
      <w:pPr>
        <w:pStyle w:val="Normal"/>
        <w:spacing w:before="0" w:after="60"/>
        <w:rPr>
          <w:lang w:val="es-CO"/>
        </w:rPr>
      </w:pPr>
      <w:r>
        <w:rPr>
          <w:color w:val="1F2937"/>
          <w:sz w:val="18"/>
          <w:lang w:val="es-CO"/>
        </w:rPr>
        <w:t xml:space="preserve">El service worker cachea el shell de la aplicacion y excluye las consultas </w:t>
      </w:r>
      <w:r>
        <w:rPr>
          <w:rFonts w:eastAsia="Consolas" w:ascii="Consolas" w:hAnsi="Consolas"/>
          <w:color w:val="111827"/>
          <w:sz w:val="16"/>
          <w:lang w:val="es-CO"/>
        </w:rPr>
        <w:t>/api</w:t>
      </w:r>
      <w:r>
        <w:rPr>
          <w:color w:val="1F2937"/>
          <w:sz w:val="18"/>
          <w:lang w:val="es-CO"/>
        </w:rPr>
        <w:t xml:space="preserve"> para evitar datos de negocio obsoletos. Las escrituras criticas se pueden guardar en una cola IndexedDB acotada y reintentar con Background Sync o cuando el navegador emite </w:t>
      </w:r>
      <w:r>
        <w:rPr>
          <w:rFonts w:eastAsia="Consolas" w:ascii="Consolas" w:hAnsi="Consolas"/>
          <w:color w:val="111827"/>
          <w:sz w:val="16"/>
          <w:lang w:val="es-CO"/>
        </w:rPr>
        <w:t>online</w:t>
      </w:r>
      <w:r>
        <w:rPr>
          <w:color w:val="1F2937"/>
          <w:sz w:val="18"/>
          <w:lang w:val="es-CO"/>
        </w:rPr>
        <w:t>.</w:t>
      </w:r>
    </w:p>
    <w:p>
      <w:pPr>
        <w:pStyle w:val="Normal"/>
        <w:spacing w:before="0" w:after="60"/>
        <w:rPr/>
      </w:pPr>
      <w:r>
        <w:rPr>
          <w:color w:val="1F2937"/>
          <w:sz w:val="18"/>
        </w:rPr>
        <w:t>Escrituras cubiertas:</w:t>
      </w:r>
    </w:p>
    <w:p>
      <w:pPr>
        <w:pStyle w:val="ListBullet"/>
        <w:numPr>
          <w:ilvl w:val="0"/>
          <w:numId w:val="1"/>
        </w:numPr>
        <w:spacing w:before="0" w:after="60"/>
        <w:contextualSpacing/>
        <w:rPr/>
      </w:pPr>
      <w:r>
        <w:rPr>
          <w:rFonts w:eastAsia="Consolas" w:ascii="Consolas" w:hAnsi="Consolas"/>
          <w:color w:val="111827"/>
          <w:sz w:val="16"/>
        </w:rPr>
        <w:t>PUT /api/ppl/:documento</w:t>
      </w:r>
    </w:p>
    <w:p>
      <w:pPr>
        <w:pStyle w:val="ListBullet"/>
        <w:numPr>
          <w:ilvl w:val="0"/>
          <w:numId w:val="1"/>
        </w:numPr>
        <w:spacing w:before="0" w:after="60"/>
        <w:contextualSpacing/>
        <w:rPr/>
      </w:pPr>
      <w:r>
        <w:rPr>
          <w:rFonts w:eastAsia="Consolas" w:ascii="Consolas" w:hAnsi="Consolas"/>
          <w:color w:val="111827"/>
          <w:sz w:val="16"/>
        </w:rPr>
        <w:t>POST /api/ppl/:documento/actuaciones</w:t>
      </w:r>
    </w:p>
    <w:p>
      <w:pPr>
        <w:pStyle w:val="ListBullet"/>
        <w:numPr>
          <w:ilvl w:val="0"/>
          <w:numId w:val="1"/>
        </w:numPr>
        <w:spacing w:before="0" w:after="60"/>
        <w:contextualSpacing/>
        <w:rPr/>
      </w:pPr>
      <w:r>
        <w:rPr>
          <w:rFonts w:eastAsia="Consolas" w:ascii="Consolas" w:hAnsi="Consolas"/>
          <w:color w:val="111827"/>
          <w:sz w:val="16"/>
        </w:rPr>
        <w:t>POST /api/ppl/asignar-defensor</w:t>
      </w:r>
    </w:p>
    <w:p>
      <w:pPr>
        <w:pStyle w:val="ListBullet"/>
        <w:numPr>
          <w:ilvl w:val="0"/>
          <w:numId w:val="1"/>
        </w:numPr>
        <w:spacing w:before="0" w:after="60"/>
        <w:contextualSpacing/>
        <w:rPr/>
      </w:pPr>
      <w:r>
        <w:rPr>
          <w:rFonts w:eastAsia="Consolas" w:ascii="Consolas" w:hAnsi="Consolas"/>
          <w:color w:val="111827"/>
          <w:sz w:val="16"/>
        </w:rPr>
        <w:t>POST /api/defensores</w:t>
      </w:r>
    </w:p>
    <w:p>
      <w:pPr>
        <w:pStyle w:val="Normal"/>
        <w:spacing w:before="0" w:after="60"/>
        <w:rPr/>
      </w:pPr>
      <w:r>
        <w:rPr>
          <w:color w:val="1F2937"/>
          <w:sz w:val="18"/>
        </w:rPr>
        <w:t>Limites de la cola:</w:t>
      </w:r>
    </w:p>
    <w:p>
      <w:pPr>
        <w:pStyle w:val="ListBullet"/>
        <w:numPr>
          <w:ilvl w:val="0"/>
          <w:numId w:val="1"/>
        </w:numPr>
        <w:spacing w:before="0" w:after="60"/>
        <w:contextualSpacing/>
        <w:rPr/>
      </w:pPr>
      <w:r>
        <w:rPr>
          <w:color w:val="1F2937"/>
        </w:rPr>
        <w:t>Maximo 75 solicitudes pendientes.</w:t>
      </w:r>
    </w:p>
    <w:p>
      <w:pPr>
        <w:pStyle w:val="ListBullet"/>
        <w:numPr>
          <w:ilvl w:val="0"/>
          <w:numId w:val="1"/>
        </w:numPr>
        <w:spacing w:before="0" w:after="60"/>
        <w:contextualSpacing/>
        <w:rPr/>
      </w:pPr>
      <w:r>
        <w:rPr>
          <w:color w:val="1F2937"/>
        </w:rPr>
        <w:t>Maximo 256 KB por cuerpo.</w:t>
      </w:r>
    </w:p>
    <w:p>
      <w:pPr>
        <w:pStyle w:val="ListBullet"/>
        <w:numPr>
          <w:ilvl w:val="0"/>
          <w:numId w:val="1"/>
        </w:numPr>
        <w:spacing w:before="0" w:after="60"/>
        <w:contextualSpacing/>
        <w:rPr>
          <w:lang w:val="es-CO"/>
        </w:rPr>
      </w:pPr>
      <w:r>
        <w:rPr>
          <w:color w:val="1F2937"/>
          <w:lang w:val="es-CO"/>
        </w:rPr>
        <w:t>El token de autenticacion se mantiene en memoria del service worker y no se persiste en IndexedDB.</w:t>
      </w:r>
    </w:p>
    <w:p>
      <w:pPr>
        <w:pStyle w:val="Normal"/>
        <w:spacing w:before="0" w:after="60"/>
        <w:rPr>
          <w:lang w:val="es-CO"/>
        </w:rPr>
      </w:pPr>
      <w:r>
        <w:rPr>
          <w:color w:val="1F2937"/>
          <w:sz w:val="18"/>
          <w:lang w:val="es-CO"/>
        </w:rPr>
        <w:t>La lógica PWA queda documentada en este manual para que el documento de entrega sea autosuficiente y no dependa de anexos ignorados por el repositorio.</w:t>
      </w:r>
    </w:p>
    <w:p>
      <w:pPr>
        <w:pStyle w:val="Heading2"/>
        <w:rPr>
          <w:lang w:val="es-CO"/>
        </w:rPr>
      </w:pPr>
      <w:bookmarkStart w:id="32" w:name="__RefHeading___Toc7035_3389959019"/>
      <w:bookmarkStart w:id="33" w:name="_Toc231224323"/>
      <w:bookmarkEnd w:id="32"/>
      <w:r>
        <w:rPr>
          <w:lang w:val="es-CO"/>
        </w:rPr>
        <w:t>Configuración de base de datos</w:t>
      </w:r>
      <w:bookmarkEnd w:id="33"/>
    </w:p>
    <w:p>
      <w:pPr>
        <w:pStyle w:val="Normal"/>
        <w:spacing w:before="0" w:after="60"/>
        <w:rPr>
          <w:lang w:val="es-CO"/>
        </w:rPr>
      </w:pPr>
      <w:r>
        <w:rPr>
          <w:color w:val="1F2937"/>
          <w:sz w:val="18"/>
          <w:lang w:val="es-CO"/>
        </w:rPr>
        <w:t xml:space="preserve">La conexión Oracle se configura en </w:t>
      </w:r>
      <w:r>
        <w:rPr>
          <w:rFonts w:eastAsia="Consolas" w:ascii="Consolas" w:hAnsi="Consolas"/>
          <w:color w:val="111827"/>
          <w:sz w:val="16"/>
          <w:lang w:val="es-CO"/>
        </w:rPr>
        <w:t>backend/config/oracle.js</w:t>
      </w:r>
      <w:r>
        <w:rPr>
          <w:color w:val="1F2937"/>
          <w:sz w:val="18"/>
          <w:lang w:val="es-CO"/>
        </w:rPr>
        <w:t xml:space="preserve"> y </w:t>
      </w:r>
      <w:r>
        <w:rPr>
          <w:rFonts w:eastAsia="Consolas" w:ascii="Consolas" w:hAnsi="Consolas"/>
          <w:color w:val="111827"/>
          <w:sz w:val="16"/>
          <w:lang w:val="es-CO"/>
        </w:rPr>
        <w:t>backend/db/oraclePool.js</w:t>
      </w:r>
      <w:r>
        <w:rPr>
          <w:color w:val="1F2937"/>
          <w:sz w:val="18"/>
          <w:lang w:val="es-CO"/>
        </w:rPr>
        <w:t>.</w:t>
      </w:r>
    </w:p>
    <w:p>
      <w:pPr>
        <w:pStyle w:val="Normal"/>
        <w:spacing w:before="0" w:after="60"/>
        <w:rPr/>
      </w:pPr>
      <w:r>
        <w:rPr>
          <w:color w:val="1F2937"/>
          <w:sz w:val="18"/>
        </w:rPr>
        <w:t>Variables requeridas:</w:t>
      </w:r>
    </w:p>
    <w:p>
      <w:pPr>
        <w:pStyle w:val="ListBullet"/>
        <w:numPr>
          <w:ilvl w:val="0"/>
          <w:numId w:val="1"/>
        </w:numPr>
        <w:spacing w:before="0" w:after="60"/>
        <w:contextualSpacing/>
        <w:rPr/>
      </w:pPr>
      <w:r>
        <w:rPr>
          <w:rFonts w:eastAsia="Consolas" w:ascii="Consolas" w:hAnsi="Consolas"/>
          <w:color w:val="111827"/>
          <w:sz w:val="16"/>
        </w:rPr>
        <w:t>ORACLE_USER</w:t>
      </w:r>
    </w:p>
    <w:p>
      <w:pPr>
        <w:pStyle w:val="ListBullet"/>
        <w:numPr>
          <w:ilvl w:val="0"/>
          <w:numId w:val="1"/>
        </w:numPr>
        <w:spacing w:before="0" w:after="60"/>
        <w:contextualSpacing/>
        <w:rPr/>
      </w:pPr>
      <w:r>
        <w:rPr>
          <w:rFonts w:eastAsia="Consolas" w:ascii="Consolas" w:hAnsi="Consolas"/>
          <w:color w:val="111827"/>
          <w:sz w:val="16"/>
        </w:rPr>
        <w:t>ORACLE_PASSWORD</w:t>
      </w:r>
    </w:p>
    <w:p>
      <w:pPr>
        <w:pStyle w:val="ListBullet"/>
        <w:numPr>
          <w:ilvl w:val="0"/>
          <w:numId w:val="1"/>
        </w:numPr>
        <w:spacing w:before="0" w:after="60"/>
        <w:contextualSpacing/>
        <w:rPr/>
      </w:pPr>
      <w:r>
        <w:rPr>
          <w:rFonts w:eastAsia="Consolas" w:ascii="Consolas" w:hAnsi="Consolas"/>
          <w:color w:val="111827"/>
          <w:sz w:val="16"/>
        </w:rPr>
        <w:t>ORACLE_HOST</w:t>
      </w:r>
    </w:p>
    <w:p>
      <w:pPr>
        <w:pStyle w:val="ListBullet"/>
        <w:numPr>
          <w:ilvl w:val="0"/>
          <w:numId w:val="1"/>
        </w:numPr>
        <w:spacing w:before="0" w:after="60"/>
        <w:contextualSpacing/>
        <w:rPr/>
      </w:pPr>
      <w:r>
        <w:rPr>
          <w:rFonts w:eastAsia="Consolas" w:ascii="Consolas" w:hAnsi="Consolas"/>
          <w:color w:val="111827"/>
          <w:sz w:val="16"/>
        </w:rPr>
        <w:t>ORACLE_PORT</w:t>
      </w:r>
    </w:p>
    <w:p>
      <w:pPr>
        <w:pStyle w:val="ListBullet"/>
        <w:numPr>
          <w:ilvl w:val="0"/>
          <w:numId w:val="1"/>
        </w:numPr>
        <w:spacing w:before="0" w:after="60"/>
        <w:contextualSpacing/>
        <w:rPr/>
      </w:pPr>
      <w:r>
        <w:rPr>
          <w:rFonts w:eastAsia="Consolas" w:ascii="Consolas" w:hAnsi="Consolas"/>
          <w:color w:val="111827"/>
          <w:sz w:val="16"/>
        </w:rPr>
        <w:t>ORACLE_SERVICE_NAME</w:t>
      </w:r>
    </w:p>
    <w:p>
      <w:pPr>
        <w:pStyle w:val="ListBullet"/>
        <w:numPr>
          <w:ilvl w:val="0"/>
          <w:numId w:val="1"/>
        </w:numPr>
        <w:spacing w:before="0" w:after="60"/>
        <w:contextualSpacing/>
        <w:rPr/>
      </w:pPr>
      <w:r>
        <w:rPr>
          <w:rFonts w:eastAsia="Consolas" w:ascii="Consolas" w:hAnsi="Consolas"/>
          <w:color w:val="111827"/>
          <w:sz w:val="16"/>
        </w:rPr>
        <w:t>ORACLE_SCHEMA</w:t>
      </w:r>
    </w:p>
    <w:p>
      <w:pPr>
        <w:pStyle w:val="Normal"/>
        <w:spacing w:before="0" w:after="60"/>
        <w:rPr>
          <w:lang w:val="es-CO"/>
        </w:rPr>
      </w:pPr>
      <w:r>
        <w:rPr>
          <w:color w:val="1F2937"/>
          <w:sz w:val="18"/>
          <w:lang w:val="es-CO"/>
        </w:rPr>
        <w:t xml:space="preserve">El backend reemplaza referencias </w:t>
      </w:r>
      <w:r>
        <w:rPr>
          <w:rFonts w:eastAsia="Consolas" w:ascii="Consolas" w:hAnsi="Consolas"/>
          <w:color w:val="111827"/>
          <w:sz w:val="16"/>
          <w:lang w:val="es-CO"/>
        </w:rPr>
        <w:t>DNDP.</w:t>
      </w:r>
      <w:r>
        <w:rPr>
          <w:color w:val="1F2937"/>
          <w:sz w:val="18"/>
          <w:lang w:val="es-CO"/>
        </w:rPr>
        <w:t xml:space="preserve"> por el esquema configurado en </w:t>
      </w:r>
      <w:r>
        <w:rPr>
          <w:rFonts w:eastAsia="Consolas" w:ascii="Consolas" w:hAnsi="Consolas"/>
          <w:color w:val="111827"/>
          <w:sz w:val="16"/>
          <w:lang w:val="es-CO"/>
        </w:rPr>
        <w:t>ORACLE_SCHEMA</w:t>
      </w:r>
      <w:r>
        <w:rPr>
          <w:color w:val="1F2937"/>
          <w:sz w:val="18"/>
          <w:lang w:val="es-CO"/>
        </w:rPr>
        <w:t xml:space="preserve">. Si no se define, usa </w:t>
      </w:r>
      <w:r>
        <w:rPr>
          <w:rFonts w:eastAsia="Consolas" w:ascii="Consolas" w:hAnsi="Consolas"/>
          <w:color w:val="111827"/>
          <w:sz w:val="16"/>
          <w:lang w:val="es-CO"/>
        </w:rPr>
        <w:t>ORACLE_USER</w:t>
      </w:r>
      <w:r>
        <w:rPr>
          <w:color w:val="1F2937"/>
          <w:sz w:val="18"/>
          <w:lang w:val="es-CO"/>
        </w:rPr>
        <w:t>.</w:t>
      </w:r>
    </w:p>
    <w:p>
      <w:pPr>
        <w:pStyle w:val="Heading3"/>
        <w:rPr>
          <w:lang w:val="es-CO"/>
        </w:rPr>
      </w:pPr>
      <w:bookmarkStart w:id="34" w:name="__RefHeading___Toc7037_3389959019"/>
      <w:bookmarkStart w:id="35" w:name="_Toc231224324"/>
      <w:bookmarkEnd w:id="34"/>
      <w:r>
        <w:rPr>
          <w:lang w:val="es-CO"/>
        </w:rPr>
        <w:t>Acceso a datos y normalización</w:t>
      </w:r>
      <w:bookmarkEnd w:id="35"/>
    </w:p>
    <w:p>
      <w:pPr>
        <w:pStyle w:val="Normal"/>
        <w:spacing w:before="0" w:after="60"/>
        <w:rPr>
          <w:lang w:val="es-CO"/>
        </w:rPr>
      </w:pPr>
      <w:r>
        <w:rPr>
          <w:color w:val="1F2937"/>
          <w:sz w:val="18"/>
          <w:lang w:val="es-CO"/>
        </w:rPr>
        <w:t>El acceso a Oracle está separado en repositorios para evitar SQL disperso en las rutas:</w:t>
      </w:r>
    </w:p>
    <w:p>
      <w:pPr>
        <w:pStyle w:val="ListBullet"/>
        <w:numPr>
          <w:ilvl w:val="0"/>
          <w:numId w:val="1"/>
        </w:numPr>
        <w:spacing w:before="0" w:after="60"/>
        <w:contextualSpacing/>
        <w:rPr>
          <w:lang w:val="es-CO"/>
        </w:rPr>
      </w:pPr>
      <w:r>
        <w:rPr>
          <w:rFonts w:eastAsia="Consolas" w:ascii="Consolas" w:hAnsi="Consolas"/>
          <w:color w:val="111827"/>
          <w:sz w:val="16"/>
          <w:lang w:val="es-CO"/>
        </w:rPr>
        <w:t>oraclePool.js</w:t>
      </w:r>
      <w:r>
        <w:rPr>
          <w:color w:val="1F2937"/>
          <w:lang w:val="es-CO"/>
        </w:rPr>
        <w:t>: creación, reutilización y cierre del pool.</w:t>
      </w:r>
    </w:p>
    <w:p>
      <w:pPr>
        <w:pStyle w:val="ListBullet"/>
        <w:numPr>
          <w:ilvl w:val="0"/>
          <w:numId w:val="1"/>
        </w:numPr>
        <w:spacing w:before="0" w:after="60"/>
        <w:contextualSpacing/>
        <w:rPr>
          <w:lang w:val="es-CO"/>
        </w:rPr>
      </w:pPr>
      <w:r>
        <w:rPr>
          <w:rFonts w:eastAsia="Consolas" w:ascii="Consolas" w:hAnsi="Consolas"/>
          <w:color w:val="111827"/>
          <w:sz w:val="16"/>
          <w:lang w:val="es-CO"/>
        </w:rPr>
        <w:t>oracleConsolidado.repo.js</w:t>
      </w:r>
      <w:r>
        <w:rPr>
          <w:color w:val="1F2937"/>
          <w:lang w:val="es-CO"/>
        </w:rPr>
        <w:t>: consulta consolidada y utilidades de normalización de columnas.</w:t>
      </w:r>
    </w:p>
    <w:p>
      <w:pPr>
        <w:pStyle w:val="ListBullet"/>
        <w:numPr>
          <w:ilvl w:val="0"/>
          <w:numId w:val="1"/>
        </w:numPr>
        <w:spacing w:before="0" w:after="60"/>
        <w:contextualSpacing/>
        <w:rPr>
          <w:lang w:val="es-CO"/>
        </w:rPr>
      </w:pPr>
      <w:r>
        <w:rPr>
          <w:rFonts w:eastAsia="Consolas" w:ascii="Consolas" w:hAnsi="Consolas"/>
          <w:color w:val="111827"/>
          <w:sz w:val="16"/>
          <w:lang w:val="es-CO"/>
        </w:rPr>
        <w:t>personaRepository.js</w:t>
      </w:r>
      <w:r>
        <w:rPr>
          <w:color w:val="1F2937"/>
          <w:lang w:val="es-CO"/>
        </w:rPr>
        <w:t>: detalle y persistencia de datos asociados a persona/documento.</w:t>
      </w:r>
    </w:p>
    <w:p>
      <w:pPr>
        <w:pStyle w:val="ListBullet"/>
        <w:numPr>
          <w:ilvl w:val="0"/>
          <w:numId w:val="1"/>
        </w:numPr>
        <w:spacing w:before="0" w:after="60"/>
        <w:contextualSpacing/>
        <w:rPr>
          <w:lang w:val="es-CO"/>
        </w:rPr>
      </w:pPr>
      <w:r>
        <w:rPr>
          <w:rFonts w:eastAsia="Consolas" w:ascii="Consolas" w:hAnsi="Consolas"/>
          <w:color w:val="111827"/>
          <w:sz w:val="16"/>
          <w:lang w:val="es-CO"/>
        </w:rPr>
        <w:t>gestionRepository.js</w:t>
      </w:r>
      <w:r>
        <w:rPr>
          <w:color w:val="1F2937"/>
          <w:lang w:val="es-CO"/>
        </w:rPr>
        <w:t>: actuaciones e historial.</w:t>
      </w:r>
    </w:p>
    <w:p>
      <w:pPr>
        <w:pStyle w:val="ListBullet"/>
        <w:numPr>
          <w:ilvl w:val="0"/>
          <w:numId w:val="1"/>
        </w:numPr>
        <w:spacing w:before="0" w:after="60"/>
        <w:contextualSpacing/>
        <w:rPr>
          <w:lang w:val="es-CO"/>
        </w:rPr>
      </w:pPr>
      <w:r>
        <w:rPr>
          <w:rFonts w:eastAsia="Consolas" w:ascii="Consolas" w:hAnsi="Consolas"/>
          <w:color w:val="111827"/>
          <w:sz w:val="16"/>
          <w:lang w:val="es-CO"/>
        </w:rPr>
        <w:t>asignacionRepository.js</w:t>
      </w:r>
      <w:r>
        <w:rPr>
          <w:color w:val="1F2937"/>
          <w:lang w:val="es-CO"/>
        </w:rPr>
        <w:t>: asignación de defensores.</w:t>
      </w:r>
    </w:p>
    <w:p>
      <w:pPr>
        <w:pStyle w:val="ListBullet"/>
        <w:numPr>
          <w:ilvl w:val="0"/>
          <w:numId w:val="1"/>
        </w:numPr>
        <w:spacing w:before="0" w:after="60"/>
        <w:contextualSpacing/>
        <w:rPr>
          <w:lang w:val="es-CO"/>
        </w:rPr>
      </w:pPr>
      <w:r>
        <w:rPr>
          <w:rFonts w:eastAsia="Consolas" w:ascii="Consolas" w:hAnsi="Consolas"/>
          <w:color w:val="111827"/>
          <w:sz w:val="16"/>
          <w:lang w:val="es-CO"/>
        </w:rPr>
        <w:t>pagRepository.js</w:t>
      </w:r>
      <w:r>
        <w:rPr>
          <w:color w:val="1F2937"/>
          <w:lang w:val="es-CO"/>
        </w:rPr>
        <w:t>: validación contra PAG.</w:t>
      </w:r>
    </w:p>
    <w:p>
      <w:pPr>
        <w:pStyle w:val="ListBullet"/>
        <w:numPr>
          <w:ilvl w:val="0"/>
          <w:numId w:val="1"/>
        </w:numPr>
        <w:spacing w:before="0" w:after="60"/>
        <w:contextualSpacing/>
        <w:rPr>
          <w:lang w:val="es-CO"/>
        </w:rPr>
      </w:pPr>
      <w:r>
        <w:rPr>
          <w:rFonts w:eastAsia="Consolas" w:ascii="Consolas" w:hAnsi="Consolas"/>
          <w:color w:val="111827"/>
          <w:sz w:val="16"/>
          <w:lang w:val="es-CO"/>
        </w:rPr>
        <w:t>defensoresRepository.js</w:t>
      </w:r>
      <w:r>
        <w:rPr>
          <w:color w:val="1F2937"/>
          <w:lang w:val="es-CO"/>
        </w:rPr>
        <w:t>: catálogo y alta de defensores.</w:t>
      </w:r>
    </w:p>
    <w:p>
      <w:pPr>
        <w:pStyle w:val="ListBullet"/>
        <w:numPr>
          <w:ilvl w:val="0"/>
          <w:numId w:val="1"/>
        </w:numPr>
        <w:spacing w:before="0" w:after="60"/>
        <w:contextualSpacing/>
        <w:rPr>
          <w:lang w:val="es-CO"/>
        </w:rPr>
      </w:pPr>
      <w:r>
        <w:rPr>
          <w:rFonts w:eastAsia="Consolas" w:ascii="Consolas" w:hAnsi="Consolas"/>
          <w:color w:val="111827"/>
          <w:sz w:val="16"/>
          <w:lang w:val="es-CO"/>
        </w:rPr>
        <w:t>calificacionConductaRepository.js</w:t>
      </w:r>
      <w:r>
        <w:rPr>
          <w:color w:val="1F2937"/>
          <w:lang w:val="es-CO"/>
        </w:rPr>
        <w:t xml:space="preserve"> y </w:t>
      </w:r>
      <w:r>
        <w:rPr>
          <w:rFonts w:eastAsia="Consolas" w:ascii="Consolas" w:hAnsi="Consolas"/>
          <w:color w:val="111827"/>
          <w:sz w:val="16"/>
          <w:lang w:val="es-CO"/>
        </w:rPr>
        <w:t>situacionRepository.js</w:t>
      </w:r>
      <w:r>
        <w:rPr>
          <w:color w:val="1F2937"/>
          <w:lang w:val="es-CO"/>
        </w:rPr>
        <w:t>: datos complementarios usados en el formulario.</w:t>
      </w:r>
    </w:p>
    <w:p>
      <w:pPr>
        <w:pStyle w:val="Normal"/>
        <w:spacing w:before="0" w:after="60"/>
        <w:rPr>
          <w:lang w:val="es-CO"/>
        </w:rPr>
      </w:pPr>
      <w:r>
        <w:rPr>
          <w:color w:val="1F2937"/>
          <w:sz w:val="18"/>
          <w:lang w:val="es-CO"/>
        </w:rPr>
        <w:t>El backend trabaja con datos heredados que pueden llegar con nombres de columnas, acentos o codificaciones diferentes. Por esa razón varias capas aplican normalización tolerante de texto, fallback entre nombres equivalentes y mapeo a nombres canónicos antes de exponer datos al frontend.</w:t>
      </w:r>
    </w:p>
    <w:p>
      <w:pPr>
        <w:pStyle w:val="Heading3"/>
        <w:rPr>
          <w:lang w:val="es-CO"/>
        </w:rPr>
      </w:pPr>
      <w:bookmarkStart w:id="36" w:name="__RefHeading___Toc7039_3389959019"/>
      <w:bookmarkStart w:id="37" w:name="_Toc231224325"/>
      <w:bookmarkEnd w:id="36"/>
      <w:r>
        <w:rPr>
          <w:lang w:val="es-CO"/>
        </w:rPr>
        <w:t>Modelo lógico usado por la aplicación</w:t>
      </w:r>
      <w:bookmarkEnd w:id="37"/>
    </w:p>
    <w:p>
      <w:pPr>
        <w:pStyle w:val="Normal"/>
        <w:spacing w:before="0" w:after="60"/>
        <w:rPr>
          <w:lang w:val="es-CO"/>
        </w:rPr>
      </w:pPr>
      <w:r>
        <w:rPr>
          <w:color w:val="1F2937"/>
          <w:sz w:val="18"/>
          <w:lang w:val="es-CO"/>
        </w:rPr>
        <w:t>Aunque el modelo físico reside en Oracle, Aurora opera sobre estos conceptos funcionales:</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890"/>
        <w:gridCol w:w="6690"/>
      </w:tblGrid>
      <w:tr>
        <w:trPr>
          <w:tblHeader w:val="true"/>
        </w:trPr>
        <w:tc>
          <w:tcPr>
            <w:tcW w:w="28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Concepto</w:t>
            </w:r>
          </w:p>
        </w:tc>
        <w:tc>
          <w:tcPr>
            <w:tcW w:w="66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Uso en Aurora</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Persona privada de la libertad</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Registro principal consultado por documento, nombre, ubicación, situación jurídica y proceso.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Situación jurídica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Define si el flujo funcional es de condenados (Aurora) o sindicados.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Actuación</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Unidad de seguimiento jurídico asociada a una persona y a un formulario diligenciado.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Defensor asignado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Responsable funcional de tramitar la solicitud o hacer seguimiento.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Estado del trámite/caso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Resultado derivado de reglas de negocio y persistido para consulta operativa.</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Cargas staging</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Datos mensuales de fuentes externas usados para alimentar tablas intermedias y procesos ETL.</w:t>
            </w:r>
          </w:p>
        </w:tc>
      </w:tr>
    </w:tbl>
    <w:p>
      <w:pPr>
        <w:pStyle w:val="Normal"/>
        <w:rPr>
          <w:lang w:val="es-CO"/>
        </w:rPr>
      </w:pPr>
      <w:r>
        <w:rPr>
          <w:lang w:val="es-CO"/>
        </w:rPr>
      </w:r>
    </w:p>
    <w:p>
      <w:pPr>
        <w:pStyle w:val="Normal"/>
        <w:spacing w:before="0" w:after="60"/>
        <w:rPr>
          <w:lang w:val="es-CO"/>
        </w:rPr>
      </w:pPr>
      <w:r>
        <w:rPr>
          <w:color w:val="1F2937"/>
          <w:sz w:val="18"/>
          <w:lang w:val="es-CO"/>
        </w:rPr>
        <w:t xml:space="preserve">Los documentos específicos del modelo se mantienen en </w:t>
      </w:r>
      <w:r>
        <w:rPr>
          <w:rFonts w:eastAsia="Consolas" w:ascii="Consolas" w:hAnsi="Consolas"/>
          <w:color w:val="111827"/>
          <w:sz w:val="16"/>
          <w:lang w:val="es-CO"/>
        </w:rPr>
        <w:t>documentacion/documentacion_tecnica/DESCRIPCION_MODELO_DATOS_AURORA.md</w:t>
      </w:r>
      <w:r>
        <w:rPr>
          <w:color w:val="1F2937"/>
          <w:sz w:val="18"/>
          <w:lang w:val="es-CO"/>
        </w:rPr>
        <w:t xml:space="preserve"> y </w:t>
      </w:r>
      <w:r>
        <w:rPr>
          <w:rFonts w:eastAsia="Consolas" w:ascii="Consolas" w:hAnsi="Consolas"/>
          <w:color w:val="111827"/>
          <w:sz w:val="16"/>
          <w:lang w:val="es-CO"/>
        </w:rPr>
        <w:t>documentacion/documentacion_tecnica/base_datos/</w:t>
      </w:r>
      <w:r>
        <w:rPr>
          <w:color w:val="1F2937"/>
          <w:sz w:val="18"/>
          <w:lang w:val="es-CO"/>
        </w:rPr>
        <w:t>.</w:t>
      </w:r>
    </w:p>
    <w:p>
      <w:pPr>
        <w:pStyle w:val="Heading2"/>
        <w:rPr>
          <w:lang w:val="es-CO"/>
        </w:rPr>
      </w:pPr>
      <w:bookmarkStart w:id="38" w:name="__RefHeading___Toc7041_3389959019"/>
      <w:bookmarkStart w:id="39" w:name="_Toc231224326"/>
      <w:bookmarkEnd w:id="38"/>
      <w:r>
        <w:rPr>
          <w:lang w:val="es-CO"/>
        </w:rPr>
        <w:t>API principal</w:t>
      </w:r>
      <w:bookmarkEnd w:id="39"/>
    </w:p>
    <w:p>
      <w:pPr>
        <w:pStyle w:val="Normal"/>
        <w:spacing w:before="0" w:after="60"/>
        <w:rPr>
          <w:lang w:val="es-CO"/>
        </w:rPr>
      </w:pPr>
      <w:r>
        <w:rPr>
          <w:color w:val="1F2937"/>
          <w:sz w:val="18"/>
          <w:lang w:val="es-CO"/>
        </w:rPr>
        <w:t xml:space="preserve">Todas las rutas de negocio bajo </w:t>
      </w:r>
      <w:r>
        <w:rPr>
          <w:rFonts w:eastAsia="Consolas" w:ascii="Consolas" w:hAnsi="Consolas"/>
          <w:color w:val="111827"/>
          <w:sz w:val="16"/>
          <w:lang w:val="es-CO"/>
        </w:rPr>
        <w:t>/api</w:t>
      </w:r>
      <w:r>
        <w:rPr>
          <w:color w:val="1F2937"/>
          <w:sz w:val="18"/>
          <w:lang w:val="es-CO"/>
        </w:rPr>
        <w:t xml:space="preserve"> devuelven JSON en UTF-8. Las rutas funcionales están protegidas por </w:t>
      </w:r>
      <w:r>
        <w:rPr>
          <w:rFonts w:eastAsia="Consolas" w:ascii="Consolas" w:hAnsi="Consolas"/>
          <w:color w:val="111827"/>
          <w:sz w:val="16"/>
          <w:lang w:val="es-CO"/>
        </w:rPr>
        <w:t>requireAuth</w:t>
      </w:r>
      <w:r>
        <w:rPr>
          <w:color w:val="1F2937"/>
          <w:sz w:val="18"/>
          <w:lang w:val="es-CO"/>
        </w:rPr>
        <w:t>, salvo salud y autenticación.</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1587"/>
        <w:gridCol w:w="2268"/>
        <w:gridCol w:w="1927"/>
        <w:gridCol w:w="3798"/>
      </w:tblGrid>
      <w:tr>
        <w:trPr>
          <w:tblHeader w:val="true"/>
        </w:trPr>
        <w:tc>
          <w:tcPr>
            <w:tcW w:w="1587"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Método</w:t>
            </w:r>
          </w:p>
        </w:tc>
        <w:tc>
          <w:tcPr>
            <w:tcW w:w="2268"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Ruta</w:t>
            </w:r>
          </w:p>
        </w:tc>
        <w:tc>
          <w:tcPr>
            <w:tcW w:w="1927"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Protección</w:t>
            </w:r>
          </w:p>
        </w:tc>
        <w:tc>
          <w:tcPr>
            <w:tcW w:w="3798"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Uso</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/api/health</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Pública</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Verifica que el backend esté operativo.</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/api/health/db</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Pública</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Verifica conectividad con Oracle.</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/api/auth/config</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Pública</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Informa si login local/Azure AD están disponibles.</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POST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/api/auth/login</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Pública con rate limit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Login local administrativo.</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POST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/api/auth/azure-ad</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Pública con rate limit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Intercambia idToken Azure AD por JWT Aurora.</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/api/auth/me</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Retorna usuario autenticado.</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/api/ppl</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Lista registros base.</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/api/ppl/condenados</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Lista condenados con filtros y paginación acotada.</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/api/ppl/condenados/filter-options</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Obtiene opciones cacheadas de filtros.</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it-IT"/>
              </w:rPr>
            </w:pPr>
            <w:r>
              <w:rPr>
                <w:color w:val="1F2937"/>
                <w:sz w:val="14"/>
                <w:lang w:val="it-IT"/>
              </w:rPr>
              <w:t>/api/ppl/pag/:cedula/validar</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Valida información PAG por cédula.</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/api/ppl/:documento</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Consulta detalle de persona.</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PUT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/api/ppl/:documento</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Actualiza datos/formulario asociado a una persona.</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/api/ppl/:documento/actuaciones</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Lista historial de actuaciones.</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POST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/api/ppl/:documento/actuaciones</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Crea o actualiza una actuación.</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POST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/api/ppl/asignar-defensor</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Asigna defensor a registros.</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/api/defensores</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Lista defensores.</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POST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/api/defensores</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Registra defensor.</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/api/formatos</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Lista formatos disponibles.</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/api/formatos/:id/download-url</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Devuelve URL de descarga.</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/api/formatos/:id/download</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Redirige/descarga formato.</w:t>
            </w:r>
          </w:p>
        </w:tc>
      </w:tr>
      <w:tr>
        <w:trPr/>
        <w:tc>
          <w:tcPr>
            <w:tcW w:w="158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GET/POST</w:t>
            </w:r>
          </w:p>
        </w:tc>
        <w:tc>
          <w:tcPr>
            <w:tcW w:w="226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/api/admin/cargas</w:t>
            </w:r>
          </w:p>
        </w:tc>
        <w:tc>
          <w:tcPr>
            <w:tcW w:w="1927"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JWT + rol admin</w:t>
            </w:r>
          </w:p>
        </w:tc>
        <w:tc>
          <w:tcPr>
            <w:tcW w:w="379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Consulta, crea y reintenta cargas mensuales.</w:t>
            </w:r>
          </w:p>
        </w:tc>
      </w:tr>
    </w:tbl>
    <w:p>
      <w:pPr>
        <w:pStyle w:val="Normal"/>
        <w:rPr>
          <w:lang w:val="es-CO"/>
        </w:rPr>
      </w:pPr>
      <w:r>
        <w:rPr>
          <w:lang w:val="es-CO"/>
        </w:rPr>
      </w:r>
    </w:p>
    <w:p>
      <w:pPr>
        <w:pStyle w:val="Heading3"/>
        <w:rPr>
          <w:lang w:val="es-CO"/>
        </w:rPr>
      </w:pPr>
      <w:bookmarkStart w:id="40" w:name="__RefHeading___Toc7043_3389959019"/>
      <w:bookmarkStart w:id="41" w:name="_Toc231224327"/>
      <w:bookmarkEnd w:id="40"/>
      <w:r>
        <w:rPr>
          <w:lang w:val="es-CO"/>
        </w:rPr>
        <w:t>Cache y límites operativos</w:t>
      </w:r>
      <w:bookmarkEnd w:id="41"/>
    </w:p>
    <w:p>
      <w:pPr>
        <w:pStyle w:val="Normal"/>
        <w:spacing w:before="0" w:after="60"/>
        <w:rPr/>
      </w:pPr>
      <w:r>
        <w:rPr>
          <w:color w:val="1F2937"/>
          <w:sz w:val="18"/>
          <w:lang w:val="es-CO"/>
        </w:rPr>
        <w:t xml:space="preserve">Para mejorar tiempos de respuesta, </w:t>
      </w:r>
      <w:r>
        <w:rPr>
          <w:rFonts w:eastAsia="Consolas" w:ascii="Consolas" w:hAnsi="Consolas"/>
          <w:color w:val="111827"/>
          <w:sz w:val="16"/>
          <w:lang w:val="es-CO"/>
        </w:rPr>
        <w:t>backend/routes/ppl.js</w:t>
      </w:r>
      <w:r>
        <w:rPr>
          <w:color w:val="1F2937"/>
          <w:sz w:val="18"/>
          <w:lang w:val="es-CO"/>
        </w:rPr>
        <w:t xml:space="preserve"> usa caches en memoria para variantes de listados, opciones de filtros y filas normalizadas. </w:t>
      </w:r>
      <w:r>
        <w:rPr>
          <w:color w:val="1F2937"/>
          <w:sz w:val="18"/>
        </w:rPr>
        <w:t>Los límites principales son:</w:t>
      </w:r>
    </w:p>
    <w:p>
      <w:pPr>
        <w:pStyle w:val="ListBullet"/>
        <w:numPr>
          <w:ilvl w:val="0"/>
          <w:numId w:val="1"/>
        </w:numPr>
        <w:spacing w:before="0" w:after="60"/>
        <w:contextualSpacing/>
        <w:rPr>
          <w:lang w:val="es-CO"/>
        </w:rPr>
      </w:pPr>
      <w:r>
        <w:rPr>
          <w:color w:val="1F2937"/>
          <w:lang w:val="es-CO"/>
        </w:rPr>
        <w:t xml:space="preserve">Listado general: </w:t>
      </w:r>
      <w:r>
        <w:rPr>
          <w:rFonts w:eastAsia="Consolas" w:ascii="Consolas" w:hAnsi="Consolas"/>
          <w:color w:val="111827"/>
          <w:sz w:val="16"/>
          <w:lang w:val="es-CO"/>
        </w:rPr>
        <w:t>DEFAULT_LIST_LIMIT = 5000</w:t>
      </w:r>
      <w:r>
        <w:rPr>
          <w:color w:val="1F2937"/>
          <w:lang w:val="es-CO"/>
        </w:rPr>
        <w:t xml:space="preserve">, máximo </w:t>
      </w:r>
      <w:r>
        <w:rPr>
          <w:rFonts w:eastAsia="Consolas" w:ascii="Consolas" w:hAnsi="Consolas"/>
          <w:color w:val="111827"/>
          <w:sz w:val="16"/>
          <w:lang w:val="es-CO"/>
        </w:rPr>
        <w:t>10000</w:t>
      </w:r>
      <w:r>
        <w:rPr>
          <w:color w:val="1F2937"/>
          <w:lang w:val="es-CO"/>
        </w:rPr>
        <w:t>.</w:t>
      </w:r>
    </w:p>
    <w:p>
      <w:pPr>
        <w:pStyle w:val="ListBullet"/>
        <w:numPr>
          <w:ilvl w:val="0"/>
          <w:numId w:val="1"/>
        </w:numPr>
        <w:spacing w:before="0" w:after="60"/>
        <w:contextualSpacing/>
        <w:rPr>
          <w:lang w:val="es-CO"/>
        </w:rPr>
      </w:pPr>
      <w:r>
        <w:rPr>
          <w:color w:val="1F2937"/>
          <w:lang w:val="es-CO"/>
        </w:rPr>
        <w:t xml:space="preserve">Listado filtrado de condenados: límite por defecto y máximo </w:t>
      </w:r>
      <w:r>
        <w:rPr>
          <w:rFonts w:eastAsia="Consolas" w:ascii="Consolas" w:hAnsi="Consolas"/>
          <w:color w:val="111827"/>
          <w:sz w:val="16"/>
          <w:lang w:val="es-CO"/>
        </w:rPr>
        <w:t>200</w:t>
      </w:r>
      <w:r>
        <w:rPr>
          <w:color w:val="1F2937"/>
          <w:lang w:val="es-CO"/>
        </w:rPr>
        <w:t>.</w:t>
      </w:r>
    </w:p>
    <w:p>
      <w:pPr>
        <w:pStyle w:val="ListBullet"/>
        <w:numPr>
          <w:ilvl w:val="0"/>
          <w:numId w:val="1"/>
        </w:numPr>
        <w:spacing w:before="0" w:after="60"/>
        <w:contextualSpacing/>
        <w:rPr>
          <w:lang w:val="es-CO"/>
        </w:rPr>
      </w:pPr>
      <w:r>
        <w:rPr>
          <w:color w:val="1F2937"/>
          <w:lang w:val="es-CO"/>
        </w:rPr>
        <w:t>Opciones de filtros: TTL de 5 minutos.</w:t>
      </w:r>
    </w:p>
    <w:p>
      <w:pPr>
        <w:pStyle w:val="ListBullet"/>
        <w:numPr>
          <w:ilvl w:val="0"/>
          <w:numId w:val="1"/>
        </w:numPr>
        <w:spacing w:before="0" w:after="60"/>
        <w:contextualSpacing/>
        <w:rPr>
          <w:lang w:val="es-CO"/>
        </w:rPr>
      </w:pPr>
      <w:r>
        <w:rPr>
          <w:color w:val="1F2937"/>
          <w:lang w:val="es-CO"/>
        </w:rPr>
        <w:t>Variantes cacheadas por ruta: máximo 12 antes de limpiar el mapa.</w:t>
      </w:r>
    </w:p>
    <w:p>
      <w:pPr>
        <w:pStyle w:val="Normal"/>
        <w:spacing w:before="0" w:after="60"/>
        <w:rPr>
          <w:lang w:val="es-CO"/>
        </w:rPr>
      </w:pPr>
      <w:r>
        <w:rPr>
          <w:color w:val="1F2937"/>
          <w:sz w:val="18"/>
          <w:lang w:val="es-CO"/>
        </w:rPr>
        <w:t>Estos caches son locales al proceso Node.js; al reiniciar el contenedor se recalculan.</w:t>
      </w:r>
    </w:p>
    <w:p>
      <w:pPr>
        <w:pStyle w:val="Heading2"/>
        <w:rPr>
          <w:lang w:val="es-CO"/>
        </w:rPr>
      </w:pPr>
      <w:bookmarkStart w:id="42" w:name="__RefHeading___Toc7045_3389959019"/>
      <w:bookmarkStart w:id="43" w:name="_Toc231224328"/>
      <w:bookmarkEnd w:id="42"/>
      <w:r>
        <w:rPr>
          <w:lang w:val="es-CO"/>
        </w:rPr>
        <w:t>Reglas de negocio</w:t>
      </w:r>
      <w:bookmarkEnd w:id="43"/>
    </w:p>
    <w:p>
      <w:pPr>
        <w:pStyle w:val="Normal"/>
        <w:spacing w:before="0" w:after="60"/>
        <w:rPr>
          <w:lang w:val="es-CO"/>
        </w:rPr>
      </w:pPr>
      <w:r>
        <w:rPr>
          <w:color w:val="1F2937"/>
          <w:sz w:val="18"/>
          <w:lang w:val="es-CO"/>
        </w:rPr>
        <w:t>Las reglas de negocio viven en frontend para dar respuesta inmediata a la UI y se validan con pruebas unitarias. La persistencia se realiza en backend, pero la lógica de visibilidad, estado derivado y bloqueo está concentrada en:</w:t>
      </w:r>
    </w:p>
    <w:p>
      <w:pPr>
        <w:pStyle w:val="ListBullet"/>
        <w:numPr>
          <w:ilvl w:val="0"/>
          <w:numId w:val="1"/>
        </w:numPr>
        <w:spacing w:before="0" w:after="60"/>
        <w:contextualSpacing/>
        <w:rPr/>
      </w:pPr>
      <w:r>
        <w:rPr>
          <w:rFonts w:eastAsia="Consolas" w:ascii="Consolas" w:hAnsi="Consolas"/>
          <w:color w:val="111827"/>
          <w:sz w:val="16"/>
        </w:rPr>
        <w:t>frontend/src/config/formRules.aurora.ts</w:t>
      </w:r>
    </w:p>
    <w:p>
      <w:pPr>
        <w:pStyle w:val="ListBullet"/>
        <w:numPr>
          <w:ilvl w:val="0"/>
          <w:numId w:val="1"/>
        </w:numPr>
        <w:spacing w:before="0" w:after="60"/>
        <w:contextualSpacing/>
        <w:rPr/>
      </w:pPr>
      <w:r>
        <w:rPr>
          <w:rFonts w:eastAsia="Consolas" w:ascii="Consolas" w:hAnsi="Consolas"/>
          <w:color w:val="111827"/>
          <w:sz w:val="16"/>
        </w:rPr>
        <w:t>frontend/src/utils/evaluateAuroraRules.ts</w:t>
      </w:r>
    </w:p>
    <w:p>
      <w:pPr>
        <w:pStyle w:val="ListBullet"/>
        <w:numPr>
          <w:ilvl w:val="0"/>
          <w:numId w:val="1"/>
        </w:numPr>
        <w:spacing w:before="0" w:after="60"/>
        <w:contextualSpacing/>
        <w:rPr/>
      </w:pPr>
      <w:r>
        <w:rPr>
          <w:rFonts w:eastAsia="Consolas" w:ascii="Consolas" w:hAnsi="Consolas"/>
          <w:color w:val="111827"/>
          <w:sz w:val="16"/>
        </w:rPr>
        <w:t>frontend/src/config/formRules.celeste.ts</w:t>
      </w:r>
    </w:p>
    <w:p>
      <w:pPr>
        <w:pStyle w:val="ListBullet"/>
        <w:numPr>
          <w:ilvl w:val="0"/>
          <w:numId w:val="1"/>
        </w:numPr>
        <w:spacing w:before="0" w:after="60"/>
        <w:contextualSpacing/>
        <w:rPr/>
      </w:pPr>
      <w:r>
        <w:rPr>
          <w:rFonts w:eastAsia="Consolas" w:ascii="Consolas" w:hAnsi="Consolas"/>
          <w:color w:val="111827"/>
          <w:sz w:val="16"/>
        </w:rPr>
        <w:t>frontend/src/utils/evaluateCelesteRules.ts</w:t>
      </w:r>
    </w:p>
    <w:p>
      <w:pPr>
        <w:pStyle w:val="ListBullet"/>
        <w:numPr>
          <w:ilvl w:val="0"/>
          <w:numId w:val="1"/>
        </w:numPr>
        <w:spacing w:before="0" w:after="60"/>
        <w:contextualSpacing/>
        <w:rPr>
          <w:lang w:val="es-CO"/>
        </w:rPr>
      </w:pPr>
      <w:r>
        <w:rPr>
          <w:rFonts w:eastAsia="Consolas" w:ascii="Consolas" w:hAnsi="Consolas"/>
          <w:color w:val="111827"/>
          <w:sz w:val="16"/>
          <w:lang w:val="es-CO"/>
        </w:rPr>
        <w:t>frontend/src/config/estadoActuaciones.rules.ts</w:t>
      </w:r>
    </w:p>
    <w:p>
      <w:pPr>
        <w:pStyle w:val="Normal"/>
        <w:spacing w:before="0" w:after="60"/>
        <w:rPr>
          <w:lang w:val="es-CO"/>
        </w:rPr>
      </w:pPr>
      <w:r>
        <w:rPr>
          <w:color w:val="1F2937"/>
          <w:sz w:val="18"/>
          <w:lang w:val="es-CO"/>
        </w:rPr>
        <w:t>Las reglas se describen a continuación dentro de este mismo manual para que la entrega no dependa de documentos auxiliares.</w:t>
      </w:r>
    </w:p>
    <w:p>
      <w:pPr>
        <w:pStyle w:val="Heading3"/>
        <w:rPr/>
      </w:pPr>
      <w:bookmarkStart w:id="44" w:name="__RefHeading___Toc7047_3389959019"/>
      <w:bookmarkStart w:id="45" w:name="_Toc231224329"/>
      <w:bookmarkEnd w:id="44"/>
      <w:r>
        <w:rPr/>
        <w:t>Principios técnicos de evaluación</w:t>
      </w:r>
      <w:bookmarkEnd w:id="45"/>
    </w:p>
    <w:p>
      <w:pPr>
        <w:pStyle w:val="ListBullet"/>
        <w:numPr>
          <w:ilvl w:val="0"/>
          <w:numId w:val="1"/>
        </w:numPr>
        <w:spacing w:before="0" w:after="60"/>
        <w:contextualSpacing/>
        <w:rPr>
          <w:lang w:val="es-CO"/>
        </w:rPr>
      </w:pPr>
      <w:r>
        <w:rPr>
          <w:color w:val="1F2937"/>
          <w:lang w:val="es-CO"/>
        </w:rPr>
        <w:t xml:space="preserve">Las reglas aceptan claves textuales y, en Aurora, también algunos IDs estables definidos en </w:t>
      </w:r>
      <w:r>
        <w:rPr>
          <w:rFonts w:eastAsia="Consolas" w:ascii="Consolas" w:hAnsi="Consolas"/>
          <w:color w:val="111827"/>
          <w:sz w:val="16"/>
          <w:lang w:val="es-CO"/>
        </w:rPr>
        <w:t>auroraFieldIds.ts</w:t>
      </w:r>
      <w:r>
        <w:rPr>
          <w:color w:val="1F2937"/>
          <w:lang w:val="es-CO"/>
        </w:rPr>
        <w:t>.</w:t>
      </w:r>
    </w:p>
    <w:p>
      <w:pPr>
        <w:pStyle w:val="ListBullet"/>
        <w:numPr>
          <w:ilvl w:val="0"/>
          <w:numId w:val="1"/>
        </w:numPr>
        <w:spacing w:before="0" w:after="60"/>
        <w:contextualSpacing/>
        <w:rPr>
          <w:lang w:val="es-CO"/>
        </w:rPr>
      </w:pPr>
      <w:r>
        <w:rPr>
          <w:color w:val="1F2937"/>
          <w:lang w:val="es-CO"/>
        </w:rPr>
        <w:t>La lectura de respuestas es tolerante a acentos, mayúsculas, espacios y casos de mojibake UTF-8/Latin-1.</w:t>
      </w:r>
    </w:p>
    <w:p>
      <w:pPr>
        <w:pStyle w:val="ListBullet"/>
        <w:numPr>
          <w:ilvl w:val="0"/>
          <w:numId w:val="1"/>
        </w:numPr>
        <w:spacing w:before="0" w:after="60"/>
        <w:contextualSpacing/>
        <w:rPr>
          <w:lang w:val="es-CO"/>
        </w:rPr>
      </w:pPr>
      <w:r>
        <w:rPr>
          <w:color w:val="1F2937"/>
          <w:lang w:val="es-CO"/>
        </w:rPr>
        <w:t xml:space="preserve">Valores como vacío, </w:t>
      </w:r>
      <w:r>
        <w:rPr>
          <w:rFonts w:eastAsia="Consolas" w:ascii="Consolas" w:hAnsi="Consolas"/>
          <w:color w:val="111827"/>
          <w:sz w:val="16"/>
          <w:lang w:val="es-CO"/>
        </w:rPr>
        <w:t>-</w:t>
      </w:r>
      <w:r>
        <w:rPr>
          <w:color w:val="1F2937"/>
          <w:lang w:val="es-CO"/>
        </w:rPr>
        <w:t xml:space="preserve">, </w:t>
      </w:r>
      <w:r>
        <w:rPr>
          <w:rFonts w:eastAsia="Consolas" w:ascii="Consolas" w:hAnsi="Consolas"/>
          <w:color w:val="111827"/>
          <w:sz w:val="16"/>
          <w:lang w:val="es-CO"/>
        </w:rPr>
        <w:t>--</w:t>
      </w:r>
      <w:r>
        <w:rPr>
          <w:color w:val="1F2937"/>
          <w:lang w:val="es-CO"/>
        </w:rPr>
        <w:t xml:space="preserve">, </w:t>
      </w:r>
      <w:r>
        <w:rPr>
          <w:rFonts w:eastAsia="Consolas" w:ascii="Consolas" w:hAnsi="Consolas"/>
          <w:color w:val="111827"/>
          <w:sz w:val="16"/>
          <w:lang w:val="es-CO"/>
        </w:rPr>
        <w:t>null</w:t>
      </w:r>
      <w:r>
        <w:rPr>
          <w:color w:val="1F2937"/>
          <w:lang w:val="es-CO"/>
        </w:rPr>
        <w:t xml:space="preserve">, </w:t>
      </w:r>
      <w:r>
        <w:rPr>
          <w:rFonts w:eastAsia="Consolas" w:ascii="Consolas" w:hAnsi="Consolas"/>
          <w:color w:val="111827"/>
          <w:sz w:val="16"/>
          <w:lang w:val="es-CO"/>
        </w:rPr>
        <w:t>undefined</w:t>
      </w:r>
      <w:r>
        <w:rPr>
          <w:color w:val="1F2937"/>
          <w:lang w:val="es-CO"/>
        </w:rPr>
        <w:t xml:space="preserve">, </w:t>
      </w:r>
      <w:r>
        <w:rPr>
          <w:rFonts w:eastAsia="Consolas" w:ascii="Consolas" w:hAnsi="Consolas"/>
          <w:color w:val="111827"/>
          <w:sz w:val="16"/>
          <w:lang w:val="es-CO"/>
        </w:rPr>
        <w:t>seleccione</w:t>
      </w:r>
      <w:r>
        <w:rPr>
          <w:color w:val="1F2937"/>
          <w:lang w:val="es-CO"/>
        </w:rPr>
        <w:t xml:space="preserve"> y equivalentes no cuentan como diligenciados.</w:t>
      </w:r>
    </w:p>
    <w:p>
      <w:pPr>
        <w:pStyle w:val="ListBullet"/>
        <w:numPr>
          <w:ilvl w:val="0"/>
          <w:numId w:val="1"/>
        </w:numPr>
        <w:spacing w:before="0" w:after="60"/>
        <w:contextualSpacing/>
        <w:rPr>
          <w:lang w:val="es-CO"/>
        </w:rPr>
      </w:pPr>
      <w:r>
        <w:rPr>
          <w:color w:val="1F2937"/>
          <w:lang w:val="es-CO"/>
        </w:rPr>
        <w:t>La UI evalúa reglas cada vez que cambian las respuestas para recalcular bloques visibles, campos deshabilitados, estado y bloqueo.</w:t>
      </w:r>
    </w:p>
    <w:p>
      <w:pPr>
        <w:pStyle w:val="ListBullet"/>
        <w:numPr>
          <w:ilvl w:val="0"/>
          <w:numId w:val="1"/>
        </w:numPr>
        <w:spacing w:before="0" w:after="60"/>
        <w:contextualSpacing/>
        <w:rPr>
          <w:lang w:val="es-CO"/>
        </w:rPr>
      </w:pPr>
      <w:r>
        <w:rPr>
          <w:color w:val="1F2937"/>
          <w:lang w:val="es-CO"/>
        </w:rPr>
        <w:t>Las reglas de habilitación pueden retirar campos de la lista de deshabilitados cuando una condición posterior los vuelve válidos.</w:t>
      </w:r>
    </w:p>
    <w:p>
      <w:pPr>
        <w:pStyle w:val="Heading3"/>
        <w:rPr>
          <w:lang w:val="es-CO"/>
        </w:rPr>
      </w:pPr>
      <w:bookmarkStart w:id="46" w:name="__RefHeading___Toc7049_3389959019"/>
      <w:bookmarkStart w:id="47" w:name="_Toc231224330"/>
      <w:bookmarkEnd w:id="46"/>
      <w:r>
        <w:rPr>
          <w:lang w:val="es-CO"/>
        </w:rPr>
        <w:t>Flujo Aurora para condenados</w:t>
      </w:r>
      <w:bookmarkEnd w:id="47"/>
    </w:p>
    <w:p>
      <w:pPr>
        <w:pStyle w:val="Normal"/>
        <w:spacing w:before="0" w:after="60"/>
        <w:rPr>
          <w:lang w:val="es-CO"/>
        </w:rPr>
      </w:pPr>
      <w:r>
        <w:rPr>
          <w:color w:val="1F2937"/>
          <w:sz w:val="18"/>
          <w:lang w:val="es-CO"/>
        </w:rPr>
        <w:t>El flujo Aurora se organiza en bloques:</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380"/>
        <w:gridCol w:w="2608"/>
        <w:gridCol w:w="4593"/>
      </w:tblGrid>
      <w:tr>
        <w:trPr>
          <w:tblHeader w:val="true"/>
        </w:trPr>
        <w:tc>
          <w:tcPr>
            <w:tcW w:w="238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Bloque</w:t>
            </w:r>
          </w:p>
        </w:tc>
        <w:tc>
          <w:tcPr>
            <w:tcW w:w="2608"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Contenido</w:t>
            </w:r>
          </w:p>
        </w:tc>
        <w:tc>
          <w:tcPr>
            <w:tcW w:w="4593"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Regla de avance</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bloque1</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Identificación y datos base.</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Visible siempre.</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bloque2Aurora</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Datos jurídicos de condena, proceso, pena, conducta y avance temporal.</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Visible siempre para condenados.</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bloque3</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Análisis jurídico, procedencias y otras solicitudes.</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Visible si no hay bloqueo.</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bloque4</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Entrevista, decisión del usuario, actuación y poder/pruebas.</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Requiere bloque 3 completo, Q36 válida y al menos una procedencia/solicitud positiva.</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bloque5UtilidadPublica</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Trámite especial de utilidad pública.</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Se usa cuando la actuación a adelantar corresponde a utilidad pública.</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bloque5TramiteNormal</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Trámite general ante autoridad.</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Variante por defecto para actuaciones diferentes de utilidad pública.</w:t>
            </w:r>
          </w:p>
        </w:tc>
      </w:tr>
    </w:tbl>
    <w:p>
      <w:pPr>
        <w:pStyle w:val="Normal"/>
        <w:rPr>
          <w:lang w:val="es-CO"/>
        </w:rPr>
      </w:pPr>
      <w:r>
        <w:rPr>
          <w:lang w:val="es-CO"/>
        </w:rPr>
      </w:r>
    </w:p>
    <w:p>
      <w:pPr>
        <w:pStyle w:val="Normal"/>
        <w:spacing w:before="0" w:after="60"/>
        <w:rPr/>
      </w:pPr>
      <w:r>
        <w:rPr>
          <w:color w:val="1F2937"/>
          <w:sz w:val="18"/>
        </w:rPr>
        <w:t>Obligatoriedad relevante:</w:t>
      </w:r>
    </w:p>
    <w:p>
      <w:pPr>
        <w:pStyle w:val="ListBullet"/>
        <w:numPr>
          <w:ilvl w:val="0"/>
          <w:numId w:val="1"/>
        </w:numPr>
        <w:spacing w:before="0" w:after="60"/>
        <w:contextualSpacing/>
        <w:rPr>
          <w:lang w:val="es-CO"/>
        </w:rPr>
      </w:pPr>
      <w:r>
        <w:rPr>
          <w:color w:val="1F2937"/>
          <w:lang w:val="es-CO"/>
        </w:rPr>
        <w:t>En bloque 2 son obligatorios autoridad, proceso, delitos, captura, pena, tiempo privado de libertad, redención, tiempo efectivo, porcentaje, fase, requerimientos, fecha de última calificación y calificación de conducta.</w:t>
      </w:r>
    </w:p>
    <w:p>
      <w:pPr>
        <w:pStyle w:val="ListBullet"/>
        <w:numPr>
          <w:ilvl w:val="0"/>
          <w:numId w:val="1"/>
        </w:numPr>
        <w:spacing w:before="0" w:after="60"/>
        <w:contextualSpacing/>
        <w:rPr/>
      </w:pPr>
      <w:r>
        <w:rPr>
          <w:color w:val="1F2937"/>
          <w:lang w:val="es-CO"/>
        </w:rPr>
        <w:t xml:space="preserve">En bloque 3 son obligatorios defensor, fecha de análisis, procedencias Q30/Q31/Q33/Q34, Q36 y resumen del análisis Q37. </w:t>
      </w:r>
      <w:r>
        <w:rPr>
          <w:color w:val="1F2937"/>
        </w:rPr>
        <w:t>Q32 es opcional porque aplica solo para mujeres.</w:t>
      </w:r>
    </w:p>
    <w:p>
      <w:pPr>
        <w:pStyle w:val="ListBullet"/>
        <w:numPr>
          <w:ilvl w:val="0"/>
          <w:numId w:val="1"/>
        </w:numPr>
        <w:spacing w:before="0" w:after="60"/>
        <w:contextualSpacing/>
        <w:rPr>
          <w:lang w:val="es-CO"/>
        </w:rPr>
      </w:pPr>
      <w:r>
        <w:rPr>
          <w:color w:val="1F2937"/>
          <w:lang w:val="es-CO"/>
        </w:rPr>
        <w:t>Q36 es multiselección; las marcas automáticas de "más de una opción" no cuentan como respuesta válida.</w:t>
      </w:r>
    </w:p>
    <w:p>
      <w:pPr>
        <w:pStyle w:val="ListBullet"/>
        <w:numPr>
          <w:ilvl w:val="0"/>
          <w:numId w:val="1"/>
        </w:numPr>
        <w:spacing w:before="0" w:after="60"/>
        <w:contextualSpacing/>
        <w:rPr>
          <w:lang w:val="es-CO"/>
        </w:rPr>
      </w:pPr>
      <w:r>
        <w:rPr>
          <w:color w:val="1F2937"/>
          <w:lang w:val="es-CO"/>
        </w:rPr>
        <w:t>En bloque 4 son obligatorias decisión del usuario y actuación a adelantar; fecha de entrevista, requiere pruebas y poder son opcionales en la matriz técnica actual.</w:t>
      </w:r>
    </w:p>
    <w:p>
      <w:pPr>
        <w:pStyle w:val="ListBullet"/>
        <w:numPr>
          <w:ilvl w:val="0"/>
          <w:numId w:val="1"/>
        </w:numPr>
        <w:spacing w:before="0" w:after="60"/>
        <w:contextualSpacing/>
        <w:rPr>
          <w:lang w:val="es-CO"/>
        </w:rPr>
      </w:pPr>
      <w:r>
        <w:rPr>
          <w:color w:val="1F2937"/>
          <w:lang w:val="es-CO"/>
        </w:rPr>
        <w:t>En bloque 5, las fechas y sentidos de decisión determinan el estado y el cierre del caso.</w:t>
      </w:r>
    </w:p>
    <w:p>
      <w:pPr>
        <w:pStyle w:val="Heading3"/>
        <w:rPr>
          <w:lang w:val="es-CO"/>
        </w:rPr>
      </w:pPr>
      <w:bookmarkStart w:id="48" w:name="__RefHeading___Toc7051_3389959019"/>
      <w:bookmarkStart w:id="49" w:name="_Toc231224331"/>
      <w:bookmarkEnd w:id="48"/>
      <w:r>
        <w:rPr>
          <w:lang w:val="es-CO"/>
        </w:rPr>
        <w:t>Dependencias y campos deshabilitados en Aurora</w:t>
      </w:r>
      <w:bookmarkEnd w:id="49"/>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890"/>
        <w:gridCol w:w="6690"/>
      </w:tblGrid>
      <w:tr>
        <w:trPr>
          <w:tblHeader w:val="true"/>
        </w:trPr>
        <w:tc>
          <w:tcPr>
            <w:tcW w:w="28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Condición</w:t>
            </w:r>
          </w:p>
        </w:tc>
        <w:tc>
          <w:tcPr>
            <w:tcW w:w="66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Efecto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trámite normal, Q41 diferente de Sí</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Deshabilita fecha de recepción de pruebas aportadas por el usuario.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trámite normal, Q41 igual a Sí</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Habilita fecha de recepción de pruebas aportadas por el usuario.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utilidad pública, Q46 igual a No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Deshabilita fecha de solicitud de misión de trabajo y fecha de asignación de investigador.</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utilidad pública, Q52 diferente de Niega utilidad pública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Deshabilita motivo de decisión negativa, recurso y campos de decisión de recurso.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utilidad pública, Q52 igual a Niega utilidad pública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Habilita motivo de decisión negativa y recurso.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utilidad pública, Q54 igual a Sí y Q52 negativa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Habilita fecha de recurso y sentido de decisión de recurso.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trámite normal, sentido de decisión negativo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Habilita motivo de decisión negativa y recurso.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trámite normal, sentido de decisión no negativo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Deshabilita motivo, recurso y decisión de recurso.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trámite normal, recurso diferente de Sí</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Deshabilita fecha de recurso y sentido final que resuelve la solicitud.</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En trámite normal, recurso igual a Sí</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Habilita fecha de recurso y sentido final que resuelve la solicitud.</w:t>
            </w:r>
          </w:p>
        </w:tc>
      </w:tr>
    </w:tbl>
    <w:p>
      <w:pPr>
        <w:pStyle w:val="Normal"/>
        <w:rPr>
          <w:lang w:val="es-CO"/>
        </w:rPr>
      </w:pPr>
      <w:r>
        <w:rPr>
          <w:lang w:val="es-CO"/>
        </w:rPr>
      </w:r>
    </w:p>
    <w:p>
      <w:pPr>
        <w:pStyle w:val="Heading3"/>
        <w:rPr>
          <w:lang w:val="es-CO"/>
        </w:rPr>
      </w:pPr>
      <w:bookmarkStart w:id="50" w:name="__RefHeading___Toc7053_3389959019"/>
      <w:bookmarkStart w:id="51" w:name="_Toc231224332"/>
      <w:bookmarkEnd w:id="50"/>
      <w:r>
        <w:rPr>
          <w:lang w:val="es-CO"/>
        </w:rPr>
        <w:t>Cierre de caso en Aurora</w:t>
      </w:r>
      <w:bookmarkEnd w:id="51"/>
    </w:p>
    <w:p>
      <w:pPr>
        <w:pStyle w:val="Normal"/>
        <w:spacing w:before="0" w:after="60"/>
        <w:rPr>
          <w:lang w:val="es-CO"/>
        </w:rPr>
      </w:pPr>
      <w:r>
        <w:rPr>
          <w:color w:val="1F2937"/>
          <w:sz w:val="18"/>
          <w:lang w:val="es-CO"/>
        </w:rPr>
        <w:t>El caso se considera cerrado cuando se cumple alguna de estas condiciones:</w:t>
      </w:r>
    </w:p>
    <w:p>
      <w:pPr>
        <w:pStyle w:val="ListBullet"/>
        <w:numPr>
          <w:ilvl w:val="0"/>
          <w:numId w:val="1"/>
        </w:numPr>
        <w:spacing w:before="0" w:after="60"/>
        <w:contextualSpacing/>
        <w:rPr>
          <w:lang w:val="es-CO"/>
        </w:rPr>
      </w:pPr>
      <w:r>
        <w:rPr>
          <w:color w:val="1F2937"/>
          <w:lang w:val="es-CO"/>
        </w:rPr>
        <w:t>Q30 a Q34 están diligenciadas sin procedencia positiva y Q36 no tiene solicitud positiva.</w:t>
      </w:r>
    </w:p>
    <w:p>
      <w:pPr>
        <w:pStyle w:val="ListBullet"/>
        <w:numPr>
          <w:ilvl w:val="0"/>
          <w:numId w:val="1"/>
        </w:numPr>
        <w:spacing w:before="0" w:after="60"/>
        <w:contextualSpacing/>
        <w:rPr>
          <w:lang w:val="es-CO"/>
        </w:rPr>
      </w:pPr>
      <w:r>
        <w:rPr>
          <w:color w:val="1F2937"/>
          <w:lang w:val="es-CO"/>
        </w:rPr>
        <w:t>La decisión del usuario no permite continuar con la solicitud.</w:t>
      </w:r>
    </w:p>
    <w:p>
      <w:pPr>
        <w:pStyle w:val="ListBullet"/>
        <w:numPr>
          <w:ilvl w:val="0"/>
          <w:numId w:val="1"/>
        </w:numPr>
        <w:spacing w:before="0" w:after="60"/>
        <w:contextualSpacing/>
        <w:rPr>
          <w:lang w:val="es-CO"/>
        </w:rPr>
      </w:pPr>
      <w:r>
        <w:rPr>
          <w:color w:val="1F2937"/>
          <w:lang w:val="es-CO"/>
        </w:rPr>
        <w:t xml:space="preserve">La actuación a adelantar indica </w:t>
      </w:r>
      <w:r>
        <w:rPr>
          <w:rFonts w:eastAsia="Consolas" w:ascii="Consolas" w:hAnsi="Consolas"/>
          <w:color w:val="111827"/>
          <w:sz w:val="16"/>
          <w:lang w:val="es-CO"/>
        </w:rPr>
        <w:t>Ninguna</w:t>
      </w:r>
      <w:r>
        <w:rPr>
          <w:color w:val="1F2937"/>
          <w:lang w:val="es-CO"/>
        </w:rPr>
        <w:t xml:space="preserve"> o </w:t>
      </w:r>
      <w:r>
        <w:rPr>
          <w:rFonts w:eastAsia="Consolas" w:ascii="Consolas" w:hAnsi="Consolas"/>
          <w:color w:val="111827"/>
          <w:sz w:val="16"/>
          <w:lang w:val="es-CO"/>
        </w:rPr>
        <w:t>No procede nada</w:t>
      </w:r>
      <w:r>
        <w:rPr>
          <w:color w:val="1F2937"/>
          <w:lang w:val="es-CO"/>
        </w:rPr>
        <w:t>.</w:t>
      </w:r>
    </w:p>
    <w:p>
      <w:pPr>
        <w:pStyle w:val="ListBullet"/>
        <w:numPr>
          <w:ilvl w:val="0"/>
          <w:numId w:val="1"/>
        </w:numPr>
        <w:spacing w:before="0" w:after="60"/>
        <w:contextualSpacing/>
        <w:rPr>
          <w:lang w:val="es-CO"/>
        </w:rPr>
      </w:pPr>
      <w:r>
        <w:rPr>
          <w:color w:val="1F2937"/>
          <w:lang w:val="es-CO"/>
        </w:rPr>
        <w:t>En utilidad pública, no se cumple marginalidad o jefatura de hogar.</w:t>
      </w:r>
    </w:p>
    <w:p>
      <w:pPr>
        <w:pStyle w:val="ListBullet"/>
        <w:numPr>
          <w:ilvl w:val="0"/>
          <w:numId w:val="1"/>
        </w:numPr>
        <w:spacing w:before="0" w:after="60"/>
        <w:contextualSpacing/>
        <w:rPr>
          <w:lang w:val="es-CO"/>
        </w:rPr>
      </w:pPr>
      <w:r>
        <w:rPr>
          <w:color w:val="1F2937"/>
          <w:lang w:val="es-CO"/>
        </w:rPr>
        <w:t>Hay decisión negativa y no se presenta recurso.</w:t>
      </w:r>
    </w:p>
    <w:p>
      <w:pPr>
        <w:pStyle w:val="ListBullet"/>
        <w:numPr>
          <w:ilvl w:val="0"/>
          <w:numId w:val="1"/>
        </w:numPr>
        <w:spacing w:before="0" w:after="60"/>
        <w:contextualSpacing/>
        <w:rPr>
          <w:lang w:val="es-CO"/>
        </w:rPr>
      </w:pPr>
      <w:r>
        <w:rPr>
          <w:color w:val="1F2937"/>
          <w:lang w:val="es-CO"/>
        </w:rPr>
        <w:t>Hay decisión negativa, se presenta recurso y ya existe decisión del recurso.</w:t>
      </w:r>
    </w:p>
    <w:p>
      <w:pPr>
        <w:pStyle w:val="ListBullet"/>
        <w:numPr>
          <w:ilvl w:val="0"/>
          <w:numId w:val="1"/>
        </w:numPr>
        <w:spacing w:before="0" w:after="60"/>
        <w:contextualSpacing/>
        <w:rPr>
          <w:lang w:val="es-CO"/>
        </w:rPr>
      </w:pPr>
      <w:r>
        <w:rPr>
          <w:color w:val="1F2937"/>
          <w:lang w:val="es-CO"/>
        </w:rPr>
        <w:t>En trámite normal existe sentido de decisión favorable o diferente de no conceder.</w:t>
      </w:r>
    </w:p>
    <w:p>
      <w:pPr>
        <w:pStyle w:val="ListBullet"/>
        <w:numPr>
          <w:ilvl w:val="0"/>
          <w:numId w:val="1"/>
        </w:numPr>
        <w:spacing w:before="0" w:after="60"/>
        <w:contextualSpacing/>
        <w:rPr>
          <w:lang w:val="es-CO"/>
        </w:rPr>
      </w:pPr>
      <w:r>
        <w:rPr>
          <w:color w:val="1F2937"/>
          <w:lang w:val="es-CO"/>
        </w:rPr>
        <w:t>En utilidad pública existe sentido favorable o diferente de negación.</w:t>
      </w:r>
    </w:p>
    <w:p>
      <w:pPr>
        <w:pStyle w:val="ListBullet"/>
        <w:numPr>
          <w:ilvl w:val="0"/>
          <w:numId w:val="1"/>
        </w:numPr>
        <w:spacing w:before="0" w:after="60"/>
        <w:contextualSpacing/>
        <w:rPr>
          <w:lang w:val="es-CO"/>
        </w:rPr>
      </w:pPr>
      <w:r>
        <w:rPr>
          <w:color w:val="1F2937"/>
          <w:lang w:val="es-CO"/>
        </w:rPr>
        <w:t>Existe decisión final de recurso.</w:t>
      </w:r>
    </w:p>
    <w:p>
      <w:pPr>
        <w:pStyle w:val="Heading3"/>
        <w:rPr>
          <w:lang w:val="es-CO"/>
        </w:rPr>
      </w:pPr>
      <w:bookmarkStart w:id="52" w:name="__RefHeading___Toc7055_3389959019"/>
      <w:bookmarkStart w:id="53" w:name="_Toc231224333"/>
      <w:bookmarkEnd w:id="52"/>
      <w:r>
        <w:rPr>
          <w:lang w:val="es-CO"/>
        </w:rPr>
        <w:t>Estado derivado en Aurora</w:t>
      </w:r>
      <w:bookmarkEnd w:id="53"/>
    </w:p>
    <w:p>
      <w:pPr>
        <w:pStyle w:val="Normal"/>
        <w:spacing w:before="0" w:after="60"/>
        <w:rPr>
          <w:lang w:val="es-CO"/>
        </w:rPr>
      </w:pPr>
      <w:r>
        <w:rPr>
          <w:color w:val="1F2937"/>
          <w:sz w:val="18"/>
          <w:lang w:val="es-CO"/>
        </w:rPr>
        <w:t>El estado se calcula en orden de prioridad:</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380"/>
        <w:gridCol w:w="2608"/>
        <w:gridCol w:w="4593"/>
      </w:tblGrid>
      <w:tr>
        <w:trPr>
          <w:tblHeader w:val="true"/>
        </w:trPr>
        <w:tc>
          <w:tcPr>
            <w:tcW w:w="238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Prioridad</w:t>
            </w:r>
          </w:p>
        </w:tc>
        <w:tc>
          <w:tcPr>
            <w:tcW w:w="2608"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Estado</w:t>
            </w:r>
          </w:p>
        </w:tc>
        <w:tc>
          <w:tcPr>
            <w:tcW w:w="4593"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Condición resumida</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1</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Caso cerrado</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Cumple cualquier regla de cierre.</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2</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Pendiente decisión</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Decisión negativa con recurso presentado y sin decisión del recurso.</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3</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Pendiente decisión</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Existe fecha de decisión pero falta sentido de decisión.</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4</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Pendiente decisión</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Existe radicación/presentación ante autoridad y falta decisión.</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5</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Presentar solicitud</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Hay datos de bloque 5 pero falta radicación/presentación.</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6</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Presentar solicitud</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Análisis, entrevista y actuación completas, sin radicación/presentación.</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7</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Entrevistar al usuario</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Análisis jurídico completo, pero falta entrevista o actuación.</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8</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Analizar el caso</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Estado por defecto.</w:t>
            </w:r>
          </w:p>
        </w:tc>
      </w:tr>
    </w:tbl>
    <w:p>
      <w:pPr>
        <w:pStyle w:val="Normal"/>
        <w:rPr/>
      </w:pPr>
      <w:r>
        <w:rPr/>
      </w:r>
    </w:p>
    <w:p>
      <w:pPr>
        <w:pStyle w:val="Heading3"/>
        <w:rPr/>
      </w:pPr>
      <w:bookmarkStart w:id="54" w:name="__RefHeading___Toc7057_3389959019"/>
      <w:bookmarkStart w:id="55" w:name="_Toc231224334"/>
      <w:bookmarkEnd w:id="54"/>
      <w:r>
        <w:rPr/>
        <w:t>Flujo Sindicados</w:t>
      </w:r>
      <w:bookmarkEnd w:id="55"/>
    </w:p>
    <w:p>
      <w:pPr>
        <w:pStyle w:val="Normal"/>
        <w:spacing w:before="0" w:after="60"/>
        <w:rPr>
          <w:lang w:val="es-CO"/>
        </w:rPr>
      </w:pPr>
      <w:r>
        <w:rPr>
          <w:color w:val="1F2937"/>
          <w:sz w:val="18"/>
          <w:lang w:val="es-CO"/>
        </w:rPr>
        <w:t>El flujo de sindicados usa la configuración Celeste, aunque la interfaz lo presenta como flujo de sindicados.</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380"/>
        <w:gridCol w:w="2608"/>
        <w:gridCol w:w="4593"/>
      </w:tblGrid>
      <w:tr>
        <w:trPr>
          <w:tblHeader w:val="true"/>
        </w:trPr>
        <w:tc>
          <w:tcPr>
            <w:tcW w:w="238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Bloque</w:t>
            </w:r>
          </w:p>
        </w:tc>
        <w:tc>
          <w:tcPr>
            <w:tcW w:w="2608"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Contenido</w:t>
            </w:r>
          </w:p>
        </w:tc>
        <w:tc>
          <w:tcPr>
            <w:tcW w:w="4593"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Regla de avance</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bloque1</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Datos base.</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Visible siempre.</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bloque2Celeste</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Datos jurídicos mínimos del proceso.</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Visible siempre.</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bloque3Celeste</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Defensor, análisis jurídico, procedencia de vencimiento de términos y resumen.</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Visible siempre.</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bloque4Celeste</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Fecha de entrevista para informar al usuario.</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Requiere bloque 3 completo y que Q21 no cierre el caso.</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bloque5Celeste</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Solicitud de audiencia, audiencia, decisión y recurso.</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Requiere Q23 diligenciada.</w:t>
            </w:r>
          </w:p>
        </w:tc>
      </w:tr>
    </w:tbl>
    <w:p>
      <w:pPr>
        <w:pStyle w:val="Normal"/>
        <w:rPr/>
      </w:pPr>
      <w:r>
        <w:rPr/>
      </w:r>
    </w:p>
    <w:p>
      <w:pPr>
        <w:pStyle w:val="Normal"/>
        <w:spacing w:before="0" w:after="60"/>
        <w:rPr/>
      </w:pPr>
      <w:r>
        <w:rPr>
          <w:color w:val="1F2937"/>
          <w:sz w:val="18"/>
        </w:rPr>
        <w:t>Reglas principales:</w:t>
      </w:r>
    </w:p>
    <w:p>
      <w:pPr>
        <w:pStyle w:val="ListBullet"/>
        <w:numPr>
          <w:ilvl w:val="0"/>
          <w:numId w:val="1"/>
        </w:numPr>
        <w:spacing w:before="0" w:after="60"/>
        <w:contextualSpacing/>
        <w:rPr>
          <w:lang w:val="es-CO"/>
        </w:rPr>
      </w:pPr>
      <w:r>
        <w:rPr>
          <w:color w:val="1F2937"/>
          <w:lang w:val="es-CO"/>
        </w:rPr>
        <w:t xml:space="preserve">Si Q21 inicia con </w:t>
      </w:r>
      <w:r>
        <w:rPr>
          <w:rFonts w:eastAsia="Consolas" w:ascii="Consolas" w:hAnsi="Consolas"/>
          <w:color w:val="111827"/>
          <w:sz w:val="16"/>
          <w:lang w:val="es-CO"/>
        </w:rPr>
        <w:t>No se avanzará</w:t>
      </w:r>
      <w:r>
        <w:rPr>
          <w:color w:val="1F2937"/>
          <w:lang w:val="es-CO"/>
        </w:rPr>
        <w:t>, el caso queda cerrado y no se muestran bloques posteriores.</w:t>
      </w:r>
    </w:p>
    <w:p>
      <w:pPr>
        <w:pStyle w:val="ListBullet"/>
        <w:numPr>
          <w:ilvl w:val="0"/>
          <w:numId w:val="1"/>
        </w:numPr>
        <w:spacing w:before="0" w:after="60"/>
        <w:contextualSpacing/>
        <w:rPr>
          <w:lang w:val="es-CO"/>
        </w:rPr>
      </w:pPr>
      <w:r>
        <w:rPr>
          <w:color w:val="1F2937"/>
          <w:lang w:val="es-CO"/>
        </w:rPr>
        <w:t xml:space="preserve">Si Q21 indica que se avanzará y Q23 está vacía, el estado es </w:t>
      </w:r>
      <w:r>
        <w:rPr>
          <w:rFonts w:eastAsia="Consolas" w:ascii="Consolas" w:hAnsi="Consolas"/>
          <w:color w:val="111827"/>
          <w:sz w:val="16"/>
          <w:lang w:val="es-CO"/>
        </w:rPr>
        <w:t>Entrevistar al usuario</w:t>
      </w:r>
      <w:r>
        <w:rPr>
          <w:color w:val="1F2937"/>
          <w:lang w:val="es-CO"/>
        </w:rPr>
        <w:t>.</w:t>
      </w:r>
    </w:p>
    <w:p>
      <w:pPr>
        <w:pStyle w:val="ListBullet"/>
        <w:numPr>
          <w:ilvl w:val="0"/>
          <w:numId w:val="1"/>
        </w:numPr>
        <w:spacing w:before="0" w:after="60"/>
        <w:contextualSpacing/>
        <w:rPr>
          <w:lang w:val="es-CO"/>
        </w:rPr>
      </w:pPr>
      <w:r>
        <w:rPr>
          <w:color w:val="1F2937"/>
          <w:lang w:val="es-CO"/>
        </w:rPr>
        <w:t xml:space="preserve">Si Q23 está diligenciada y aún no existe resultado posterior, el estado es </w:t>
      </w:r>
      <w:r>
        <w:rPr>
          <w:rFonts w:eastAsia="Consolas" w:ascii="Consolas" w:hAnsi="Consolas"/>
          <w:color w:val="111827"/>
          <w:sz w:val="16"/>
          <w:lang w:val="es-CO"/>
        </w:rPr>
        <w:t>Presentar solicitud</w:t>
      </w:r>
      <w:r>
        <w:rPr>
          <w:color w:val="1F2937"/>
          <w:lang w:val="es-CO"/>
        </w:rPr>
        <w:t>.</w:t>
      </w:r>
    </w:p>
    <w:p>
      <w:pPr>
        <w:pStyle w:val="ListBullet"/>
        <w:numPr>
          <w:ilvl w:val="0"/>
          <w:numId w:val="1"/>
        </w:numPr>
        <w:spacing w:before="0" w:after="60"/>
        <w:contextualSpacing/>
        <w:rPr>
          <w:lang w:val="es-CO"/>
        </w:rPr>
      </w:pPr>
      <w:r>
        <w:rPr>
          <w:color w:val="1F2937"/>
          <w:lang w:val="es-CO"/>
        </w:rPr>
        <w:t xml:space="preserve">Si Q24 está diligenciada y Q25 vacía, el estado es </w:t>
      </w:r>
      <w:r>
        <w:rPr>
          <w:rFonts w:eastAsia="Consolas" w:ascii="Consolas" w:hAnsi="Consolas"/>
          <w:color w:val="111827"/>
          <w:sz w:val="16"/>
          <w:lang w:val="es-CO"/>
        </w:rPr>
        <w:t>Pendiente audiencia</w:t>
      </w:r>
      <w:r>
        <w:rPr>
          <w:color w:val="1F2937"/>
          <w:lang w:val="es-CO"/>
        </w:rPr>
        <w:t>.</w:t>
      </w:r>
    </w:p>
    <w:p>
      <w:pPr>
        <w:pStyle w:val="ListBullet"/>
        <w:numPr>
          <w:ilvl w:val="0"/>
          <w:numId w:val="1"/>
        </w:numPr>
        <w:spacing w:before="0" w:after="60"/>
        <w:contextualSpacing/>
        <w:rPr>
          <w:lang w:val="es-CO"/>
        </w:rPr>
      </w:pPr>
      <w:r>
        <w:rPr>
          <w:color w:val="1F2937"/>
          <w:lang w:val="es-CO"/>
        </w:rPr>
        <w:t xml:space="preserve">Si Q25 está diligenciada y Q26 vacía, el estado es </w:t>
      </w:r>
      <w:r>
        <w:rPr>
          <w:rFonts w:eastAsia="Consolas" w:ascii="Consolas" w:hAnsi="Consolas"/>
          <w:color w:val="111827"/>
          <w:sz w:val="16"/>
          <w:lang w:val="es-CO"/>
        </w:rPr>
        <w:t>Pendiente decisión de audiencia</w:t>
      </w:r>
      <w:r>
        <w:rPr>
          <w:color w:val="1F2937"/>
          <w:lang w:val="es-CO"/>
        </w:rPr>
        <w:t>.</w:t>
      </w:r>
    </w:p>
    <w:p>
      <w:pPr>
        <w:pStyle w:val="ListBullet"/>
        <w:numPr>
          <w:ilvl w:val="0"/>
          <w:numId w:val="1"/>
        </w:numPr>
        <w:spacing w:before="0" w:after="60"/>
        <w:contextualSpacing/>
        <w:rPr>
          <w:lang w:val="es-CO"/>
        </w:rPr>
      </w:pPr>
      <w:r>
        <w:rPr>
          <w:color w:val="1F2937"/>
          <w:lang w:val="es-CO"/>
        </w:rPr>
        <w:t>Si Q26 revoca o sustituye la medida, el caso se cierra.</w:t>
      </w:r>
    </w:p>
    <w:p>
      <w:pPr>
        <w:pStyle w:val="ListBullet"/>
        <w:numPr>
          <w:ilvl w:val="0"/>
          <w:numId w:val="1"/>
        </w:numPr>
        <w:spacing w:before="0" w:after="60"/>
        <w:contextualSpacing/>
        <w:rPr>
          <w:lang w:val="es-CO"/>
        </w:rPr>
      </w:pPr>
      <w:r>
        <w:rPr>
          <w:color w:val="1F2937"/>
          <w:lang w:val="es-CO"/>
        </w:rPr>
        <w:t>Si Q26 niega la solicitud y no se presenta recurso, el caso se cierra.</w:t>
      </w:r>
    </w:p>
    <w:p>
      <w:pPr>
        <w:pStyle w:val="ListBullet"/>
        <w:numPr>
          <w:ilvl w:val="0"/>
          <w:numId w:val="1"/>
        </w:numPr>
        <w:spacing w:before="0" w:after="60"/>
        <w:contextualSpacing/>
        <w:rPr>
          <w:lang w:val="es-CO"/>
        </w:rPr>
      </w:pPr>
      <w:r>
        <w:rPr>
          <w:color w:val="1F2937"/>
          <w:lang w:val="es-CO"/>
        </w:rPr>
        <w:t xml:space="preserve">Si se presenta recurso, el estado queda </w:t>
      </w:r>
      <w:r>
        <w:rPr>
          <w:rFonts w:eastAsia="Consolas" w:ascii="Consolas" w:hAnsi="Consolas"/>
          <w:color w:val="111827"/>
          <w:sz w:val="16"/>
          <w:lang w:val="es-CO"/>
        </w:rPr>
        <w:t>Pendiente decisión</w:t>
      </w:r>
      <w:r>
        <w:rPr>
          <w:color w:val="1F2937"/>
          <w:lang w:val="es-CO"/>
        </w:rPr>
        <w:t xml:space="preserve"> hasta que exista decisión o sentido del recurso.</w:t>
      </w:r>
    </w:p>
    <w:p>
      <w:pPr>
        <w:pStyle w:val="ListBullet"/>
        <w:numPr>
          <w:ilvl w:val="0"/>
          <w:numId w:val="1"/>
        </w:numPr>
        <w:spacing w:before="0" w:after="60"/>
        <w:contextualSpacing/>
        <w:rPr>
          <w:lang w:val="es-CO"/>
        </w:rPr>
      </w:pPr>
      <w:r>
        <w:rPr>
          <w:color w:val="1F2937"/>
          <w:lang w:val="es-CO"/>
        </w:rPr>
        <w:t>Si Q30 o Q31 están diligenciadas, el caso queda cerrado.</w:t>
      </w:r>
    </w:p>
    <w:p>
      <w:pPr>
        <w:pStyle w:val="Heading3"/>
        <w:rPr>
          <w:lang w:val="es-CO"/>
        </w:rPr>
      </w:pPr>
      <w:bookmarkStart w:id="56" w:name="__RefHeading___Toc7059_3389959019"/>
      <w:bookmarkStart w:id="57" w:name="_Toc231224335"/>
      <w:bookmarkEnd w:id="56"/>
      <w:r>
        <w:rPr>
          <w:lang w:val="es-CO"/>
        </w:rPr>
        <w:t>Semáforo de estados</w:t>
      </w:r>
      <w:bookmarkEnd w:id="57"/>
    </w:p>
    <w:p>
      <w:pPr>
        <w:pStyle w:val="Normal"/>
        <w:spacing w:before="0" w:after="60"/>
        <w:rPr>
          <w:lang w:val="es-CO"/>
        </w:rPr>
      </w:pPr>
      <w:r>
        <w:rPr>
          <w:rFonts w:eastAsia="Consolas" w:ascii="Consolas" w:hAnsi="Consolas"/>
          <w:color w:val="111827"/>
          <w:sz w:val="16"/>
          <w:lang w:val="es-CO"/>
        </w:rPr>
        <w:t>estadoActuaciones.rules.ts</w:t>
      </w:r>
      <w:r>
        <w:rPr>
          <w:color w:val="1F2937"/>
          <w:sz w:val="18"/>
          <w:lang w:val="es-CO"/>
        </w:rPr>
        <w:t xml:space="preserve"> convierte el estado lógico en etiqueta y clase visual:</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380"/>
        <w:gridCol w:w="2608"/>
        <w:gridCol w:w="4593"/>
      </w:tblGrid>
      <w:tr>
        <w:trPr>
          <w:tblHeader w:val="true"/>
        </w:trPr>
        <w:tc>
          <w:tcPr>
            <w:tcW w:w="238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Estado</w:t>
            </w:r>
          </w:p>
        </w:tc>
        <w:tc>
          <w:tcPr>
            <w:tcW w:w="2608"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Clase base</w:t>
            </w:r>
          </w:p>
        </w:tc>
        <w:tc>
          <w:tcPr>
            <w:tcW w:w="4593"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Referencia temporal para semáforo</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Analizar el caso</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Verde</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Fecha de asignación del PAG o fecha de creación.</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Entrevistar al usuario</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Amarillo</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Fecha de análisis jurídico.</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Presentar solicitud</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Rojo</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Fecha de entrevista.</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Pendiente audiencia</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Azul</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Sin semáforo por días.</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Pendiente decisión de audiencia</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Azul</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Sin semáforo por días.</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Pendiente decisión</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Azul</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Sin semáforo por días.</w:t>
            </w:r>
          </w:p>
        </w:tc>
      </w:tr>
      <w:tr>
        <w:trPr/>
        <w:tc>
          <w:tcPr>
            <w:tcW w:w="238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Caso cerrado</w:t>
            </w:r>
          </w:p>
        </w:tc>
        <w:tc>
          <w:tcPr>
            <w:tcW w:w="2608"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Gris</w:t>
            </w:r>
          </w:p>
        </w:tc>
        <w:tc>
          <w:tcPr>
            <w:tcW w:w="4593"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Sin semáforo por días.</w:t>
            </w:r>
          </w:p>
        </w:tc>
      </w:tr>
    </w:tbl>
    <w:p>
      <w:pPr>
        <w:pStyle w:val="Normal"/>
        <w:rPr/>
      </w:pPr>
      <w:r>
        <w:rPr/>
      </w:r>
    </w:p>
    <w:p>
      <w:pPr>
        <w:pStyle w:val="Normal"/>
        <w:spacing w:before="0" w:after="60"/>
        <w:rPr>
          <w:lang w:val="es-CO"/>
        </w:rPr>
      </w:pPr>
      <w:r>
        <w:rPr>
          <w:color w:val="1F2937"/>
          <w:sz w:val="18"/>
          <w:lang w:val="es-CO"/>
        </w:rPr>
        <w:t>Cuando aplica semáforo por días:</w:t>
      </w:r>
    </w:p>
    <w:p>
      <w:pPr>
        <w:pStyle w:val="ListBullet"/>
        <w:numPr>
          <w:ilvl w:val="0"/>
          <w:numId w:val="1"/>
        </w:numPr>
        <w:spacing w:before="0" w:after="60"/>
        <w:contextualSpacing/>
        <w:rPr/>
      </w:pPr>
      <w:r>
        <w:rPr>
          <w:color w:val="1F2937"/>
        </w:rPr>
        <w:t>0 a 15 días: verde.</w:t>
      </w:r>
    </w:p>
    <w:p>
      <w:pPr>
        <w:pStyle w:val="ListBullet"/>
        <w:numPr>
          <w:ilvl w:val="0"/>
          <w:numId w:val="1"/>
        </w:numPr>
        <w:spacing w:before="0" w:after="60"/>
        <w:contextualSpacing/>
        <w:rPr/>
      </w:pPr>
      <w:r>
        <w:rPr>
          <w:color w:val="1F2937"/>
        </w:rPr>
        <w:t>16 a 30 días: amarillo.</w:t>
      </w:r>
    </w:p>
    <w:p>
      <w:pPr>
        <w:pStyle w:val="ListBullet"/>
        <w:numPr>
          <w:ilvl w:val="0"/>
          <w:numId w:val="1"/>
        </w:numPr>
        <w:spacing w:before="0" w:after="60"/>
        <w:contextualSpacing/>
        <w:rPr/>
      </w:pPr>
      <w:r>
        <w:rPr>
          <w:color w:val="1F2937"/>
        </w:rPr>
        <w:t>Más de 30 días: rojo.</w:t>
      </w:r>
    </w:p>
    <w:p>
      <w:pPr>
        <w:pStyle w:val="Heading3"/>
        <w:rPr/>
      </w:pPr>
      <w:bookmarkStart w:id="58" w:name="__RefHeading___Toc7061_3389959019"/>
      <w:bookmarkStart w:id="59" w:name="_Toc231224336"/>
      <w:bookmarkEnd w:id="58"/>
      <w:r>
        <w:rPr/>
        <w:t>Historial de actuaciones</w:t>
      </w:r>
      <w:bookmarkEnd w:id="59"/>
    </w:p>
    <w:p>
      <w:pPr>
        <w:pStyle w:val="Normal"/>
        <w:spacing w:before="0" w:after="60"/>
        <w:rPr/>
      </w:pPr>
      <w:r>
        <w:rPr>
          <w:color w:val="1F2937"/>
          <w:sz w:val="18"/>
          <w:lang w:val="es-CO"/>
        </w:rPr>
        <w:t xml:space="preserve">El historial permite crear o actualizar actuaciones asociadas al documento de la persona. </w:t>
      </w:r>
      <w:r>
        <w:rPr>
          <w:color w:val="1F2937"/>
          <w:sz w:val="18"/>
        </w:rPr>
        <w:t>Técnicamente:</w:t>
      </w:r>
    </w:p>
    <w:p>
      <w:pPr>
        <w:pStyle w:val="ListBullet"/>
        <w:numPr>
          <w:ilvl w:val="0"/>
          <w:numId w:val="1"/>
        </w:numPr>
        <w:spacing w:before="0" w:after="60"/>
        <w:contextualSpacing/>
        <w:rPr>
          <w:lang w:val="es-CO"/>
        </w:rPr>
      </w:pPr>
      <w:r>
        <w:rPr>
          <w:color w:val="1F2937"/>
          <w:lang w:val="es-CO"/>
        </w:rPr>
        <w:t xml:space="preserve">Una actuación existente se actualiza si se guarda con </w:t>
      </w:r>
      <w:r>
        <w:rPr>
          <w:rFonts w:eastAsia="Consolas" w:ascii="Consolas" w:hAnsi="Consolas"/>
          <w:color w:val="111827"/>
          <w:sz w:val="16"/>
          <w:lang w:val="es-CO"/>
        </w:rPr>
        <w:t>actuacionId</w:t>
      </w:r>
      <w:r>
        <w:rPr>
          <w:color w:val="1F2937"/>
          <w:lang w:val="es-CO"/>
        </w:rPr>
        <w:t>.</w:t>
      </w:r>
    </w:p>
    <w:p>
      <w:pPr>
        <w:pStyle w:val="ListBullet"/>
        <w:numPr>
          <w:ilvl w:val="0"/>
          <w:numId w:val="1"/>
        </w:numPr>
        <w:spacing w:before="0" w:after="60"/>
        <w:contextualSpacing/>
        <w:rPr>
          <w:lang w:val="es-CO"/>
        </w:rPr>
      </w:pPr>
      <w:r>
        <w:rPr>
          <w:color w:val="1F2937"/>
          <w:lang w:val="es-CO"/>
        </w:rPr>
        <w:t xml:space="preserve">Si no hay </w:t>
      </w:r>
      <w:r>
        <w:rPr>
          <w:rFonts w:eastAsia="Consolas" w:ascii="Consolas" w:hAnsi="Consolas"/>
          <w:color w:val="111827"/>
          <w:sz w:val="16"/>
          <w:lang w:val="es-CO"/>
        </w:rPr>
        <w:t>actuacionId</w:t>
      </w:r>
      <w:r>
        <w:rPr>
          <w:color w:val="1F2937"/>
          <w:lang w:val="es-CO"/>
        </w:rPr>
        <w:t>, se actualiza la última actuación del documento o se crea una nueva según el flujo de la pantalla.</w:t>
      </w:r>
    </w:p>
    <w:p>
      <w:pPr>
        <w:pStyle w:val="ListBullet"/>
        <w:numPr>
          <w:ilvl w:val="0"/>
          <w:numId w:val="1"/>
        </w:numPr>
        <w:spacing w:before="0" w:after="60"/>
        <w:contextualSpacing/>
        <w:rPr>
          <w:lang w:val="es-CO"/>
        </w:rPr>
      </w:pPr>
      <w:r>
        <w:rPr>
          <w:color w:val="1F2937"/>
          <w:lang w:val="es-CO"/>
        </w:rPr>
        <w:t>La fila activa del historial se recalcula con los datos vivos del formulario para mostrar estado actualizado antes de una recarga completa.</w:t>
      </w:r>
    </w:p>
    <w:p>
      <w:pPr>
        <w:pStyle w:val="ListBullet"/>
        <w:numPr>
          <w:ilvl w:val="0"/>
          <w:numId w:val="1"/>
        </w:numPr>
        <w:spacing w:before="0" w:after="60"/>
        <w:contextualSpacing/>
        <w:rPr>
          <w:lang w:val="es-CO"/>
        </w:rPr>
      </w:pPr>
      <w:r>
        <w:rPr>
          <w:color w:val="1F2937"/>
          <w:lang w:val="es-CO"/>
        </w:rPr>
        <w:t>En flujo condenado, la creación de una nueva actuación se bloquea si no existen datos mínimos desde el análisis jurídico.</w:t>
      </w:r>
    </w:p>
    <w:p>
      <w:pPr>
        <w:pStyle w:val="Heading3"/>
        <w:rPr>
          <w:lang w:val="es-CO"/>
        </w:rPr>
      </w:pPr>
      <w:bookmarkStart w:id="60" w:name="__RefHeading___Toc7063_3389959019"/>
      <w:bookmarkStart w:id="61" w:name="_Toc231224337"/>
      <w:bookmarkEnd w:id="60"/>
      <w:r>
        <w:rPr>
          <w:lang w:val="es-CO"/>
        </w:rPr>
        <w:t>Validaciones temporales del formulario</w:t>
      </w:r>
      <w:bookmarkEnd w:id="61"/>
    </w:p>
    <w:p>
      <w:pPr>
        <w:pStyle w:val="Normal"/>
        <w:spacing w:before="0" w:after="60"/>
        <w:rPr>
          <w:lang w:val="es-CO"/>
        </w:rPr>
      </w:pPr>
      <w:r>
        <w:rPr>
          <w:color w:val="1F2937"/>
          <w:sz w:val="18"/>
          <w:lang w:val="es-CO"/>
        </w:rPr>
        <w:t>El formulario aplica validaciones de fechas en bloque 5:</w:t>
      </w:r>
    </w:p>
    <w:p>
      <w:pPr>
        <w:pStyle w:val="ListBullet"/>
        <w:numPr>
          <w:ilvl w:val="0"/>
          <w:numId w:val="1"/>
        </w:numPr>
        <w:spacing w:before="0" w:after="60"/>
        <w:contextualSpacing/>
        <w:rPr>
          <w:lang w:val="es-CO"/>
        </w:rPr>
      </w:pPr>
      <w:r>
        <w:rPr>
          <w:color w:val="1F2937"/>
          <w:lang w:val="es-CO"/>
        </w:rPr>
        <w:t>La secuencia cronológica debe conservar el orden esperado: recepción de pruebas, radicación/presentación, decisión y recurso cuando aplique.</w:t>
      </w:r>
    </w:p>
    <w:p>
      <w:pPr>
        <w:pStyle w:val="ListBullet"/>
        <w:numPr>
          <w:ilvl w:val="0"/>
          <w:numId w:val="1"/>
        </w:numPr>
        <w:spacing w:before="0" w:after="60"/>
        <w:contextualSpacing/>
        <w:rPr>
          <w:lang w:val="es-CO"/>
        </w:rPr>
      </w:pPr>
      <w:r>
        <w:rPr>
          <w:color w:val="1F2937"/>
          <w:lang w:val="es-CO"/>
        </w:rPr>
        <w:t>No se aceptan fechas futuras superiores a la fecha actual más 5 días.</w:t>
      </w:r>
    </w:p>
    <w:p>
      <w:pPr>
        <w:pStyle w:val="ListBullet"/>
        <w:numPr>
          <w:ilvl w:val="0"/>
          <w:numId w:val="1"/>
        </w:numPr>
        <w:spacing w:before="0" w:after="60"/>
        <w:contextualSpacing/>
        <w:rPr>
          <w:lang w:val="es-CO"/>
        </w:rPr>
      </w:pPr>
      <w:r>
        <w:rPr>
          <w:color w:val="1F2937"/>
          <w:lang w:val="es-CO"/>
        </w:rPr>
        <w:t>Las fechas usadas por reglas aceptan formatos ISO y día/mes/año cuando el dato proviene de fuentes heterogéneas.</w:t>
      </w:r>
    </w:p>
    <w:p>
      <w:pPr>
        <w:pStyle w:val="Heading3"/>
        <w:rPr>
          <w:lang w:val="es-CO"/>
        </w:rPr>
      </w:pPr>
      <w:bookmarkStart w:id="62" w:name="__RefHeading___Toc7065_3389959019"/>
      <w:bookmarkStart w:id="63" w:name="_Toc231224338"/>
      <w:bookmarkEnd w:id="62"/>
      <w:r>
        <w:rPr>
          <w:lang w:val="es-CO"/>
        </w:rPr>
        <w:t>Cargas mensuales staging/ETL</w:t>
      </w:r>
      <w:bookmarkEnd w:id="63"/>
    </w:p>
    <w:p>
      <w:pPr>
        <w:pStyle w:val="Normal"/>
        <w:spacing w:before="0" w:after="60"/>
        <w:rPr>
          <w:lang w:val="es-CO"/>
        </w:rPr>
      </w:pPr>
      <w:r>
        <w:rPr>
          <w:color w:val="1F2937"/>
          <w:sz w:val="18"/>
          <w:lang w:val="es-CO"/>
        </w:rPr>
        <w:t xml:space="preserve">Aurora incorpora una vista administrativa </w:t>
      </w:r>
      <w:r>
        <w:rPr>
          <w:rFonts w:eastAsia="Consolas" w:ascii="Consolas" w:hAnsi="Consolas"/>
          <w:color w:val="111827"/>
          <w:sz w:val="16"/>
          <w:lang w:val="es-CO"/>
        </w:rPr>
        <w:t>Cargas mensuales</w:t>
      </w:r>
      <w:r>
        <w:rPr>
          <w:color w:val="1F2937"/>
          <w:sz w:val="18"/>
          <w:lang w:val="es-CO"/>
        </w:rPr>
        <w:t xml:space="preserve"> para subir archivos Excel de </w:t>
      </w:r>
      <w:r>
        <w:rPr>
          <w:rFonts w:eastAsia="Consolas" w:ascii="Consolas" w:hAnsi="Consolas"/>
          <w:color w:val="111827"/>
          <w:sz w:val="16"/>
          <w:lang w:val="es-CO"/>
        </w:rPr>
        <w:t>PONAL</w:t>
      </w:r>
      <w:r>
        <w:rPr>
          <w:color w:val="1F2937"/>
          <w:sz w:val="18"/>
          <w:lang w:val="es-CO"/>
        </w:rPr>
        <w:t xml:space="preserve">, </w:t>
      </w:r>
      <w:r>
        <w:rPr>
          <w:rFonts w:eastAsia="Consolas" w:ascii="Consolas" w:hAnsi="Consolas"/>
          <w:color w:val="111827"/>
          <w:sz w:val="16"/>
          <w:lang w:val="es-CO"/>
        </w:rPr>
        <w:t>SISIPEC</w:t>
      </w:r>
      <w:r>
        <w:rPr>
          <w:color w:val="1F2937"/>
          <w:sz w:val="18"/>
          <w:lang w:val="es-CO"/>
        </w:rPr>
        <w:t xml:space="preserve"> y </w:t>
      </w:r>
      <w:r>
        <w:rPr>
          <w:rFonts w:eastAsia="Consolas" w:ascii="Consolas" w:hAnsi="Consolas"/>
          <w:color w:val="111827"/>
          <w:sz w:val="16"/>
          <w:lang w:val="es-CO"/>
        </w:rPr>
        <w:t>Aurora 1.0</w:t>
      </w:r>
      <w:r>
        <w:rPr>
          <w:color w:val="1F2937"/>
          <w:sz w:val="18"/>
          <w:lang w:val="es-CO"/>
        </w:rPr>
        <w:t>, cargarlos a tablas staging y ejecutar los procedimientos ETL de Oracle.</w:t>
      </w:r>
    </w:p>
    <w:p>
      <w:pPr>
        <w:pStyle w:val="Normal"/>
        <w:spacing w:before="0" w:after="60"/>
        <w:rPr/>
      </w:pPr>
      <w:r>
        <w:rPr>
          <w:color w:val="1F2937"/>
          <w:sz w:val="18"/>
        </w:rPr>
        <w:t>Componentes:</w:t>
      </w:r>
    </w:p>
    <w:p>
      <w:pPr>
        <w:pStyle w:val="ListBullet"/>
        <w:numPr>
          <w:ilvl w:val="0"/>
          <w:numId w:val="1"/>
        </w:numPr>
        <w:spacing w:before="0" w:after="60"/>
        <w:contextualSpacing/>
        <w:rPr>
          <w:lang w:val="es-CO"/>
        </w:rPr>
      </w:pPr>
      <w:r>
        <w:rPr>
          <w:rFonts w:eastAsia="Consolas" w:ascii="Consolas" w:hAnsi="Consolas"/>
          <w:color w:val="111827"/>
          <w:sz w:val="16"/>
          <w:lang w:val="es-CO"/>
        </w:rPr>
        <w:t>frontend/src/pages/AdminCargasBD.jsx</w:t>
      </w:r>
      <w:r>
        <w:rPr>
          <w:color w:val="1F2937"/>
          <w:lang w:val="es-CO"/>
        </w:rPr>
        <w:t>: UI de carga, historial, log y reintento.</w:t>
      </w:r>
    </w:p>
    <w:p>
      <w:pPr>
        <w:pStyle w:val="ListBullet"/>
        <w:numPr>
          <w:ilvl w:val="0"/>
          <w:numId w:val="1"/>
        </w:numPr>
        <w:spacing w:before="0" w:after="60"/>
        <w:contextualSpacing/>
        <w:rPr/>
      </w:pPr>
      <w:r>
        <w:rPr>
          <w:rFonts w:eastAsia="Consolas" w:ascii="Consolas" w:hAnsi="Consolas"/>
          <w:color w:val="111827"/>
          <w:sz w:val="16"/>
        </w:rPr>
        <w:t>backend/routes/adminCargas.js</w:t>
      </w:r>
      <w:r>
        <w:rPr>
          <w:color w:val="1F2937"/>
        </w:rPr>
        <w:t xml:space="preserve">: endpoints </w:t>
      </w:r>
      <w:r>
        <w:rPr>
          <w:rFonts w:eastAsia="Consolas" w:ascii="Consolas" w:hAnsi="Consolas"/>
          <w:color w:val="111827"/>
          <w:sz w:val="16"/>
        </w:rPr>
        <w:t>/api/admin/cargas</w:t>
      </w:r>
      <w:r>
        <w:rPr>
          <w:color w:val="1F2937"/>
        </w:rPr>
        <w:t>.</w:t>
      </w:r>
    </w:p>
    <w:p>
      <w:pPr>
        <w:pStyle w:val="ListBullet"/>
        <w:numPr>
          <w:ilvl w:val="0"/>
          <w:numId w:val="1"/>
        </w:numPr>
        <w:spacing w:before="0" w:after="60"/>
        <w:contextualSpacing/>
        <w:rPr>
          <w:lang w:val="es-CO"/>
        </w:rPr>
      </w:pPr>
      <w:r>
        <w:rPr>
          <w:rFonts w:eastAsia="Consolas" w:ascii="Consolas" w:hAnsi="Consolas"/>
          <w:color w:val="111827"/>
          <w:sz w:val="16"/>
          <w:lang w:val="es-CO"/>
        </w:rPr>
        <w:t>backend/services/cargaBdService.js</w:t>
      </w:r>
      <w:r>
        <w:rPr>
          <w:color w:val="1F2937"/>
          <w:lang w:val="es-CO"/>
        </w:rPr>
        <w:t>: almacenamiento, registro y ejecución en segundo plano.</w:t>
      </w:r>
    </w:p>
    <w:p>
      <w:pPr>
        <w:pStyle w:val="ListBullet"/>
        <w:numPr>
          <w:ilvl w:val="0"/>
          <w:numId w:val="1"/>
        </w:numPr>
        <w:spacing w:before="0" w:after="60"/>
        <w:contextualSpacing/>
        <w:rPr>
          <w:lang w:val="es-CO"/>
        </w:rPr>
      </w:pPr>
      <w:r>
        <w:rPr>
          <w:rFonts w:eastAsia="Consolas" w:ascii="Consolas" w:hAnsi="Consolas"/>
          <w:color w:val="111827"/>
          <w:sz w:val="16"/>
          <w:lang w:val="es-CO"/>
        </w:rPr>
        <w:t>scripts/cargas_bd/loader_service.py</w:t>
      </w:r>
      <w:r>
        <w:rPr>
          <w:color w:val="1F2937"/>
          <w:lang w:val="es-CO"/>
        </w:rPr>
        <w:t>: lectura de Excel, validación, carga Oracle y llamada a procedimiento ETL.</w:t>
      </w:r>
    </w:p>
    <w:p>
      <w:pPr>
        <w:pStyle w:val="Normal"/>
        <w:spacing w:before="0" w:after="60"/>
        <w:rPr/>
      </w:pPr>
      <w:r>
        <w:rPr>
          <w:color w:val="1F2937"/>
          <w:sz w:val="18"/>
        </w:rPr>
        <w:t>Variables relevantes:</w:t>
      </w:r>
    </w:p>
    <w:p>
      <w:pPr>
        <w:pStyle w:val="ListBullet"/>
        <w:numPr>
          <w:ilvl w:val="0"/>
          <w:numId w:val="1"/>
        </w:numPr>
        <w:spacing w:before="0" w:after="60"/>
        <w:contextualSpacing/>
        <w:rPr/>
      </w:pPr>
      <w:r>
        <w:rPr>
          <w:rFonts w:eastAsia="Consolas" w:ascii="Consolas" w:hAnsi="Consolas"/>
          <w:color w:val="111827"/>
          <w:sz w:val="16"/>
        </w:rPr>
        <w:t>AURORA_CARGAS_DIR</w:t>
      </w:r>
    </w:p>
    <w:p>
      <w:pPr>
        <w:pStyle w:val="ListBullet"/>
        <w:numPr>
          <w:ilvl w:val="0"/>
          <w:numId w:val="1"/>
        </w:numPr>
        <w:spacing w:before="0" w:after="60"/>
        <w:contextualSpacing/>
        <w:rPr/>
      </w:pPr>
      <w:r>
        <w:rPr>
          <w:rFonts w:eastAsia="Consolas" w:ascii="Consolas" w:hAnsi="Consolas"/>
          <w:color w:val="111827"/>
          <w:sz w:val="16"/>
        </w:rPr>
        <w:t>CARGUEBD_ADMIN_ROLES</w:t>
      </w:r>
    </w:p>
    <w:p>
      <w:pPr>
        <w:pStyle w:val="ListBullet"/>
        <w:numPr>
          <w:ilvl w:val="0"/>
          <w:numId w:val="1"/>
        </w:numPr>
        <w:spacing w:before="0" w:after="60"/>
        <w:contextualSpacing/>
        <w:rPr/>
      </w:pPr>
      <w:r>
        <w:rPr>
          <w:rFonts w:eastAsia="Consolas" w:ascii="Consolas" w:hAnsi="Consolas"/>
          <w:color w:val="111827"/>
          <w:sz w:val="16"/>
        </w:rPr>
        <w:t>CARGUEBD_PYTHON</w:t>
      </w:r>
    </w:p>
    <w:p>
      <w:pPr>
        <w:pStyle w:val="ListBullet"/>
        <w:numPr>
          <w:ilvl w:val="0"/>
          <w:numId w:val="1"/>
        </w:numPr>
        <w:spacing w:before="0" w:after="60"/>
        <w:contextualSpacing/>
        <w:rPr/>
      </w:pPr>
      <w:r>
        <w:rPr>
          <w:rFonts w:eastAsia="Consolas" w:ascii="Consolas" w:hAnsi="Consolas"/>
          <w:color w:val="111827"/>
          <w:sz w:val="16"/>
        </w:rPr>
        <w:t>CARGUEBD_AURORA10_ENABLED</w:t>
      </w:r>
    </w:p>
    <w:p>
      <w:pPr>
        <w:pStyle w:val="ListBullet"/>
        <w:numPr>
          <w:ilvl w:val="0"/>
          <w:numId w:val="1"/>
        </w:numPr>
        <w:spacing w:before="0" w:after="60"/>
        <w:contextualSpacing/>
        <w:rPr/>
      </w:pPr>
      <w:r>
        <w:rPr>
          <w:rFonts w:eastAsia="Consolas" w:ascii="Consolas" w:hAnsi="Consolas"/>
          <w:color w:val="111827"/>
          <w:sz w:val="16"/>
        </w:rPr>
        <w:t>CARGUEBD_SISIPEC_PROCEDURE</w:t>
      </w:r>
    </w:p>
    <w:p>
      <w:pPr>
        <w:pStyle w:val="ListBullet"/>
        <w:numPr>
          <w:ilvl w:val="0"/>
          <w:numId w:val="1"/>
        </w:numPr>
        <w:spacing w:before="0" w:after="60"/>
        <w:contextualSpacing/>
        <w:rPr/>
      </w:pPr>
      <w:r>
        <w:rPr>
          <w:rFonts w:eastAsia="Consolas" w:ascii="Consolas" w:hAnsi="Consolas"/>
          <w:color w:val="111827"/>
          <w:sz w:val="16"/>
        </w:rPr>
        <w:t>CARGUEBD_SKIP_ETL</w:t>
      </w:r>
    </w:p>
    <w:p>
      <w:pPr>
        <w:pStyle w:val="ListBullet"/>
        <w:numPr>
          <w:ilvl w:val="0"/>
          <w:numId w:val="1"/>
        </w:numPr>
        <w:spacing w:before="0" w:after="60"/>
        <w:contextualSpacing/>
        <w:rPr/>
      </w:pPr>
      <w:r>
        <w:rPr>
          <w:rFonts w:eastAsia="Consolas" w:ascii="Consolas" w:hAnsi="Consolas"/>
          <w:color w:val="111827"/>
          <w:sz w:val="16"/>
        </w:rPr>
        <w:t>CARGUEBD_MAX_FILE_MB</w:t>
      </w:r>
    </w:p>
    <w:p>
      <w:pPr>
        <w:pStyle w:val="Normal"/>
        <w:spacing w:before="0" w:after="60"/>
        <w:rPr>
          <w:lang w:val="es-CO"/>
        </w:rPr>
      </w:pPr>
      <w:r>
        <w:rPr>
          <w:color w:val="1F2937"/>
          <w:sz w:val="18"/>
          <w:lang w:val="es-CO"/>
        </w:rPr>
        <w:t>La lógica operativa de cargas queda descrita en este manual y debe actualizarse aquí cuando cambien fuentes, variables o procedimientos ETL.</w:t>
      </w:r>
    </w:p>
    <w:p>
      <w:pPr>
        <w:pStyle w:val="Heading2"/>
        <w:rPr>
          <w:lang w:val="es-CO"/>
        </w:rPr>
      </w:pPr>
      <w:bookmarkStart w:id="64" w:name="__RefHeading___Toc7067_3389959019"/>
      <w:bookmarkStart w:id="65" w:name="_Toc231224339"/>
      <w:bookmarkEnd w:id="64"/>
      <w:r>
        <w:rPr>
          <w:lang w:val="es-CO"/>
        </w:rPr>
        <w:t>Variables de entorno</w:t>
      </w:r>
      <w:bookmarkEnd w:id="65"/>
    </w:p>
    <w:p>
      <w:pPr>
        <w:pStyle w:val="Normal"/>
        <w:spacing w:before="0" w:after="60"/>
        <w:rPr>
          <w:lang w:val="es-CO"/>
        </w:rPr>
      </w:pPr>
      <w:r>
        <w:rPr>
          <w:color w:val="1F2937"/>
          <w:sz w:val="18"/>
          <w:lang w:val="es-CO"/>
        </w:rPr>
        <w:t xml:space="preserve">Mantener las variables reales fuera del repositorio. Usar </w:t>
      </w:r>
      <w:r>
        <w:rPr>
          <w:rFonts w:eastAsia="Consolas" w:ascii="Consolas" w:hAnsi="Consolas"/>
          <w:color w:val="111827"/>
          <w:sz w:val="16"/>
          <w:lang w:val="es-CO"/>
        </w:rPr>
        <w:t>.env.example</w:t>
      </w:r>
      <w:r>
        <w:rPr>
          <w:color w:val="1F2937"/>
          <w:sz w:val="18"/>
          <w:lang w:val="es-CO"/>
        </w:rPr>
        <w:t xml:space="preserve"> como plantilla canónica.</w:t>
      </w:r>
    </w:p>
    <w:p>
      <w:pPr>
        <w:pStyle w:val="Normal"/>
        <w:rPr/>
      </w:pPr>
      <w:r>
        <w:rPr/>
        <w:t>Variables adicionales de despliegue seguro:</w:t>
      </w:r>
    </w:p>
    <w:p>
      <w:pPr>
        <w:pStyle w:val="Normal"/>
        <w:rPr/>
      </w:pPr>
      <w:r>
        <w:rPr/>
        <w:t xml:space="preserve">• </w:t>
      </w:r>
      <w:r>
        <w:rPr/>
        <w:t>HTTPS_KEY_PATH: ruta al archivo de llave privada TLS, cuando HTTPS se configure directamente en el servicio o contenedor.</w:t>
      </w:r>
    </w:p>
    <w:p>
      <w:pPr>
        <w:pStyle w:val="Normal"/>
        <w:rPr/>
      </w:pPr>
      <w:r>
        <w:rPr/>
        <w:t xml:space="preserve">• </w:t>
      </w:r>
      <w:r>
        <w:rPr/>
        <w:t>HTTPS_CERT_PATH: ruta al certificado público o cadena TLS correspondiente al ambiente.</w:t>
      </w:r>
    </w:p>
    <w:p>
      <w:pPr>
        <w:pStyle w:val="Normal"/>
        <w:rPr/>
      </w:pPr>
      <w:r>
        <w:rPr/>
        <w:t xml:space="preserve">• </w:t>
      </w:r>
      <w:r>
        <w:rPr/>
        <w:t>AZURE_AD_ADMIN_GROUP_IDS: lista de Object IDs de grupos de Microsoft Entra ID que se mapean al rol interno admin.</w:t>
      </w:r>
    </w:p>
    <w:p>
      <w:pPr>
        <w:pStyle w:val="Normal"/>
        <w:rPr/>
      </w:pPr>
      <w:r>
        <w:rPr/>
        <w:t>No se deben documentar ni versionar certificados reales, llaves privadas o paquetes TLS. Las extensiones que deben tratarse como material sensible incluyen:</w:t>
      </w:r>
    </w:p>
    <w:tbl>
      <w:tblPr>
        <w:tblStyle w:val="Tablaconcuadrcula"/>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8640"/>
      </w:tblGrid>
      <w:tr>
        <w:trPr/>
        <w:tc>
          <w:tcPr>
            <w:tcW w:w="8640" w:type="dxa"/>
            <w:tcBorders/>
            <w:shd w:fill="F2F4F7"/>
          </w:tcPr>
          <w:p>
            <w:pPr>
              <w:pStyle w:val="Normal"/>
              <w:widowControl/>
              <w:spacing w:before="0" w:after="80"/>
              <w:jc w:val="left"/>
              <w:rPr>
                <w:rFonts w:cs=""/>
                <w:kern w:val="0"/>
                <w:szCs w:val="22"/>
                <w:lang w:val="en-US" w:eastAsia="en-US" w:bidi="ar-SA"/>
              </w:rPr>
            </w:pPr>
            <w:r>
              <w:rPr>
                <w:rFonts w:eastAsia="Consolas" w:cs="" w:ascii="Consolas" w:hAnsi="Consolas"/>
                <w:kern w:val="0"/>
                <w:sz w:val="17"/>
                <w:szCs w:val="22"/>
                <w:lang w:val="en-US" w:eastAsia="en-US" w:bidi="ar-SA"/>
              </w:rPr>
              <w:t>.key</w:t>
            </w:r>
            <w:r>
              <w:rPr>
                <w:rFonts w:cs=""/>
                <w:kern w:val="0"/>
                <w:szCs w:val="22"/>
                <w:lang w:val="en-US" w:eastAsia="en-US" w:bidi="ar-SA"/>
              </w:rPr>
              <w:br/>
            </w:r>
            <w:r>
              <w:rPr>
                <w:rFonts w:eastAsia="Consolas" w:cs="" w:ascii="Consolas" w:hAnsi="Consolas"/>
                <w:kern w:val="0"/>
                <w:sz w:val="17"/>
                <w:szCs w:val="22"/>
                <w:lang w:val="en-US" w:eastAsia="en-US" w:bidi="ar-SA"/>
              </w:rPr>
              <w:t>.pem</w:t>
            </w:r>
            <w:r>
              <w:rPr>
                <w:rFonts w:cs=""/>
                <w:kern w:val="0"/>
                <w:szCs w:val="22"/>
                <w:lang w:val="en-US" w:eastAsia="en-US" w:bidi="ar-SA"/>
              </w:rPr>
              <w:br/>
            </w:r>
            <w:r>
              <w:rPr>
                <w:rFonts w:eastAsia="Consolas" w:cs="" w:ascii="Consolas" w:hAnsi="Consolas"/>
                <w:kern w:val="0"/>
                <w:sz w:val="17"/>
                <w:szCs w:val="22"/>
                <w:lang w:val="en-US" w:eastAsia="en-US" w:bidi="ar-SA"/>
              </w:rPr>
              <w:t>.crt</w:t>
            </w:r>
            <w:r>
              <w:rPr>
                <w:rFonts w:cs=""/>
                <w:kern w:val="0"/>
                <w:szCs w:val="22"/>
                <w:lang w:val="en-US" w:eastAsia="en-US" w:bidi="ar-SA"/>
              </w:rPr>
              <w:br/>
            </w:r>
            <w:r>
              <w:rPr>
                <w:rFonts w:eastAsia="Consolas" w:cs="" w:ascii="Consolas" w:hAnsi="Consolas"/>
                <w:kern w:val="0"/>
                <w:sz w:val="17"/>
                <w:szCs w:val="22"/>
                <w:lang w:val="en-US" w:eastAsia="en-US" w:bidi="ar-SA"/>
              </w:rPr>
              <w:t>.pfx</w:t>
            </w:r>
            <w:r>
              <w:rPr>
                <w:rFonts w:cs=""/>
                <w:kern w:val="0"/>
                <w:szCs w:val="22"/>
                <w:lang w:val="en-US" w:eastAsia="en-US" w:bidi="ar-SA"/>
              </w:rPr>
              <w:br/>
            </w:r>
            <w:r>
              <w:rPr>
                <w:rFonts w:eastAsia="Consolas" w:cs="" w:ascii="Consolas" w:hAnsi="Consolas"/>
                <w:kern w:val="0"/>
                <w:sz w:val="17"/>
                <w:szCs w:val="22"/>
                <w:lang w:val="en-US" w:eastAsia="en-US" w:bidi="ar-SA"/>
              </w:rPr>
              <w:t>.p12</w:t>
            </w:r>
          </w:p>
        </w:tc>
      </w:tr>
    </w:tbl>
    <w:p>
      <w:pPr>
        <w:pStyle w:val="Normal"/>
        <w:rPr/>
      </w:pPr>
      <w:r>
        <w:rPr/>
        <w:t>Cuando se requiera mantener certificados dentro de la estructura operativa del servidor, deben ubicarse fuera de Git. Una ruta de referencia para el backend es backend/certs/, siempre excluida del repositorio y con permisos restringidos.</w:t>
      </w:r>
    </w:p>
    <w:p>
      <w:pPr>
        <w:pStyle w:val="Normal"/>
        <w:spacing w:before="0" w:after="60"/>
        <w:rPr/>
      </w:pPr>
      <w:r>
        <w:rPr>
          <w:color w:val="1F2937"/>
          <w:sz w:val="18"/>
        </w:rPr>
        <w:t>No incluir en documentación:</w:t>
      </w:r>
    </w:p>
    <w:p>
      <w:pPr>
        <w:pStyle w:val="ListBullet"/>
        <w:numPr>
          <w:ilvl w:val="0"/>
          <w:numId w:val="1"/>
        </w:numPr>
        <w:spacing w:before="0" w:after="60"/>
        <w:contextualSpacing/>
        <w:rPr/>
      </w:pPr>
      <w:r>
        <w:rPr>
          <w:color w:val="1F2937"/>
        </w:rPr>
        <w:t>Contraseñas.</w:t>
      </w:r>
    </w:p>
    <w:p>
      <w:pPr>
        <w:pStyle w:val="ListBullet"/>
        <w:numPr>
          <w:ilvl w:val="0"/>
          <w:numId w:val="1"/>
        </w:numPr>
        <w:spacing w:before="0" w:after="60"/>
        <w:contextualSpacing/>
        <w:rPr/>
      </w:pPr>
      <w:r>
        <w:rPr>
          <w:color w:val="1F2937"/>
        </w:rPr>
        <w:t>Tokens.</w:t>
      </w:r>
    </w:p>
    <w:p>
      <w:pPr>
        <w:pStyle w:val="ListBullet"/>
        <w:numPr>
          <w:ilvl w:val="0"/>
          <w:numId w:val="1"/>
        </w:numPr>
        <w:spacing w:before="0" w:after="60"/>
        <w:contextualSpacing/>
        <w:rPr/>
      </w:pPr>
      <w:r>
        <w:rPr>
          <w:color w:val="1F2937"/>
        </w:rPr>
        <w:t>Cadenas completas de conexión.</w:t>
      </w:r>
    </w:p>
    <w:p>
      <w:pPr>
        <w:pStyle w:val="ListBullet"/>
        <w:numPr>
          <w:ilvl w:val="0"/>
          <w:numId w:val="1"/>
        </w:numPr>
        <w:spacing w:before="0" w:after="60"/>
        <w:contextualSpacing/>
        <w:rPr>
          <w:lang w:val="es-CO"/>
        </w:rPr>
      </w:pPr>
      <w:r>
        <w:rPr>
          <w:color w:val="1F2937"/>
          <w:lang w:val="es-CO"/>
        </w:rPr>
        <w:t>Hosts sensibles si la política interna lo restringe.</w:t>
      </w:r>
    </w:p>
    <w:p>
      <w:pPr>
        <w:pStyle w:val="Heading2"/>
        <w:rPr/>
      </w:pPr>
      <w:bookmarkStart w:id="66" w:name="__RefHeading___Toc7069_3389959019"/>
      <w:bookmarkStart w:id="67" w:name="_Toc231224340"/>
      <w:bookmarkEnd w:id="66"/>
      <w:r>
        <w:rPr/>
        <w:t>Ejecución local</w:t>
      </w:r>
      <w:bookmarkEnd w:id="67"/>
    </w:p>
    <w:p>
      <w:pPr>
        <w:pStyle w:val="Normal"/>
        <w:spacing w:before="0" w:after="60"/>
        <w:rPr/>
      </w:pPr>
      <w:r>
        <w:rPr>
          <w:color w:val="1F2937"/>
          <w:sz w:val="18"/>
        </w:rPr>
        <w:t>Instalar dependencias:</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npm install</w:t>
            </w:r>
          </w:p>
          <w:p>
            <w:pPr>
              <w:pStyle w:val="CodeBlock"/>
              <w:spacing w:before="20" w:after="0"/>
              <w:rPr/>
            </w:pPr>
            <w:r>
              <w:rPr>
                <w:color w:val="111827"/>
                <w:sz w:val="13"/>
              </w:rPr>
              <w:t>npm --prefix backend install</w:t>
            </w:r>
          </w:p>
          <w:p>
            <w:pPr>
              <w:pStyle w:val="CodeBlock"/>
              <w:spacing w:before="20" w:after="0"/>
              <w:rPr/>
            </w:pPr>
            <w:r>
              <w:rPr>
                <w:color w:val="111827"/>
                <w:sz w:val="13"/>
              </w:rPr>
              <w:t>npm --prefix frontend install</w:t>
            </w:r>
          </w:p>
          <w:p>
            <w:pPr>
              <w:pStyle w:val="CodeBlock"/>
              <w:spacing w:before="20" w:after="0"/>
              <w:rPr/>
            </w:pPr>
            <w:r>
              <w:rPr>
                <w:color w:val="111827"/>
                <w:sz w:val="13"/>
              </w:rPr>
              <w:t>pip install -r scripts/cargas_bd/requirements.txt</w:t>
            </w:r>
          </w:p>
        </w:tc>
      </w:tr>
    </w:tbl>
    <w:p>
      <w:pPr>
        <w:pStyle w:val="Normal"/>
        <w:rPr/>
      </w:pPr>
      <w:r>
        <w:rPr/>
      </w:r>
    </w:p>
    <w:p>
      <w:pPr>
        <w:pStyle w:val="Normal"/>
        <w:spacing w:before="0" w:after="60"/>
        <w:rPr/>
      </w:pPr>
      <w:r>
        <w:rPr>
          <w:color w:val="1F2937"/>
          <w:sz w:val="18"/>
        </w:rPr>
        <w:t>Backend:</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npm --prefix backend run dev</w:t>
            </w:r>
          </w:p>
        </w:tc>
      </w:tr>
    </w:tbl>
    <w:p>
      <w:pPr>
        <w:pStyle w:val="Normal"/>
        <w:rPr/>
      </w:pPr>
      <w:r>
        <w:rPr/>
      </w:r>
    </w:p>
    <w:p>
      <w:pPr>
        <w:pStyle w:val="Normal"/>
        <w:spacing w:before="0" w:after="60"/>
        <w:rPr/>
      </w:pPr>
      <w:r>
        <w:rPr>
          <w:color w:val="1F2937"/>
          <w:sz w:val="18"/>
        </w:rPr>
        <w:t>Frontend:</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npm --prefix frontend run dev</w:t>
            </w:r>
          </w:p>
        </w:tc>
      </w:tr>
    </w:tbl>
    <w:p>
      <w:pPr>
        <w:pStyle w:val="Normal"/>
        <w:rPr/>
      </w:pPr>
      <w:r>
        <w:rPr/>
      </w:r>
    </w:p>
    <w:p>
      <w:pPr>
        <w:pStyle w:val="Heading2"/>
        <w:rPr>
          <w:lang w:val="es-CO"/>
        </w:rPr>
      </w:pPr>
      <w:bookmarkStart w:id="68" w:name="__RefHeading___Toc7071_3389959019"/>
      <w:bookmarkStart w:id="69" w:name="_Toc231224341"/>
      <w:bookmarkEnd w:id="68"/>
      <w:r>
        <w:rPr>
          <w:lang w:val="es-CO"/>
        </w:rPr>
        <w:t>Despliegue</w:t>
      </w:r>
      <w:bookmarkEnd w:id="69"/>
    </w:p>
    <w:p>
      <w:pPr>
        <w:pStyle w:val="Normal"/>
        <w:spacing w:before="0" w:after="60"/>
        <w:rPr>
          <w:lang w:val="es-CO"/>
        </w:rPr>
      </w:pPr>
      <w:r>
        <w:rPr>
          <w:color w:val="1F2937"/>
          <w:sz w:val="18"/>
          <w:lang w:val="es-CO"/>
        </w:rPr>
        <w:t xml:space="preserve">El despliegue recomendado para Aurora es mediante Docker Compose, usando el archivo </w:t>
      </w:r>
      <w:r>
        <w:rPr>
          <w:rFonts w:eastAsia="Consolas" w:ascii="Consolas" w:hAnsi="Consolas"/>
          <w:color w:val="111827"/>
          <w:sz w:val="16"/>
          <w:lang w:val="es-CO"/>
        </w:rPr>
        <w:t>.env</w:t>
      </w:r>
      <w:r>
        <w:rPr>
          <w:color w:val="1F2937"/>
          <w:sz w:val="18"/>
          <w:lang w:val="es-CO"/>
        </w:rPr>
        <w:t xml:space="preserve"> creado manualmente en el servidor. En este modo, Docker Compose es también el mecanismo operativo para subir, bajar, reiniciar y verificar el servicio.</w:t>
      </w:r>
    </w:p>
    <w:p>
      <w:pPr>
        <w:pStyle w:val="Normal"/>
        <w:rPr/>
      </w:pPr>
      <w:r>
        <w:rPr/>
        <w:t>La configuración HTTPS/TLS puede terminarse en el proxy institucional o configurarse directamente en el servicio si Infraestructura lo define. En el segundo caso, el archivo .env debe referenciar HTTPS_KEY_PATH y HTTPS_CERT_PATH, apuntando a archivos cargados en el servidor y no versionados en el repositorio.</w:t>
      </w:r>
    </w:p>
    <w:p>
      <w:pPr>
        <w:pStyle w:val="Normal"/>
        <w:spacing w:before="0" w:after="60"/>
        <w:rPr/>
      </w:pPr>
      <w:r>
        <w:rPr>
          <w:color w:val="1F2937"/>
          <w:sz w:val="18"/>
        </w:rPr>
        <w:t>Despliegue principal:</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cp .env.example .env</w:t>
            </w:r>
          </w:p>
          <w:p>
            <w:pPr>
              <w:pStyle w:val="CodeBlock"/>
              <w:spacing w:before="20" w:after="0"/>
              <w:rPr/>
            </w:pPr>
            <w:r>
              <w:rPr>
                <w:color w:val="111827"/>
                <w:sz w:val="13"/>
              </w:rPr>
              <w:t>docker compose up --build -d</w:t>
            </w:r>
          </w:p>
          <w:p>
            <w:pPr>
              <w:pStyle w:val="CodeBlock"/>
              <w:spacing w:before="20" w:after="0"/>
              <w:rPr/>
            </w:pPr>
            <w:r>
              <w:rPr>
                <w:color w:val="111827"/>
                <w:sz w:val="13"/>
              </w:rPr>
              <w:t>docker compose ps</w:t>
            </w:r>
          </w:p>
          <w:p>
            <w:pPr>
              <w:pStyle w:val="CodeBlock"/>
              <w:spacing w:before="20" w:after="0"/>
              <w:rPr/>
            </w:pPr>
            <w:r>
              <w:rPr>
                <w:color w:val="111827"/>
                <w:sz w:val="13"/>
              </w:rPr>
              <w:t>docker compose logs -f aurora</w:t>
            </w:r>
          </w:p>
        </w:tc>
      </w:tr>
    </w:tbl>
    <w:p>
      <w:pPr>
        <w:pStyle w:val="Normal"/>
        <w:rPr/>
      </w:pPr>
      <w:r>
        <w:rPr/>
      </w:r>
    </w:p>
    <w:p>
      <w:pPr>
        <w:pStyle w:val="Normal"/>
        <w:spacing w:before="0" w:after="60"/>
        <w:rPr>
          <w:lang w:val="es-CO"/>
        </w:rPr>
      </w:pPr>
      <w:r>
        <w:rPr>
          <w:color w:val="1F2937"/>
          <w:sz w:val="18"/>
          <w:lang w:val="es-CO"/>
        </w:rPr>
        <w:t xml:space="preserve">La imagen Docker de Aurora no se descarga desde un registro público. Se construye localmente desde el </w:t>
      </w:r>
      <w:r>
        <w:rPr>
          <w:rFonts w:eastAsia="Consolas" w:ascii="Consolas" w:hAnsi="Consolas"/>
          <w:color w:val="111827"/>
          <w:sz w:val="16"/>
          <w:lang w:val="es-CO"/>
        </w:rPr>
        <w:t>Dockerfile</w:t>
      </w:r>
      <w:r>
        <w:rPr>
          <w:color w:val="1F2937"/>
          <w:sz w:val="18"/>
          <w:lang w:val="es-CO"/>
        </w:rPr>
        <w:t xml:space="preserve"> del proyecto y queda identificada como </w:t>
      </w:r>
      <w:r>
        <w:rPr>
          <w:rFonts w:eastAsia="Consolas" w:ascii="Consolas" w:hAnsi="Consolas"/>
          <w:color w:val="111827"/>
          <w:sz w:val="16"/>
          <w:lang w:val="es-CO"/>
        </w:rPr>
        <w:t>aurora-app:local</w:t>
      </w:r>
      <w:r>
        <w:rPr>
          <w:color w:val="1F2937"/>
          <w:sz w:val="18"/>
          <w:lang w:val="es-CO"/>
        </w:rPr>
        <w:t xml:space="preserve">, de acuerdo con </w:t>
      </w:r>
      <w:r>
        <w:rPr>
          <w:rFonts w:eastAsia="Consolas" w:ascii="Consolas" w:hAnsi="Consolas"/>
          <w:color w:val="111827"/>
          <w:sz w:val="16"/>
          <w:lang w:val="es-CO"/>
        </w:rPr>
        <w:t>docker-compose.yml</w:t>
      </w:r>
      <w:r>
        <w:rPr>
          <w:color w:val="1F2937"/>
          <w:sz w:val="18"/>
          <w:lang w:val="es-CO"/>
        </w:rPr>
        <w:t>.</w:t>
      </w:r>
    </w:p>
    <w:p>
      <w:pPr>
        <w:pStyle w:val="Normal"/>
        <w:spacing w:before="0" w:after="60"/>
        <w:rPr>
          <w:lang w:val="es-CO"/>
        </w:rPr>
      </w:pPr>
      <w:r>
        <w:rPr>
          <w:color w:val="1F2937"/>
          <w:sz w:val="18"/>
          <w:lang w:val="es-CO"/>
        </w:rPr>
        <w:t>Validaciones rápidas del artefacto Docker:</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docker compose config --quiet</w:t>
            </w:r>
          </w:p>
          <w:p>
            <w:pPr>
              <w:pStyle w:val="CodeBlock"/>
              <w:spacing w:before="20" w:after="0"/>
              <w:rPr/>
            </w:pPr>
            <w:r>
              <w:rPr>
                <w:color w:val="111827"/>
                <w:sz w:val="13"/>
              </w:rPr>
              <w:t>docker compose build aurora</w:t>
            </w:r>
          </w:p>
          <w:p>
            <w:pPr>
              <w:pStyle w:val="CodeBlock"/>
              <w:spacing w:before="20" w:after="0"/>
              <w:rPr/>
            </w:pPr>
            <w:r>
              <w:rPr>
                <w:color w:val="111827"/>
                <w:sz w:val="13"/>
              </w:rPr>
              <w:t>docker image ls aurora-app:local</w:t>
            </w:r>
          </w:p>
        </w:tc>
      </w:tr>
    </w:tbl>
    <w:p>
      <w:pPr>
        <w:pStyle w:val="Normal"/>
        <w:rPr/>
      </w:pPr>
      <w:r>
        <w:rPr/>
      </w:r>
    </w:p>
    <w:p>
      <w:pPr>
        <w:pStyle w:val="Normal"/>
        <w:spacing w:before="0" w:after="60"/>
        <w:rPr>
          <w:lang w:val="es-CO"/>
        </w:rPr>
      </w:pPr>
      <w:r>
        <w:rPr>
          <w:color w:val="1F2937"/>
          <w:sz w:val="18"/>
          <w:lang w:val="es-CO"/>
        </w:rPr>
        <w:t xml:space="preserve">Si el puerto oficial </w:t>
      </w:r>
      <w:r>
        <w:rPr>
          <w:rFonts w:eastAsia="Consolas" w:ascii="Consolas" w:hAnsi="Consolas"/>
          <w:color w:val="111827"/>
          <w:sz w:val="16"/>
          <w:lang w:val="es-CO"/>
        </w:rPr>
        <w:t>7860</w:t>
      </w:r>
      <w:r>
        <w:rPr>
          <w:color w:val="1F2937"/>
          <w:sz w:val="18"/>
          <w:lang w:val="es-CO"/>
        </w:rPr>
        <w:t xml:space="preserve"> está ocupado por un proceso previo de Node.js u otro servicio, se puede hacer una prueba temporal en otro puerto:</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ss -ltnp | grep ':7860' || true</w:t>
            </w:r>
          </w:p>
          <w:p>
            <w:pPr>
              <w:pStyle w:val="CodeBlock"/>
              <w:spacing w:before="20" w:after="0"/>
              <w:rPr/>
            </w:pPr>
            <w:r>
              <w:rPr>
                <w:color w:val="111827"/>
                <w:sz w:val="13"/>
              </w:rPr>
              <w:t>HOST_PORT=17860 docker compose up -d aurora</w:t>
            </w:r>
          </w:p>
          <w:p>
            <w:pPr>
              <w:pStyle w:val="CodeBlock"/>
              <w:spacing w:before="20" w:after="0"/>
              <w:rPr/>
            </w:pPr>
            <w:r>
              <w:rPr>
                <w:color w:val="111827"/>
                <w:sz w:val="13"/>
              </w:rPr>
              <w:t>curl http://127.0.0.1:17860/api/health</w:t>
            </w:r>
          </w:p>
        </w:tc>
      </w:tr>
    </w:tbl>
    <w:p>
      <w:pPr>
        <w:pStyle w:val="Normal"/>
        <w:rPr/>
      </w:pPr>
      <w:r>
        <w:rPr/>
      </w:r>
    </w:p>
    <w:p>
      <w:pPr>
        <w:pStyle w:val="Normal"/>
        <w:spacing w:before="0" w:after="60"/>
        <w:rPr/>
      </w:pPr>
      <w:r>
        <w:rPr>
          <w:color w:val="1F2937"/>
          <w:sz w:val="18"/>
          <w:lang w:val="es-CO"/>
        </w:rPr>
        <w:t xml:space="preserve">En esa prueba el contenedor sigue escuchando internamente en </w:t>
      </w:r>
      <w:r>
        <w:rPr>
          <w:rFonts w:eastAsia="Consolas" w:ascii="Consolas" w:hAnsi="Consolas"/>
          <w:color w:val="111827"/>
          <w:sz w:val="16"/>
          <w:lang w:val="es-CO"/>
        </w:rPr>
        <w:t>7860</w:t>
      </w:r>
      <w:r>
        <w:rPr>
          <w:color w:val="1F2937"/>
          <w:sz w:val="18"/>
          <w:lang w:val="es-CO"/>
        </w:rPr>
        <w:t xml:space="preserve">; solo cambia el puerto publicado en el servidor. </w:t>
      </w:r>
      <w:r>
        <w:rPr>
          <w:color w:val="1F2937"/>
          <w:sz w:val="18"/>
        </w:rPr>
        <w:t>Para cerrar la prueba:</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HOST_PORT=17860 docker compose down</w:t>
            </w:r>
          </w:p>
        </w:tc>
      </w:tr>
    </w:tbl>
    <w:p>
      <w:pPr>
        <w:pStyle w:val="Normal"/>
        <w:rPr/>
      </w:pPr>
      <w:r>
        <w:rPr/>
      </w:r>
    </w:p>
    <w:p>
      <w:pPr>
        <w:pStyle w:val="Heading3"/>
        <w:rPr>
          <w:lang w:val="es-CO"/>
        </w:rPr>
      </w:pPr>
      <w:bookmarkStart w:id="70" w:name="__RefHeading___Toc7073_3389959019"/>
      <w:bookmarkStart w:id="71" w:name="_Toc231224342"/>
      <w:bookmarkEnd w:id="70"/>
      <w:r>
        <w:rPr>
          <w:lang w:val="es-CO"/>
        </w:rPr>
        <w:t>Operación del servicio con Docker Compose</w:t>
      </w:r>
      <w:bookmarkEnd w:id="71"/>
    </w:p>
    <w:p>
      <w:pPr>
        <w:pStyle w:val="Normal"/>
        <w:spacing w:before="0" w:after="60"/>
        <w:rPr>
          <w:lang w:val="es-CO"/>
        </w:rPr>
      </w:pPr>
      <w:r>
        <w:rPr>
          <w:color w:val="1F2937"/>
          <w:sz w:val="18"/>
          <w:lang w:val="es-CO"/>
        </w:rPr>
        <w:t>Para subir Aurora cuando está abajo:</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lang w:val="es-CO"/>
              </w:rPr>
            </w:pPr>
            <w:r>
              <w:rPr>
                <w:color w:val="111827"/>
                <w:sz w:val="13"/>
                <w:lang w:val="es-CO"/>
              </w:rPr>
              <w:t>cd /opt/aurora/&lt;carpeta-del-proyecto&gt;</w:t>
            </w:r>
          </w:p>
          <w:p>
            <w:pPr>
              <w:pStyle w:val="CodeBlock"/>
              <w:spacing w:before="20" w:after="0"/>
              <w:rPr/>
            </w:pPr>
            <w:r>
              <w:rPr>
                <w:color w:val="111827"/>
                <w:sz w:val="13"/>
              </w:rPr>
              <w:t>docker compose up -d</w:t>
            </w:r>
          </w:p>
          <w:p>
            <w:pPr>
              <w:pStyle w:val="CodeBlock"/>
              <w:spacing w:before="20" w:after="0"/>
              <w:rPr/>
            </w:pPr>
            <w:r>
              <w:rPr>
                <w:color w:val="111827"/>
                <w:sz w:val="13"/>
              </w:rPr>
              <w:t>docker compose ps</w:t>
            </w:r>
          </w:p>
          <w:p>
            <w:pPr>
              <w:pStyle w:val="CodeBlock"/>
              <w:spacing w:before="20" w:after="0"/>
              <w:rPr/>
            </w:pPr>
            <w:r>
              <w:rPr>
                <w:color w:val="111827"/>
                <w:sz w:val="13"/>
              </w:rPr>
              <w:t>curl http://127.0.0.1:7860/api/health</w:t>
            </w:r>
          </w:p>
        </w:tc>
      </w:tr>
    </w:tbl>
    <w:p>
      <w:pPr>
        <w:pStyle w:val="Normal"/>
        <w:rPr/>
      </w:pPr>
      <w:r>
        <w:rPr/>
      </w:r>
    </w:p>
    <w:p>
      <w:pPr>
        <w:pStyle w:val="Normal"/>
        <w:spacing w:before="0" w:after="60"/>
        <w:rPr>
          <w:lang w:val="es-CO"/>
        </w:rPr>
      </w:pPr>
      <w:r>
        <w:rPr>
          <w:color w:val="1F2937"/>
          <w:sz w:val="18"/>
          <w:lang w:val="es-CO"/>
        </w:rPr>
        <w:t>Para bajar Aurora sin borrar la imagen ni el volumen de cargas:</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lang w:val="es-CO"/>
              </w:rPr>
            </w:pPr>
            <w:r>
              <w:rPr>
                <w:color w:val="111827"/>
                <w:sz w:val="13"/>
                <w:lang w:val="es-CO"/>
              </w:rPr>
              <w:t>cd /opt/aurora/&lt;carpeta-del-proyecto&gt;</w:t>
            </w:r>
          </w:p>
          <w:p>
            <w:pPr>
              <w:pStyle w:val="CodeBlock"/>
              <w:spacing w:before="20" w:after="0"/>
              <w:rPr/>
            </w:pPr>
            <w:r>
              <w:rPr>
                <w:color w:val="111827"/>
                <w:sz w:val="13"/>
              </w:rPr>
              <w:t>docker compose down</w:t>
            </w:r>
          </w:p>
          <w:p>
            <w:pPr>
              <w:pStyle w:val="CodeBlock"/>
              <w:spacing w:before="20" w:after="0"/>
              <w:rPr/>
            </w:pPr>
            <w:r>
              <w:rPr>
                <w:color w:val="111827"/>
                <w:sz w:val="13"/>
              </w:rPr>
              <w:t>docker compose ps</w:t>
            </w:r>
          </w:p>
          <w:p>
            <w:pPr>
              <w:pStyle w:val="CodeBlock"/>
              <w:spacing w:before="20" w:after="0"/>
              <w:rPr/>
            </w:pPr>
            <w:r>
              <w:rPr>
                <w:color w:val="111827"/>
                <w:sz w:val="13"/>
              </w:rPr>
              <w:t>ss -ltnp | grep ':7860' || true</w:t>
            </w:r>
          </w:p>
        </w:tc>
      </w:tr>
    </w:tbl>
    <w:p>
      <w:pPr>
        <w:pStyle w:val="Normal"/>
        <w:rPr/>
      </w:pPr>
      <w:r>
        <w:rPr/>
      </w:r>
    </w:p>
    <w:p>
      <w:pPr>
        <w:pStyle w:val="Normal"/>
        <w:spacing w:before="0" w:after="60"/>
        <w:rPr>
          <w:lang w:val="es-CO"/>
        </w:rPr>
      </w:pPr>
      <w:r>
        <w:rPr>
          <w:color w:val="1F2937"/>
          <w:sz w:val="18"/>
          <w:lang w:val="es-CO"/>
        </w:rPr>
        <w:t>Para detener temporalmente y conservar el contenedor:</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docker compose stop aurora</w:t>
            </w:r>
          </w:p>
        </w:tc>
      </w:tr>
    </w:tbl>
    <w:p>
      <w:pPr>
        <w:pStyle w:val="Normal"/>
        <w:rPr/>
      </w:pPr>
      <w:r>
        <w:rPr/>
      </w:r>
    </w:p>
    <w:p>
      <w:pPr>
        <w:pStyle w:val="Normal"/>
        <w:spacing w:before="0" w:after="60"/>
        <w:rPr>
          <w:lang w:val="es-CO"/>
        </w:rPr>
      </w:pPr>
      <w:r>
        <w:rPr>
          <w:color w:val="1F2937"/>
          <w:sz w:val="18"/>
          <w:lang w:val="es-CO"/>
        </w:rPr>
        <w:t>Para volver a iniciar el contenedor detenido:</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docker compose start aurora</w:t>
            </w:r>
          </w:p>
        </w:tc>
      </w:tr>
    </w:tbl>
    <w:p>
      <w:pPr>
        <w:pStyle w:val="Normal"/>
        <w:rPr/>
      </w:pPr>
      <w:r>
        <w:rPr/>
      </w:r>
    </w:p>
    <w:p>
      <w:pPr>
        <w:pStyle w:val="Normal"/>
        <w:spacing w:before="0" w:after="60"/>
        <w:rPr>
          <w:lang w:val="es-CO"/>
        </w:rPr>
      </w:pPr>
      <w:r>
        <w:rPr>
          <w:color w:val="1F2937"/>
          <w:sz w:val="18"/>
          <w:lang w:val="es-CO"/>
        </w:rPr>
        <w:t>Para reiniciar la aplicación cuando se requiere reciclar el proceso sin cambiar variables:</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docker compose restart aurora</w:t>
            </w:r>
          </w:p>
          <w:p>
            <w:pPr>
              <w:pStyle w:val="CodeBlock"/>
              <w:spacing w:before="20" w:after="0"/>
              <w:rPr/>
            </w:pPr>
            <w:r>
              <w:rPr>
                <w:color w:val="111827"/>
                <w:sz w:val="13"/>
              </w:rPr>
              <w:t>docker compose logs --tail=100 aurora</w:t>
            </w:r>
          </w:p>
          <w:p>
            <w:pPr>
              <w:pStyle w:val="CodeBlock"/>
              <w:spacing w:before="20" w:after="0"/>
              <w:rPr/>
            </w:pPr>
            <w:r>
              <w:rPr>
                <w:color w:val="111827"/>
                <w:sz w:val="13"/>
              </w:rPr>
              <w:t>curl http://127.0.0.1:7860/api/health</w:t>
            </w:r>
          </w:p>
        </w:tc>
      </w:tr>
    </w:tbl>
    <w:p>
      <w:pPr>
        <w:pStyle w:val="Normal"/>
        <w:rPr/>
      </w:pPr>
      <w:r>
        <w:rPr/>
      </w:r>
    </w:p>
    <w:p>
      <w:pPr>
        <w:pStyle w:val="Normal"/>
        <w:spacing w:before="0" w:after="60"/>
        <w:rPr>
          <w:lang w:val="es-CO"/>
        </w:rPr>
      </w:pPr>
      <w:r>
        <w:rPr>
          <w:color w:val="1F2937"/>
          <w:sz w:val="18"/>
          <w:lang w:val="es-CO"/>
        </w:rPr>
        <w:t xml:space="preserve">Si se cambia el archivo </w:t>
      </w:r>
      <w:r>
        <w:rPr>
          <w:rFonts w:eastAsia="Consolas" w:ascii="Consolas" w:hAnsi="Consolas"/>
          <w:color w:val="111827"/>
          <w:sz w:val="16"/>
          <w:lang w:val="es-CO"/>
        </w:rPr>
        <w:t>.env</w:t>
      </w:r>
      <w:r>
        <w:rPr>
          <w:color w:val="1F2937"/>
          <w:sz w:val="18"/>
          <w:lang w:val="es-CO"/>
        </w:rPr>
        <w:t>, recrear el contenedor para que Docker Compose tome las nuevas variables:</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docker compose up -d --force-recreate aurora</w:t>
            </w:r>
          </w:p>
          <w:p>
            <w:pPr>
              <w:pStyle w:val="CodeBlock"/>
              <w:spacing w:before="20" w:after="0"/>
              <w:rPr/>
            </w:pPr>
            <w:r>
              <w:rPr>
                <w:color w:val="111827"/>
                <w:sz w:val="13"/>
              </w:rPr>
              <w:t>docker compose logs --tail=100 aurora</w:t>
            </w:r>
          </w:p>
          <w:p>
            <w:pPr>
              <w:pStyle w:val="CodeBlock"/>
              <w:spacing w:before="20" w:after="0"/>
              <w:rPr/>
            </w:pPr>
            <w:r>
              <w:rPr>
                <w:color w:val="111827"/>
                <w:sz w:val="13"/>
              </w:rPr>
              <w:t>curl http://127.0.0.1:7860/api/health</w:t>
            </w:r>
          </w:p>
        </w:tc>
      </w:tr>
    </w:tbl>
    <w:p>
      <w:pPr>
        <w:pStyle w:val="Normal"/>
        <w:rPr/>
      </w:pPr>
      <w:r>
        <w:rPr/>
      </w:r>
    </w:p>
    <w:p>
      <w:pPr>
        <w:pStyle w:val="Normal"/>
        <w:spacing w:before="0" w:after="60"/>
        <w:rPr>
          <w:lang w:val="es-CO"/>
        </w:rPr>
      </w:pPr>
      <w:r>
        <w:rPr>
          <w:color w:val="1F2937"/>
          <w:sz w:val="18"/>
          <w:lang w:val="es-CO"/>
        </w:rPr>
        <w:t xml:space="preserve">La recreación es necesaria porque Docker fija las variables de entorno al crear el contenedor. Un </w:t>
      </w:r>
      <w:r>
        <w:rPr>
          <w:rFonts w:eastAsia="Consolas" w:ascii="Consolas" w:hAnsi="Consolas"/>
          <w:color w:val="111827"/>
          <w:sz w:val="16"/>
          <w:lang w:val="es-CO"/>
        </w:rPr>
        <w:t>docker compose restart aurora</w:t>
      </w:r>
      <w:r>
        <w:rPr>
          <w:color w:val="1F2937"/>
          <w:sz w:val="18"/>
          <w:lang w:val="es-CO"/>
        </w:rPr>
        <w:t xml:space="preserve"> recicla el proceso, pero no incorpora cambios nuevos del </w:t>
      </w:r>
      <w:r>
        <w:rPr>
          <w:rFonts w:eastAsia="Consolas" w:ascii="Consolas" w:hAnsi="Consolas"/>
          <w:color w:val="111827"/>
          <w:sz w:val="16"/>
          <w:lang w:val="es-CO"/>
        </w:rPr>
        <w:t>.env</w:t>
      </w:r>
      <w:r>
        <w:rPr>
          <w:color w:val="1F2937"/>
          <w:sz w:val="18"/>
          <w:lang w:val="es-CO"/>
        </w:rPr>
        <w:t>.</w:t>
      </w:r>
    </w:p>
    <w:p>
      <w:pPr>
        <w:pStyle w:val="Normal"/>
        <w:spacing w:before="0" w:after="60"/>
        <w:rPr>
          <w:lang w:val="es-CO"/>
        </w:rPr>
      </w:pPr>
      <w:r>
        <w:rPr>
          <w:color w:val="1F2937"/>
          <w:sz w:val="18"/>
          <w:lang w:val="es-CO"/>
        </w:rPr>
        <w:t>Para reconstruir después de cambios de código:</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docker compose up --build -d</w:t>
            </w:r>
          </w:p>
        </w:tc>
      </w:tr>
    </w:tbl>
    <w:p>
      <w:pPr>
        <w:pStyle w:val="Normal"/>
        <w:rPr/>
      </w:pPr>
      <w:r>
        <w:rPr/>
      </w:r>
    </w:p>
    <w:p>
      <w:pPr>
        <w:pStyle w:val="Normal"/>
        <w:spacing w:before="0" w:after="60"/>
        <w:rPr>
          <w:lang w:val="es-CO"/>
        </w:rPr>
      </w:pPr>
      <w:r>
        <w:rPr>
          <w:color w:val="1F2937"/>
          <w:sz w:val="18"/>
          <w:lang w:val="es-CO"/>
        </w:rPr>
        <w:t>Si se requiere reconstrucción limpia:</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docker compose build --no-cache aurora</w:t>
            </w:r>
          </w:p>
          <w:p>
            <w:pPr>
              <w:pStyle w:val="CodeBlock"/>
              <w:spacing w:before="20" w:after="0"/>
              <w:rPr/>
            </w:pPr>
            <w:r>
              <w:rPr>
                <w:color w:val="111827"/>
                <w:sz w:val="13"/>
              </w:rPr>
              <w:t>docker compose up -d</w:t>
            </w:r>
          </w:p>
        </w:tc>
      </w:tr>
    </w:tbl>
    <w:p>
      <w:pPr>
        <w:pStyle w:val="Normal"/>
        <w:rPr/>
      </w:pPr>
      <w:r>
        <w:rPr/>
      </w:r>
    </w:p>
    <w:p>
      <w:pPr>
        <w:pStyle w:val="Normal"/>
        <w:spacing w:before="0" w:after="60"/>
        <w:rPr>
          <w:lang w:val="es-CO"/>
        </w:rPr>
      </w:pPr>
      <w:r>
        <w:rPr>
          <w:color w:val="1F2937"/>
          <w:sz w:val="18"/>
        </w:rPr>
        <w:t xml:space="preserve">El archivo </w:t>
      </w:r>
      <w:r>
        <w:rPr>
          <w:rFonts w:eastAsia="Consolas" w:ascii="Consolas" w:hAnsi="Consolas"/>
          <w:color w:val="111827"/>
          <w:sz w:val="16"/>
        </w:rPr>
        <w:t>docker-compose.yml</w:t>
      </w:r>
      <w:r>
        <w:rPr>
          <w:color w:val="1F2937"/>
          <w:sz w:val="18"/>
        </w:rPr>
        <w:t xml:space="preserve"> define </w:t>
      </w:r>
      <w:r>
        <w:rPr>
          <w:rFonts w:eastAsia="Consolas" w:ascii="Consolas" w:hAnsi="Consolas"/>
          <w:color w:val="111827"/>
          <w:sz w:val="16"/>
        </w:rPr>
        <w:t>restart: unless-stopped</w:t>
      </w:r>
      <w:r>
        <w:rPr>
          <w:color w:val="1F2937"/>
          <w:sz w:val="18"/>
        </w:rPr>
        <w:t xml:space="preserve">. </w:t>
      </w:r>
      <w:r>
        <w:rPr>
          <w:color w:val="1F2937"/>
          <w:sz w:val="18"/>
          <w:lang w:val="es-CO"/>
        </w:rPr>
        <w:t>Con Docker habilitado al arranque del sistema, Aurora debe volver a levantarse automáticamente después de reiniciar el servidor.</w:t>
      </w:r>
    </w:p>
    <w:p>
      <w:pPr>
        <w:pStyle w:val="Normal"/>
        <w:spacing w:before="0" w:after="60"/>
        <w:rPr/>
      </w:pPr>
      <w:r>
        <w:rPr>
          <w:color w:val="1F2937"/>
          <w:sz w:val="18"/>
        </w:rPr>
        <w:t>Validar Docker en arranque:</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sudo systemctl is-enabled docker</w:t>
            </w:r>
          </w:p>
          <w:p>
            <w:pPr>
              <w:pStyle w:val="CodeBlock"/>
              <w:spacing w:before="20" w:after="0"/>
              <w:rPr/>
            </w:pPr>
            <w:r>
              <w:rPr>
                <w:color w:val="111827"/>
                <w:sz w:val="13"/>
              </w:rPr>
              <w:t>sudo systemctl status docker --no-pager</w:t>
            </w:r>
          </w:p>
        </w:tc>
      </w:tr>
    </w:tbl>
    <w:p>
      <w:pPr>
        <w:pStyle w:val="Normal"/>
        <w:rPr/>
      </w:pPr>
      <w:r>
        <w:rPr/>
      </w:r>
    </w:p>
    <w:p>
      <w:pPr>
        <w:pStyle w:val="Normal"/>
        <w:spacing w:before="0" w:after="60"/>
        <w:rPr>
          <w:lang w:val="es-CO"/>
        </w:rPr>
      </w:pPr>
      <w:r>
        <w:rPr>
          <w:color w:val="1F2937"/>
          <w:sz w:val="18"/>
          <w:lang w:val="es-CO"/>
        </w:rPr>
        <w:t>Habilitarlo si no está activo:</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sudo systemctl enable --now docker</w:t>
            </w:r>
          </w:p>
        </w:tc>
      </w:tr>
    </w:tbl>
    <w:p>
      <w:pPr>
        <w:pStyle w:val="Normal"/>
        <w:rPr/>
      </w:pPr>
      <w:r>
        <w:rPr/>
      </w:r>
    </w:p>
    <w:p>
      <w:pPr>
        <w:pStyle w:val="Normal"/>
        <w:spacing w:before="0" w:after="60"/>
        <w:rPr>
          <w:lang w:val="es-CO"/>
        </w:rPr>
      </w:pPr>
      <w:r>
        <w:rPr>
          <w:color w:val="1F2937"/>
          <w:sz w:val="18"/>
          <w:lang w:val="es-CO"/>
        </w:rPr>
        <w:t>El manual asume Docker Engine instalado como servicio del sistema por una persona con permisos administrativos. Si el usuario de despliegue no tiene permisos para instalar paquetes, habilitar servicios o abrir puertos, la actividad debe escalarse a Infraestructura antes de continuar.</w:t>
      </w:r>
    </w:p>
    <w:p>
      <w:pPr>
        <w:pStyle w:val="Heading3"/>
        <w:rPr>
          <w:lang w:val="es-CO"/>
        </w:rPr>
      </w:pPr>
      <w:bookmarkStart w:id="72" w:name="__RefHeading___Toc7075_3389959019"/>
      <w:bookmarkStart w:id="73" w:name="_Toc231224343"/>
      <w:bookmarkEnd w:id="72"/>
      <w:r>
        <w:rPr>
          <w:lang w:val="es-CO"/>
        </w:rPr>
        <w:t>Autenticación institucional y Azure</w:t>
      </w:r>
      <w:bookmarkEnd w:id="73"/>
    </w:p>
    <w:p>
      <w:pPr>
        <w:pStyle w:val="Normal"/>
        <w:spacing w:before="0" w:after="60"/>
        <w:rPr>
          <w:lang w:val="es-CO"/>
        </w:rPr>
      </w:pPr>
      <w:r>
        <w:rPr>
          <w:color w:val="1F2937"/>
          <w:sz w:val="18"/>
          <w:lang w:val="es-CO"/>
        </w:rPr>
        <w:t>Aurora expone la configuración pública de autenticación en:</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curl http://127.0.0.1:7860/api/auth/config</w:t>
            </w:r>
          </w:p>
        </w:tc>
      </w:tr>
    </w:tbl>
    <w:p>
      <w:pPr>
        <w:pStyle w:val="Normal"/>
        <w:rPr/>
      </w:pPr>
      <w:r>
        <w:rPr/>
      </w:r>
    </w:p>
    <w:p>
      <w:pPr>
        <w:pStyle w:val="Normal"/>
        <w:spacing w:before="0" w:after="60"/>
        <w:rPr>
          <w:lang w:val="es-CO"/>
        </w:rPr>
      </w:pPr>
      <w:r>
        <w:rPr>
          <w:color w:val="1F2937"/>
          <w:sz w:val="18"/>
          <w:lang w:val="es-CO"/>
        </w:rPr>
        <w:t>Si Azure / Microsoft Entra ID no quedó configurado, la respuesta será equivalente a:</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{"localAdminEnabled":false,"azureAd":{"enabled":false,"tenantId":null,"clientId":null}}</w:t>
            </w:r>
          </w:p>
        </w:tc>
      </w:tr>
    </w:tbl>
    <w:p>
      <w:pPr>
        <w:pStyle w:val="Normal"/>
        <w:rPr/>
      </w:pPr>
      <w:r>
        <w:rPr/>
      </w:r>
    </w:p>
    <w:p>
      <w:pPr>
        <w:pStyle w:val="Normal"/>
        <w:spacing w:before="0" w:after="60"/>
        <w:rPr>
          <w:lang w:val="es-CO"/>
        </w:rPr>
      </w:pPr>
      <w:r>
        <w:rPr>
          <w:color w:val="1F2937"/>
          <w:sz w:val="18"/>
          <w:lang w:val="es-CO"/>
        </w:rPr>
        <w:t xml:space="preserve">En ese estado el login institucional no se abre y la pantalla puede mostrar el flujo local. La causa esperada es que el contenedor no recibió </w:t>
      </w:r>
      <w:r>
        <w:rPr>
          <w:rFonts w:eastAsia="Consolas" w:ascii="Consolas" w:hAnsi="Consolas"/>
          <w:color w:val="111827"/>
          <w:sz w:val="16"/>
          <w:lang w:val="es-CO"/>
        </w:rPr>
        <w:t>AZURE_AD_TENANT_ID</w:t>
      </w:r>
      <w:r>
        <w:rPr>
          <w:color w:val="1F2937"/>
          <w:sz w:val="18"/>
          <w:lang w:val="es-CO"/>
        </w:rPr>
        <w:t xml:space="preserve"> o </w:t>
      </w:r>
      <w:r>
        <w:rPr>
          <w:rFonts w:eastAsia="Consolas" w:ascii="Consolas" w:hAnsi="Consolas"/>
          <w:color w:val="111827"/>
          <w:sz w:val="16"/>
          <w:lang w:val="es-CO"/>
        </w:rPr>
        <w:t>AZURE_AD_CLIENT_ID</w:t>
      </w:r>
      <w:r>
        <w:rPr>
          <w:color w:val="1F2937"/>
          <w:sz w:val="18"/>
          <w:lang w:val="es-CO"/>
        </w:rPr>
        <w:t>.</w:t>
      </w:r>
    </w:p>
    <w:p>
      <w:pPr>
        <w:pStyle w:val="Normal"/>
        <w:spacing w:before="0" w:after="60"/>
        <w:rPr>
          <w:lang w:val="es-CO"/>
        </w:rPr>
      </w:pPr>
      <w:r>
        <w:rPr>
          <w:color w:val="1F2937"/>
          <w:sz w:val="18"/>
          <w:lang w:val="es-CO"/>
        </w:rPr>
        <w:t xml:space="preserve">Para habilitar Azure se deben configurar en </w:t>
      </w:r>
      <w:r>
        <w:rPr>
          <w:rFonts w:eastAsia="Consolas" w:ascii="Consolas" w:hAnsi="Consolas"/>
          <w:color w:val="111827"/>
          <w:sz w:val="16"/>
          <w:lang w:val="es-CO"/>
        </w:rPr>
        <w:t>.env</w:t>
      </w:r>
      <w:r>
        <w:rPr>
          <w:color w:val="1F2937"/>
          <w:sz w:val="18"/>
          <w:lang w:val="es-CO"/>
        </w:rPr>
        <w:t>:</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AZURE_AD_TENANT_ID=&lt;tenant-id&gt;</w:t>
            </w:r>
          </w:p>
          <w:p>
            <w:pPr>
              <w:pStyle w:val="CodeBlock"/>
              <w:spacing w:before="20" w:after="0"/>
              <w:rPr/>
            </w:pPr>
            <w:r>
              <w:rPr>
                <w:color w:val="111827"/>
                <w:sz w:val="13"/>
              </w:rPr>
              <w:t>AZURE_AD_CLIENT_ID=&lt;client-id&gt;</w:t>
            </w:r>
          </w:p>
          <w:p>
            <w:pPr>
              <w:pStyle w:val="CodeBlock"/>
              <w:spacing w:before="20" w:after="0"/>
              <w:rPr/>
            </w:pPr>
            <w:r>
              <w:rPr>
                <w:color w:val="111827"/>
                <w:sz w:val="13"/>
              </w:rPr>
              <w:t>AZURE_AD_ALLOWED_EMAIL_DOMAINS=defensoria.gov.co</w:t>
            </w:r>
          </w:p>
          <w:p>
            <w:pPr>
              <w:pStyle w:val="CodeBlock"/>
              <w:spacing w:before="20" w:after="0"/>
              <w:rPr/>
            </w:pPr>
            <w:r>
              <w:rPr>
                <w:color w:val="111827"/>
                <w:sz w:val="13"/>
              </w:rPr>
              <w:t>AZURE_AD_REQUIRED_GROUP_IDS=</w:t>
            </w:r>
          </w:p>
          <w:p>
            <w:pPr>
              <w:pStyle w:val="CodeBlock"/>
              <w:spacing w:before="20" w:after="0"/>
              <w:rPr/>
            </w:pPr>
            <w:r>
              <w:rPr>
                <w:color w:val="111827"/>
                <w:sz w:val="13"/>
              </w:rPr>
              <w:t>AZURE_AD_REQUIRED_APP_ROLES=</w:t>
            </w:r>
          </w:p>
        </w:tc>
      </w:tr>
    </w:tbl>
    <w:p>
      <w:pPr>
        <w:pStyle w:val="Normal"/>
        <w:rPr/>
      </w:pPr>
      <w:r>
        <w:rPr/>
      </w:r>
    </w:p>
    <w:p>
      <w:pPr>
        <w:pStyle w:val="Normal"/>
        <w:spacing w:before="0" w:after="60"/>
        <w:rPr/>
      </w:pPr>
      <w:r>
        <w:rPr>
          <w:color w:val="1F2937"/>
          <w:sz w:val="18"/>
        </w:rPr>
        <w:t xml:space="preserve">Después de guardar </w:t>
      </w:r>
      <w:r>
        <w:rPr>
          <w:rFonts w:eastAsia="Consolas" w:ascii="Consolas" w:hAnsi="Consolas"/>
          <w:color w:val="111827"/>
          <w:sz w:val="16"/>
        </w:rPr>
        <w:t>.env</w:t>
      </w:r>
      <w:r>
        <w:rPr>
          <w:color w:val="1F2937"/>
          <w:sz w:val="18"/>
        </w:rPr>
        <w:t>:</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docker compose up -d --force-recreate aurora</w:t>
            </w:r>
          </w:p>
          <w:p>
            <w:pPr>
              <w:pStyle w:val="CodeBlock"/>
              <w:spacing w:before="20" w:after="0"/>
              <w:rPr/>
            </w:pPr>
            <w:r>
              <w:rPr>
                <w:color w:val="111827"/>
                <w:sz w:val="13"/>
              </w:rPr>
              <w:t>curl http://127.0.0.1:7860/api/auth/config</w:t>
            </w:r>
          </w:p>
        </w:tc>
      </w:tr>
    </w:tbl>
    <w:p>
      <w:pPr>
        <w:pStyle w:val="Normal"/>
        <w:rPr/>
      </w:pPr>
      <w:r>
        <w:rPr/>
      </w:r>
    </w:p>
    <w:p>
      <w:pPr>
        <w:pStyle w:val="Normal"/>
        <w:spacing w:before="0" w:after="60"/>
        <w:rPr>
          <w:lang w:val="es-CO"/>
        </w:rPr>
      </w:pPr>
      <w:r>
        <w:rPr>
          <w:color w:val="1F2937"/>
          <w:sz w:val="18"/>
          <w:lang w:val="es-CO"/>
        </w:rPr>
        <w:t xml:space="preserve">La respuesta esperada debe indicar </w:t>
      </w:r>
      <w:r>
        <w:rPr>
          <w:rFonts w:eastAsia="Consolas" w:ascii="Consolas" w:hAnsi="Consolas"/>
          <w:color w:val="111827"/>
          <w:sz w:val="16"/>
          <w:lang w:val="es-CO"/>
        </w:rPr>
        <w:t>azureAd.enabled</w:t>
      </w:r>
      <w:r>
        <w:rPr>
          <w:color w:val="1F2937"/>
          <w:sz w:val="18"/>
          <w:lang w:val="es-CO"/>
        </w:rPr>
        <w:t xml:space="preserve"> en </w:t>
      </w:r>
      <w:r>
        <w:rPr>
          <w:rFonts w:eastAsia="Consolas" w:ascii="Consolas" w:hAnsi="Consolas"/>
          <w:color w:val="111827"/>
          <w:sz w:val="16"/>
          <w:lang w:val="es-CO"/>
        </w:rPr>
        <w:t>true</w:t>
      </w:r>
      <w:r>
        <w:rPr>
          <w:color w:val="1F2937"/>
          <w:sz w:val="18"/>
          <w:lang w:val="es-CO"/>
        </w:rPr>
        <w:t>.</w:t>
      </w:r>
    </w:p>
    <w:p>
      <w:pPr>
        <w:pStyle w:val="Normal"/>
        <w:spacing w:before="0" w:after="60"/>
        <w:rPr/>
      </w:pPr>
      <w:r>
        <w:rPr>
          <w:color w:val="1F2937"/>
          <w:sz w:val="18"/>
          <w:lang w:val="es-CO"/>
        </w:rPr>
        <w:t xml:space="preserve">La Redirect URI se configura en Microsoft Entra ID, no en </w:t>
      </w:r>
      <w:r>
        <w:rPr>
          <w:rFonts w:eastAsia="Consolas" w:ascii="Consolas" w:hAnsi="Consolas"/>
          <w:color w:val="111827"/>
          <w:sz w:val="16"/>
          <w:lang w:val="es-CO"/>
        </w:rPr>
        <w:t>.env</w:t>
      </w:r>
      <w:r>
        <w:rPr>
          <w:color w:val="1F2937"/>
          <w:sz w:val="18"/>
          <w:lang w:val="es-CO"/>
        </w:rPr>
        <w:t xml:space="preserve">. Debe coincidir exactamente con la URL usada en el navegador. </w:t>
      </w:r>
      <w:r>
        <w:rPr>
          <w:color w:val="1F2937"/>
          <w:sz w:val="18"/>
        </w:rPr>
        <w:t>Ejemplos:</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http://localhost:17860</w:t>
            </w:r>
          </w:p>
          <w:p>
            <w:pPr>
              <w:pStyle w:val="CodeBlock"/>
              <w:spacing w:before="20" w:after="0"/>
              <w:rPr/>
            </w:pPr>
            <w:r>
              <w:rPr>
                <w:color w:val="111827"/>
                <w:sz w:val="13"/>
              </w:rPr>
              <w:t>http://&lt;ip-o-dns-del-servidor&gt;:7860</w:t>
            </w:r>
          </w:p>
          <w:p>
            <w:pPr>
              <w:pStyle w:val="CodeBlock"/>
              <w:spacing w:before="20" w:after="0"/>
              <w:rPr/>
            </w:pPr>
            <w:r>
              <w:rPr>
                <w:color w:val="111827"/>
                <w:sz w:val="13"/>
              </w:rPr>
              <w:t>https://&lt;url-institucional-aurora&gt;</w:t>
            </w:r>
          </w:p>
        </w:tc>
      </w:tr>
    </w:tbl>
    <w:p>
      <w:pPr>
        <w:pStyle w:val="Normal"/>
        <w:rPr/>
      </w:pPr>
      <w:r>
        <w:rPr/>
      </w:r>
    </w:p>
    <w:p>
      <w:pPr>
        <w:pStyle w:val="Normal"/>
        <w:spacing w:before="0" w:after="60"/>
        <w:rPr>
          <w:lang w:val="es-CO"/>
        </w:rPr>
      </w:pPr>
      <w:r>
        <w:rPr>
          <w:rFonts w:eastAsia="Consolas" w:ascii="Consolas" w:hAnsi="Consolas"/>
          <w:color w:val="111827"/>
          <w:sz w:val="16"/>
          <w:lang w:val="es-CO"/>
        </w:rPr>
        <w:t>http://localhost:17860</w:t>
      </w:r>
      <w:r>
        <w:rPr>
          <w:color w:val="1F2937"/>
          <w:sz w:val="18"/>
          <w:lang w:val="es-CO"/>
        </w:rPr>
        <w:t xml:space="preserve"> aplica únicamente a pruebas con túnel SSH o VS Code Ports. En producción debe usarse la URL HTTPS institucional definitiva.</w:t>
      </w:r>
    </w:p>
    <w:p>
      <w:pPr>
        <w:pStyle w:val="Heading3"/>
        <w:rPr>
          <w:lang w:val="es-CO"/>
        </w:rPr>
      </w:pPr>
      <w:bookmarkStart w:id="74" w:name="__RefHeading___Toc7077_3389959019"/>
      <w:bookmarkStart w:id="75" w:name="_Toc231224344"/>
      <w:bookmarkEnd w:id="74"/>
      <w:r>
        <w:rPr>
          <w:lang w:val="es-CO"/>
        </w:rPr>
        <w:t>Acceso desde equipo cliente</w:t>
      </w:r>
      <w:bookmarkEnd w:id="75"/>
    </w:p>
    <w:p>
      <w:pPr>
        <w:pStyle w:val="Normal"/>
        <w:spacing w:before="0" w:after="60"/>
        <w:rPr>
          <w:lang w:val="es-CO"/>
        </w:rPr>
      </w:pPr>
      <w:r>
        <w:rPr>
          <w:rFonts w:eastAsia="Consolas" w:ascii="Consolas" w:hAnsi="Consolas"/>
          <w:color w:val="111827"/>
          <w:sz w:val="16"/>
          <w:lang w:val="es-CO"/>
        </w:rPr>
        <w:t>127.0.0.1</w:t>
      </w:r>
      <w:r>
        <w:rPr>
          <w:color w:val="1F2937"/>
          <w:sz w:val="18"/>
          <w:lang w:val="es-CO"/>
        </w:rPr>
        <w:t xml:space="preserve"> dentro del servidor significa el servidor. </w:t>
      </w:r>
      <w:r>
        <w:rPr>
          <w:rFonts w:eastAsia="Consolas" w:ascii="Consolas" w:hAnsi="Consolas"/>
          <w:color w:val="111827"/>
          <w:sz w:val="16"/>
          <w:lang w:val="es-CO"/>
        </w:rPr>
        <w:t>127.0.0.1</w:t>
      </w:r>
      <w:r>
        <w:rPr>
          <w:color w:val="1F2937"/>
          <w:sz w:val="18"/>
          <w:lang w:val="es-CO"/>
        </w:rPr>
        <w:t xml:space="preserve"> en el navegador de Windows significa el equipo Windows. Si se valida desde VS Code conectado por SSH, usar </w:t>
      </w:r>
      <w:r>
        <w:rPr>
          <w:b/>
          <w:color w:val="1F2937"/>
          <w:sz w:val="18"/>
          <w:lang w:val="es-CO"/>
        </w:rPr>
        <w:t>Ports / Puertos</w:t>
      </w:r>
      <w:r>
        <w:rPr>
          <w:color w:val="1F2937"/>
          <w:sz w:val="18"/>
          <w:lang w:val="es-CO"/>
        </w:rPr>
        <w:t xml:space="preserve"> para reenviar el puerto publicado por Docker.</w:t>
      </w:r>
    </w:p>
    <w:p>
      <w:pPr>
        <w:pStyle w:val="Normal"/>
        <w:spacing w:before="0" w:after="60"/>
        <w:rPr/>
      </w:pPr>
      <w:r>
        <w:rPr>
          <w:color w:val="1F2937"/>
          <w:sz w:val="18"/>
        </w:rPr>
        <w:t>Ejemplo con puerto alterno:</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HOST_PORT=17860 docker compose up -d aurora</w:t>
            </w:r>
          </w:p>
          <w:p>
            <w:pPr>
              <w:pStyle w:val="CodeBlock"/>
              <w:spacing w:before="20" w:after="0"/>
              <w:rPr/>
            </w:pPr>
            <w:r>
              <w:rPr>
                <w:color w:val="111827"/>
                <w:sz w:val="13"/>
              </w:rPr>
              <w:t>curl http://127.0.0.1:17860/api/health</w:t>
            </w:r>
          </w:p>
        </w:tc>
      </w:tr>
    </w:tbl>
    <w:p>
      <w:pPr>
        <w:pStyle w:val="Normal"/>
        <w:rPr/>
      </w:pPr>
      <w:r>
        <w:rPr/>
      </w:r>
    </w:p>
    <w:p>
      <w:pPr>
        <w:pStyle w:val="Normal"/>
        <w:spacing w:before="0" w:after="60"/>
        <w:rPr/>
      </w:pPr>
      <w:r>
        <w:rPr>
          <w:color w:val="1F2937"/>
          <w:sz w:val="18"/>
        </w:rPr>
        <w:t>En Windows abrir:</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http://127.0.0.1:17860</w:t>
            </w:r>
          </w:p>
        </w:tc>
      </w:tr>
    </w:tbl>
    <w:p>
      <w:pPr>
        <w:pStyle w:val="Normal"/>
        <w:rPr/>
      </w:pPr>
      <w:r>
        <w:rPr/>
      </w:r>
    </w:p>
    <w:p>
      <w:pPr>
        <w:pStyle w:val="Normal"/>
        <w:spacing w:before="0" w:after="60"/>
        <w:rPr/>
      </w:pPr>
      <w:r>
        <w:rPr>
          <w:color w:val="1F2937"/>
          <w:sz w:val="18"/>
        </w:rPr>
        <w:t>Alternativa con PowerShell:</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ssh -L 17860:127.0.0.1:17860 &lt;usuario&gt;@&lt;ip-o-dns-del-servidor&gt;</w:t>
            </w:r>
          </w:p>
        </w:tc>
      </w:tr>
    </w:tbl>
    <w:p>
      <w:pPr>
        <w:pStyle w:val="Normal"/>
        <w:rPr/>
      </w:pPr>
      <w:r>
        <w:rPr/>
      </w:r>
    </w:p>
    <w:p>
      <w:pPr>
        <w:pStyle w:val="Normal"/>
        <w:spacing w:before="0" w:after="60"/>
        <w:rPr>
          <w:lang w:val="es-CO"/>
        </w:rPr>
      </w:pPr>
      <w:r>
        <w:rPr>
          <w:color w:val="1F2937"/>
          <w:sz w:val="18"/>
          <w:lang w:val="es-CO"/>
        </w:rPr>
        <w:t xml:space="preserve">Con esa sesión abierta, navegar a </w:t>
      </w:r>
      <w:r>
        <w:rPr>
          <w:rFonts w:eastAsia="Consolas" w:ascii="Consolas" w:hAnsi="Consolas"/>
          <w:color w:val="111827"/>
          <w:sz w:val="16"/>
          <w:lang w:val="es-CO"/>
        </w:rPr>
        <w:t>http://127.0.0.1:17860</w:t>
      </w:r>
      <w:r>
        <w:rPr>
          <w:color w:val="1F2937"/>
          <w:sz w:val="18"/>
          <w:lang w:val="es-CO"/>
        </w:rPr>
        <w:t>.</w:t>
      </w:r>
    </w:p>
    <w:p>
      <w:pPr>
        <w:pStyle w:val="Heading3"/>
        <w:rPr>
          <w:lang w:val="es-CO"/>
        </w:rPr>
      </w:pPr>
      <w:bookmarkStart w:id="76" w:name="__RefHeading___Toc7079_3389959019"/>
      <w:bookmarkStart w:id="77" w:name="_Toc231224345"/>
      <w:bookmarkEnd w:id="76"/>
      <w:r>
        <w:rPr>
          <w:lang w:val="es-CO"/>
        </w:rPr>
        <w:t>Prueba operativa puntual con Node.js en segundo plano</w:t>
      </w:r>
      <w:bookmarkEnd w:id="77"/>
    </w:p>
    <w:p>
      <w:pPr>
        <w:pStyle w:val="Normal"/>
        <w:spacing w:before="0" w:after="60"/>
        <w:rPr>
          <w:lang w:val="es-CO"/>
        </w:rPr>
      </w:pPr>
      <w:r>
        <w:rPr>
          <w:color w:val="1F2937"/>
          <w:sz w:val="18"/>
          <w:lang w:val="es-CO"/>
        </w:rPr>
        <w:t xml:space="preserve">Como antecedente de validación, el 28 de mayo de 2026 se ejecutó una prueba temporal sobre el servidor detectado con IP privada </w:t>
      </w:r>
      <w:r>
        <w:rPr>
          <w:rFonts w:eastAsia="Consolas" w:ascii="Consolas" w:hAnsi="Consolas"/>
          <w:color w:val="111827"/>
          <w:sz w:val="16"/>
          <w:lang w:val="es-CO"/>
        </w:rPr>
        <w:t>172.31.64.7</w:t>
      </w:r>
      <w:r>
        <w:rPr>
          <w:color w:val="1F2937"/>
          <w:sz w:val="18"/>
          <w:lang w:val="es-CO"/>
        </w:rPr>
        <w:t xml:space="preserve"> y puerto </w:t>
      </w:r>
      <w:r>
        <w:rPr>
          <w:rFonts w:eastAsia="Consolas" w:ascii="Consolas" w:hAnsi="Consolas"/>
          <w:color w:val="111827"/>
          <w:sz w:val="16"/>
          <w:lang w:val="es-CO"/>
        </w:rPr>
        <w:t>7860</w:t>
      </w:r>
      <w:r>
        <w:rPr>
          <w:color w:val="1F2937"/>
          <w:sz w:val="18"/>
          <w:lang w:val="es-CO"/>
        </w:rPr>
        <w:t>. En ese momento el servidor no tenía Docker instalado, por lo que el backend se levantó con Node.js en segundo plano para confirmar que la aplicación respondía y que la conexión con Oracle estaba operativa.</w:t>
      </w:r>
    </w:p>
    <w:p>
      <w:pPr>
        <w:pStyle w:val="Normal"/>
        <w:spacing w:before="0" w:after="60"/>
        <w:rPr>
          <w:lang w:val="es-CO"/>
        </w:rPr>
      </w:pPr>
      <w:r>
        <w:rPr>
          <w:color w:val="1F2937"/>
          <w:sz w:val="18"/>
          <w:lang w:val="es-CO"/>
        </w:rPr>
        <w:t>Esta prueba no cambia el lineamiento técnico de despliegue: para preproducción y producción se debe usar Docker Compose. La prueba con Node.js se conserva como referencia para diagnóstico, validación inicial o contingencia controlada.</w:t>
      </w:r>
    </w:p>
    <w:p>
      <w:pPr>
        <w:pStyle w:val="Normal"/>
        <w:spacing w:before="0" w:after="60"/>
        <w:rPr/>
      </w:pPr>
      <w:r>
        <w:rPr>
          <w:color w:val="1F2937"/>
          <w:sz w:val="18"/>
        </w:rPr>
        <w:t>Datos de la prueba:</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890"/>
        <w:gridCol w:w="6690"/>
      </w:tblGrid>
      <w:tr>
        <w:trPr>
          <w:tblHeader w:val="true"/>
        </w:trPr>
        <w:tc>
          <w:tcPr>
            <w:tcW w:w="28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Elemento</w:t>
            </w:r>
          </w:p>
        </w:tc>
        <w:tc>
          <w:tcPr>
            <w:tcW w:w="66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Valor</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Fecha de prueba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2026-05-28</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Servidor/IP</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172.31.64.7</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Puerto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7860</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URL temporal</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http://172.31.64.7:7860</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Escucha del backend</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0.0.0.0:7860</w:t>
            </w:r>
          </w:p>
        </w:tc>
      </w:tr>
    </w:tbl>
    <w:p>
      <w:pPr>
        <w:pStyle w:val="Normal"/>
        <w:rPr/>
      </w:pPr>
      <w:r>
        <w:rPr/>
      </w:r>
    </w:p>
    <w:p>
      <w:pPr>
        <w:pStyle w:val="Normal"/>
        <w:spacing w:before="0" w:after="60"/>
        <w:rPr/>
      </w:pPr>
      <w:r>
        <w:rPr>
          <w:color w:val="1F2937"/>
          <w:sz w:val="18"/>
        </w:rPr>
        <w:t>Validaciones ejecutadas:</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curl http://172.31.64.7:7860/api/health</w:t>
            </w:r>
          </w:p>
          <w:p>
            <w:pPr>
              <w:pStyle w:val="CodeBlock"/>
              <w:spacing w:before="20" w:after="0"/>
              <w:rPr/>
            </w:pPr>
            <w:r>
              <w:rPr>
                <w:color w:val="111827"/>
                <w:sz w:val="13"/>
              </w:rPr>
              <w:t>curl http://172.31.64.7:7860/api/health/db</w:t>
            </w:r>
          </w:p>
        </w:tc>
      </w:tr>
    </w:tbl>
    <w:p>
      <w:pPr>
        <w:pStyle w:val="Normal"/>
        <w:rPr/>
      </w:pPr>
      <w:r>
        <w:rPr/>
      </w:r>
    </w:p>
    <w:p>
      <w:pPr>
        <w:pStyle w:val="Normal"/>
        <w:spacing w:before="0" w:after="60"/>
        <w:rPr/>
      </w:pPr>
      <w:r>
        <w:rPr>
          <w:color w:val="1F2937"/>
          <w:sz w:val="18"/>
        </w:rPr>
        <w:t>Resultados observados:</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{"ok":true,"message":"Backend AURORA operativo (modo ORACLE v2 híbrido)"}</w:t>
            </w:r>
          </w:p>
        </w:tc>
      </w:tr>
    </w:tbl>
    <w:p>
      <w:pPr>
        <w:pStyle w:val="Normal"/>
        <w:rPr/>
      </w:pPr>
      <w:r>
        <w:rPr/>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{"ok":true,"db":{"DB_OK":1}}</w:t>
            </w:r>
          </w:p>
        </w:tc>
      </w:tr>
    </w:tbl>
    <w:p>
      <w:pPr>
        <w:pStyle w:val="Normal"/>
        <w:rPr/>
      </w:pPr>
      <w:r>
        <w:rPr/>
      </w:r>
    </w:p>
    <w:p>
      <w:pPr>
        <w:pStyle w:val="Normal"/>
        <w:spacing w:before="0" w:after="60"/>
        <w:rPr>
          <w:lang w:val="es-CO"/>
        </w:rPr>
      </w:pPr>
      <w:r>
        <w:rPr>
          <w:color w:val="1F2937"/>
          <w:sz w:val="18"/>
          <w:lang w:val="es-CO"/>
        </w:rPr>
        <w:t xml:space="preserve">También se validó que </w:t>
      </w:r>
      <w:r>
        <w:rPr>
          <w:rFonts w:eastAsia="Consolas" w:ascii="Consolas" w:hAnsi="Consolas"/>
          <w:color w:val="111827"/>
          <w:sz w:val="16"/>
          <w:lang w:val="es-CO"/>
        </w:rPr>
        <w:t>http://172.31.64.7:7860/</w:t>
      </w:r>
      <w:r>
        <w:rPr>
          <w:color w:val="1F2937"/>
          <w:sz w:val="18"/>
          <w:lang w:val="es-CO"/>
        </w:rPr>
        <w:t xml:space="preserve"> entregaba el HTML del frontend. Si el servidor responde localmente pero el navegador de un equipo cliente no carga la URL, el diagnóstico debe concentrarse en conectividad de red: firewall, VPN, reglas de seguridad, NAT, proxy, DNS o ruta hacia la IP privada.</w:t>
      </w:r>
    </w:p>
    <w:p>
      <w:pPr>
        <w:pStyle w:val="Normal"/>
        <w:spacing w:before="0" w:after="60"/>
        <w:rPr>
          <w:lang w:val="es-CO"/>
        </w:rPr>
      </w:pPr>
      <w:r>
        <w:rPr>
          <w:color w:val="1F2937"/>
          <w:sz w:val="18"/>
          <w:lang w:val="es-CO"/>
        </w:rPr>
        <w:t>Comandos de apoyo para ese escenario temporal:</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ss -ltnp | grep ':7860'</w:t>
            </w:r>
          </w:p>
          <w:p>
            <w:pPr>
              <w:pStyle w:val="CodeBlock"/>
              <w:spacing w:before="20" w:after="0"/>
              <w:rPr/>
            </w:pPr>
            <w:r>
              <w:rPr>
                <w:color w:val="111827"/>
                <w:sz w:val="13"/>
              </w:rPr>
              <w:t>tail -f /tmp/aurora-backend.log</w:t>
            </w:r>
          </w:p>
          <w:p>
            <w:pPr>
              <w:pStyle w:val="CodeBlock"/>
              <w:spacing w:before="20" w:after="0"/>
              <w:rPr/>
            </w:pPr>
            <w:r>
              <w:rPr>
                <w:color w:val="111827"/>
                <w:sz w:val="13"/>
              </w:rPr>
              <w:t>pkill -f 'node index.js'</w:t>
            </w:r>
          </w:p>
          <w:p>
            <w:pPr>
              <w:pStyle w:val="CodeBlock"/>
              <w:spacing w:before="20" w:after="0"/>
              <w:rPr/>
            </w:pPr>
            <w:r>
              <w:rPr>
                <w:color w:val="111827"/>
                <w:sz w:val="13"/>
              </w:rPr>
              <w:t>cd /home/dndp/proyectos_dndp/aurora</w:t>
            </w:r>
          </w:p>
          <w:p>
            <w:pPr>
              <w:pStyle w:val="CodeBlock"/>
              <w:spacing w:before="20" w:after="0"/>
              <w:rPr/>
            </w:pPr>
            <w:r>
              <w:rPr>
                <w:color w:val="111827"/>
                <w:sz w:val="13"/>
              </w:rPr>
              <w:t>nohup npm --prefix backend start &gt; /tmp/aurora-backend.log 2&gt;&amp;1 &amp;</w:t>
            </w:r>
          </w:p>
        </w:tc>
      </w:tr>
    </w:tbl>
    <w:p>
      <w:pPr>
        <w:pStyle w:val="Normal"/>
        <w:rPr/>
      </w:pPr>
      <w:r>
        <w:rPr/>
      </w:r>
    </w:p>
    <w:p>
      <w:pPr>
        <w:pStyle w:val="Normal"/>
        <w:spacing w:before="0" w:after="60"/>
        <w:rPr>
          <w:lang w:val="es-CO"/>
        </w:rPr>
      </w:pPr>
      <w:r>
        <w:rPr>
          <w:color w:val="1F2937"/>
          <w:sz w:val="18"/>
          <w:lang w:val="es-CO"/>
        </w:rPr>
        <w:t>Antes de levantar Docker Compose en el mismo puerto, se debe detener el proceso temporal de Node.js:</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pkill -f 'node index.js' || true</w:t>
            </w:r>
          </w:p>
        </w:tc>
      </w:tr>
    </w:tbl>
    <w:p>
      <w:pPr>
        <w:pStyle w:val="Normal"/>
        <w:rPr/>
      </w:pPr>
      <w:r>
        <w:rPr/>
      </w:r>
    </w:p>
    <w:p>
      <w:pPr>
        <w:pStyle w:val="Heading3"/>
        <w:rPr>
          <w:lang w:val="es-CO"/>
        </w:rPr>
      </w:pPr>
      <w:bookmarkStart w:id="78" w:name="__RefHeading___Toc7081_3389959019"/>
      <w:bookmarkStart w:id="79" w:name="_Toc231224346"/>
      <w:bookmarkEnd w:id="78"/>
      <w:r>
        <w:rPr>
          <w:lang w:val="es-CO"/>
        </w:rPr>
        <w:t>Uso de PM2</w:t>
      </w:r>
      <w:bookmarkEnd w:id="79"/>
    </w:p>
    <w:p>
      <w:pPr>
        <w:pStyle w:val="Normal"/>
        <w:spacing w:before="0" w:after="60"/>
        <w:rPr>
          <w:lang w:val="es-CO"/>
        </w:rPr>
      </w:pPr>
      <w:r>
        <w:rPr>
          <w:color w:val="1F2937"/>
          <w:sz w:val="18"/>
          <w:lang w:val="es-CO"/>
        </w:rPr>
        <w:t>PM2 no es necesario para el despliegue Docker. En un despliegue institucional con Docker Compose no se debe ejecutar PM2 dentro del contenedor ni como administrador paralelo del mismo proceso.</w:t>
      </w:r>
    </w:p>
    <w:p>
      <w:pPr>
        <w:pStyle w:val="Normal"/>
        <w:spacing w:before="0" w:after="60"/>
        <w:rPr>
          <w:lang w:val="es-CO"/>
        </w:rPr>
      </w:pPr>
      <w:r>
        <w:rPr>
          <w:color w:val="1F2937"/>
          <w:sz w:val="18"/>
          <w:lang w:val="es-CO"/>
        </w:rPr>
        <w:t>PM2 queda disponible solo como despliegue alternativo tradicional cuando el servidor no usará Docker y se operará Node.js directamente. Este camino sirve para diagnóstico, pruebas controladas o decisión explícita de Infraestructura.</w:t>
      </w:r>
    </w:p>
    <w:p>
      <w:pPr>
        <w:pStyle w:val="Normal"/>
        <w:spacing w:before="0" w:after="60"/>
        <w:rPr/>
      </w:pPr>
      <w:r>
        <w:rPr>
          <w:color w:val="1F2937"/>
          <w:sz w:val="18"/>
        </w:rPr>
        <w:t>Despliegue alternativo con Node.js y PM2:</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npm install</w:t>
            </w:r>
          </w:p>
          <w:p>
            <w:pPr>
              <w:pStyle w:val="CodeBlock"/>
              <w:spacing w:before="20" w:after="0"/>
              <w:rPr/>
            </w:pPr>
            <w:r>
              <w:rPr>
                <w:color w:val="111827"/>
                <w:sz w:val="13"/>
              </w:rPr>
              <w:t>npm --prefix backend install</w:t>
            </w:r>
          </w:p>
          <w:p>
            <w:pPr>
              <w:pStyle w:val="CodeBlock"/>
              <w:spacing w:before="20" w:after="0"/>
              <w:rPr/>
            </w:pPr>
            <w:r>
              <w:rPr>
                <w:color w:val="111827"/>
                <w:sz w:val="13"/>
              </w:rPr>
              <w:t>npm --prefix frontend install</w:t>
            </w:r>
          </w:p>
          <w:p>
            <w:pPr>
              <w:pStyle w:val="CodeBlock"/>
              <w:spacing w:before="20" w:after="0"/>
              <w:rPr/>
            </w:pPr>
            <w:r>
              <w:rPr>
                <w:color w:val="111827"/>
                <w:sz w:val="13"/>
              </w:rPr>
              <w:t>cp .env.example .env</w:t>
            </w:r>
          </w:p>
          <w:p>
            <w:pPr>
              <w:pStyle w:val="CodeBlock"/>
              <w:spacing w:before="20" w:after="0"/>
              <w:rPr/>
            </w:pPr>
            <w:r>
              <w:rPr>
                <w:color w:val="111827"/>
                <w:sz w:val="13"/>
              </w:rPr>
              <w:t># editar .env con valores reales</w:t>
            </w:r>
          </w:p>
          <w:p>
            <w:pPr>
              <w:pStyle w:val="CodeBlock"/>
              <w:spacing w:before="20" w:after="0"/>
              <w:rPr/>
            </w:pPr>
            <w:r>
              <w:rPr>
                <w:color w:val="111827"/>
                <w:sz w:val="13"/>
              </w:rPr>
              <w:t>npm run service:start</w:t>
            </w:r>
          </w:p>
          <w:p>
            <w:pPr>
              <w:pStyle w:val="CodeBlock"/>
              <w:spacing w:before="20" w:after="0"/>
              <w:rPr/>
            </w:pPr>
            <w:r>
              <w:rPr>
                <w:color w:val="111827"/>
                <w:sz w:val="13"/>
              </w:rPr>
              <w:t>npm run service:status</w:t>
            </w:r>
          </w:p>
        </w:tc>
      </w:tr>
    </w:tbl>
    <w:p>
      <w:pPr>
        <w:pStyle w:val="Normal"/>
        <w:rPr/>
      </w:pPr>
      <w:r>
        <w:rPr/>
      </w:r>
    </w:p>
    <w:p>
      <w:pPr>
        <w:pStyle w:val="Normal"/>
        <w:spacing w:before="0" w:after="60"/>
        <w:rPr>
          <w:lang w:val="es-CO"/>
        </w:rPr>
      </w:pPr>
      <w:r>
        <w:rPr>
          <w:color w:val="1F2937"/>
          <w:sz w:val="18"/>
          <w:lang w:val="es-CO"/>
        </w:rPr>
        <w:t>Comandos PM2 definidos en el repositorio:</w:t>
      </w:r>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890"/>
        <w:gridCol w:w="6690"/>
      </w:tblGrid>
      <w:tr>
        <w:trPr>
          <w:tblHeader w:val="true"/>
        </w:trPr>
        <w:tc>
          <w:tcPr>
            <w:tcW w:w="28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Acción</w:t>
            </w:r>
          </w:p>
        </w:tc>
        <w:tc>
          <w:tcPr>
            <w:tcW w:w="66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Comando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Subir servicio Node.js con PM2</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run service:start</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Ver estado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run service:status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Ver logs</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run service:logs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Reiniciar servicio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run service:restart</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Detener servicio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run service:stop</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Eliminar proceso PM2</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run service:delete</w:t>
            </w:r>
          </w:p>
        </w:tc>
      </w:tr>
    </w:tbl>
    <w:p>
      <w:pPr>
        <w:pStyle w:val="Normal"/>
        <w:rPr/>
      </w:pPr>
      <w:r>
        <w:rPr/>
      </w:r>
    </w:p>
    <w:p>
      <w:pPr>
        <w:pStyle w:val="Normal"/>
        <w:spacing w:before="0" w:after="60"/>
        <w:rPr>
          <w:lang w:val="es-CO"/>
        </w:rPr>
      </w:pPr>
      <w:r>
        <w:rPr>
          <w:rFonts w:eastAsia="Consolas" w:ascii="Consolas" w:hAnsi="Consolas"/>
          <w:color w:val="111827"/>
          <w:sz w:val="16"/>
          <w:lang w:val="es-CO"/>
        </w:rPr>
        <w:t>ecosystem.config.cjs</w:t>
      </w:r>
      <w:r>
        <w:rPr>
          <w:color w:val="1F2937"/>
          <w:sz w:val="18"/>
          <w:lang w:val="es-CO"/>
        </w:rPr>
        <w:t xml:space="preserve"> inicia </w:t>
      </w:r>
      <w:r>
        <w:rPr>
          <w:rFonts w:eastAsia="Consolas" w:ascii="Consolas" w:hAnsi="Consolas"/>
          <w:color w:val="111827"/>
          <w:sz w:val="16"/>
          <w:lang w:val="es-CO"/>
        </w:rPr>
        <w:t>backend/index.js</w:t>
      </w:r>
      <w:r>
        <w:rPr>
          <w:color w:val="1F2937"/>
          <w:sz w:val="18"/>
          <w:lang w:val="es-CO"/>
        </w:rPr>
        <w:t xml:space="preserve">, usa </w:t>
      </w:r>
      <w:r>
        <w:rPr>
          <w:rFonts w:eastAsia="Consolas" w:ascii="Consolas" w:hAnsi="Consolas"/>
          <w:color w:val="111827"/>
          <w:sz w:val="16"/>
          <w:lang w:val="es-CO"/>
        </w:rPr>
        <w:t>PORT=7860</w:t>
      </w:r>
      <w:r>
        <w:rPr>
          <w:color w:val="1F2937"/>
          <w:sz w:val="18"/>
          <w:lang w:val="es-CO"/>
        </w:rPr>
        <w:t xml:space="preserve"> y carga variables desde el </w:t>
      </w:r>
      <w:r>
        <w:rPr>
          <w:rFonts w:eastAsia="Consolas" w:ascii="Consolas" w:hAnsi="Consolas"/>
          <w:color w:val="111827"/>
          <w:sz w:val="16"/>
          <w:lang w:val="es-CO"/>
        </w:rPr>
        <w:t>.env</w:t>
      </w:r>
      <w:r>
        <w:rPr>
          <w:color w:val="1F2937"/>
          <w:sz w:val="18"/>
          <w:lang w:val="es-CO"/>
        </w:rPr>
        <w:t xml:space="preserve"> de la raíz mediante </w:t>
      </w:r>
      <w:r>
        <w:rPr>
          <w:rFonts w:eastAsia="Consolas" w:ascii="Consolas" w:hAnsi="Consolas"/>
          <w:color w:val="111827"/>
          <w:sz w:val="16"/>
          <w:lang w:val="es-CO"/>
        </w:rPr>
        <w:t>DOTENV_CONFIG_PATH=../.env</w:t>
      </w:r>
      <w:r>
        <w:rPr>
          <w:color w:val="1F2937"/>
          <w:sz w:val="18"/>
          <w:lang w:val="es-CO"/>
        </w:rPr>
        <w:t>.</w:t>
      </w:r>
    </w:p>
    <w:p>
      <w:pPr>
        <w:pStyle w:val="Normal"/>
        <w:spacing w:before="0" w:after="60"/>
        <w:rPr>
          <w:lang w:val="es-CO"/>
        </w:rPr>
      </w:pPr>
      <w:r>
        <w:rPr>
          <w:color w:val="1F2937"/>
          <w:sz w:val="18"/>
          <w:lang w:val="es-CO"/>
        </w:rPr>
        <w:t>Para persistir el proceso PM2 después de reiniciar el servidor:</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npx pm2 startup</w:t>
            </w:r>
          </w:p>
          <w:p>
            <w:pPr>
              <w:pStyle w:val="CodeBlock"/>
              <w:spacing w:before="20" w:after="0"/>
              <w:rPr/>
            </w:pPr>
            <w:r>
              <w:rPr>
                <w:color w:val="111827"/>
                <w:sz w:val="13"/>
              </w:rPr>
              <w:t>npx pm2 save</w:t>
            </w:r>
          </w:p>
        </w:tc>
      </w:tr>
    </w:tbl>
    <w:p>
      <w:pPr>
        <w:pStyle w:val="Normal"/>
        <w:rPr/>
      </w:pPr>
      <w:r>
        <w:rPr/>
      </w:r>
    </w:p>
    <w:p>
      <w:pPr>
        <w:pStyle w:val="Normal"/>
        <w:spacing w:before="0" w:after="60"/>
        <w:rPr>
          <w:lang w:val="es-CO"/>
        </w:rPr>
      </w:pPr>
      <w:r>
        <w:rPr>
          <w:color w:val="1F2937"/>
          <w:sz w:val="18"/>
          <w:lang w:val="es-CO"/>
        </w:rPr>
        <w:t xml:space="preserve">La salida de </w:t>
      </w:r>
      <w:r>
        <w:rPr>
          <w:rFonts w:eastAsia="Consolas" w:ascii="Consolas" w:hAnsi="Consolas"/>
          <w:color w:val="111827"/>
          <w:sz w:val="16"/>
          <w:lang w:val="es-CO"/>
        </w:rPr>
        <w:t>npx pm2 startup</w:t>
      </w:r>
      <w:r>
        <w:rPr>
          <w:color w:val="1F2937"/>
          <w:sz w:val="18"/>
          <w:lang w:val="es-CO"/>
        </w:rPr>
        <w:t xml:space="preserve"> puede indicar un comando con </w:t>
      </w:r>
      <w:r>
        <w:rPr>
          <w:rFonts w:eastAsia="Consolas" w:ascii="Consolas" w:hAnsi="Consolas"/>
          <w:color w:val="111827"/>
          <w:sz w:val="16"/>
          <w:lang w:val="es-CO"/>
        </w:rPr>
        <w:t>sudo</w:t>
      </w:r>
      <w:r>
        <w:rPr>
          <w:color w:val="1F2937"/>
          <w:sz w:val="18"/>
          <w:lang w:val="es-CO"/>
        </w:rPr>
        <w:t>; ese comando debe ejecutarlo la persona administradora del servidor.</w:t>
      </w:r>
    </w:p>
    <w:p>
      <w:pPr>
        <w:pStyle w:val="Normal"/>
        <w:spacing w:before="0" w:after="60"/>
        <w:rPr/>
      </w:pPr>
      <w:r>
        <w:rPr>
          <w:color w:val="1F2937"/>
          <w:sz w:val="18"/>
        </w:rPr>
        <w:t>Despliegue alternativo tradicional sin PM2:</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npm --prefix frontend run build</w:t>
            </w:r>
          </w:p>
          <w:p>
            <w:pPr>
              <w:pStyle w:val="CodeBlock"/>
              <w:spacing w:before="20" w:after="0"/>
              <w:rPr/>
            </w:pPr>
            <w:r>
              <w:rPr>
                <w:color w:val="111827"/>
                <w:sz w:val="13"/>
              </w:rPr>
              <w:t>NODE_ENV=production npm --prefix backend run start:prod</w:t>
            </w:r>
          </w:p>
        </w:tc>
      </w:tr>
    </w:tbl>
    <w:p>
      <w:pPr>
        <w:pStyle w:val="Normal"/>
        <w:rPr/>
      </w:pPr>
      <w:r>
        <w:rPr/>
      </w:r>
    </w:p>
    <w:p>
      <w:pPr>
        <w:pStyle w:val="Normal"/>
        <w:spacing w:before="0" w:after="60"/>
        <w:rPr>
          <w:lang w:val="es-CO"/>
        </w:rPr>
      </w:pPr>
      <w:r>
        <w:rPr>
          <w:color w:val="1F2937"/>
          <w:sz w:val="18"/>
          <w:lang w:val="es-CO"/>
        </w:rPr>
        <w:t>Este último modo no deja el servicio administrado después de cerrar la terminal, por lo que no se recomienda para producción.</w:t>
      </w:r>
    </w:p>
    <w:p>
      <w:pPr>
        <w:pStyle w:val="Normal"/>
        <w:spacing w:before="0" w:after="60"/>
        <w:rPr>
          <w:lang w:val="es-CO"/>
        </w:rPr>
      </w:pPr>
      <w:r>
        <w:rPr>
          <w:color w:val="1F2937"/>
          <w:sz w:val="18"/>
          <w:lang w:val="es-CO"/>
        </w:rPr>
        <w:t>El build Docker debe validarse en un equipo o servidor con Docker disponible antes de publicar la imagen o ejecutar el despliegue.</w:t>
      </w:r>
    </w:p>
    <w:p>
      <w:pPr>
        <w:pStyle w:val="Normal"/>
        <w:spacing w:before="0" w:after="60"/>
        <w:rPr>
          <w:lang w:val="es-CO"/>
        </w:rPr>
      </w:pPr>
      <w:r>
        <w:rPr>
          <w:color w:val="1F2937"/>
          <w:sz w:val="18"/>
          <w:lang w:val="es-CO"/>
        </w:rPr>
        <w:t xml:space="preserve">El contexto Docker excluye </w:t>
      </w:r>
      <w:r>
        <w:rPr>
          <w:rFonts w:eastAsia="Consolas" w:ascii="Consolas" w:hAnsi="Consolas"/>
          <w:color w:val="111827"/>
          <w:sz w:val="16"/>
          <w:lang w:val="es-CO"/>
        </w:rPr>
        <w:t>.cleanup-backups/</w:t>
      </w:r>
      <w:r>
        <w:rPr>
          <w:color w:val="1F2937"/>
          <w:sz w:val="18"/>
          <w:lang w:val="es-CO"/>
        </w:rPr>
        <w:t>, documentación pesada y secretos. Si se generan respaldos locales por limpiezas controladas, no deben subirse al repositorio ni copiarse a la imagen.</w:t>
      </w:r>
    </w:p>
    <w:p>
      <w:pPr>
        <w:pStyle w:val="Heading2"/>
        <w:rPr>
          <w:lang w:val="es-CO"/>
        </w:rPr>
      </w:pPr>
      <w:bookmarkStart w:id="80" w:name="__RefHeading___Toc7083_3389959019"/>
      <w:bookmarkStart w:id="81" w:name="_Toc231224347"/>
      <w:bookmarkEnd w:id="80"/>
      <w:r>
        <w:rPr>
          <w:lang w:val="es-CO"/>
        </w:rPr>
        <w:t>Validaciones posteriores al despliegue</w:t>
      </w:r>
      <w:bookmarkEnd w:id="81"/>
    </w:p>
    <w:p>
      <w:pPr>
        <w:pStyle w:val="Normal"/>
        <w:spacing w:before="0" w:after="60"/>
        <w:rPr>
          <w:lang w:val="es-CO"/>
        </w:rPr>
      </w:pPr>
      <w:r>
        <w:rPr>
          <w:color w:val="1F2937"/>
          <w:sz w:val="18"/>
          <w:lang w:val="es-CO"/>
        </w:rPr>
        <w:t>Validar:</w:t>
      </w:r>
    </w:p>
    <w:tbl>
      <w:tblPr>
        <w:tblW w:w="9632" w:type="dxa"/>
        <w:jc w:val="center"/>
        <w:tblInd w:w="0" w:type="dxa"/>
        <w:tblLayout w:type="fixed"/>
        <w:tblCellMar>
          <w:top w:w="80" w:type="dxa"/>
          <w:left w:w="100" w:type="dxa"/>
          <w:bottom w:w="80" w:type="dxa"/>
          <w:right w:w="100" w:type="dxa"/>
        </w:tblCellMar>
        <w:tblLook w:val="04a0" w:noHBand="0" w:noVBand="1" w:firstColumn="1" w:lastRow="0" w:lastColumn="0" w:firstRow="1"/>
      </w:tblPr>
      <w:tblGrid>
        <w:gridCol w:w="9632"/>
      </w:tblGrid>
      <w:tr>
        <w:trPr/>
        <w:tc>
          <w:tcPr>
            <w:tcW w:w="9632" w:type="dxa"/>
            <w:tcBorders>
              <w:top w:val="single" w:sz="4" w:space="0" w:color="D0D5DD"/>
              <w:left w:val="single" w:sz="4" w:space="0" w:color="D0D5DD"/>
              <w:bottom w:val="single" w:sz="4" w:space="0" w:color="D0D5DD"/>
              <w:right w:val="single" w:sz="4" w:space="0" w:color="D0D5DD"/>
            </w:tcBorders>
            <w:shd w:color="auto" w:fill="F8FAFC" w:val="clear"/>
          </w:tcPr>
          <w:p>
            <w:pPr>
              <w:pStyle w:val="CodeBlock"/>
              <w:spacing w:before="20" w:after="0"/>
              <w:rPr/>
            </w:pPr>
            <w:r>
              <w:rPr>
                <w:color w:val="111827"/>
                <w:sz w:val="13"/>
              </w:rPr>
              <w:t>curl http://localhost:7860/api/health</w:t>
            </w:r>
          </w:p>
          <w:p>
            <w:pPr>
              <w:pStyle w:val="CodeBlock"/>
              <w:spacing w:before="20" w:after="0"/>
              <w:rPr/>
            </w:pPr>
            <w:r>
              <w:rPr>
                <w:color w:val="111827"/>
                <w:sz w:val="13"/>
              </w:rPr>
              <w:t>curl http://localhost:7860/api/health/db</w:t>
            </w:r>
          </w:p>
        </w:tc>
      </w:tr>
    </w:tbl>
    <w:p>
      <w:pPr>
        <w:pStyle w:val="Normal"/>
        <w:rPr/>
      </w:pPr>
      <w:r>
        <w:rPr/>
      </w:r>
    </w:p>
    <w:p>
      <w:pPr>
        <w:pStyle w:val="Normal"/>
        <w:spacing w:before="0" w:after="60"/>
        <w:rPr/>
      </w:pPr>
      <w:r>
        <w:rPr>
          <w:color w:val="1F2937"/>
          <w:sz w:val="18"/>
        </w:rPr>
        <w:t>También se debe validar:</w:t>
      </w:r>
    </w:p>
    <w:p>
      <w:pPr>
        <w:pStyle w:val="ListBullet"/>
        <w:numPr>
          <w:ilvl w:val="0"/>
          <w:numId w:val="1"/>
        </w:numPr>
        <w:spacing w:before="0" w:after="60"/>
        <w:contextualSpacing/>
        <w:rPr/>
      </w:pPr>
      <w:r>
        <w:rPr>
          <w:color w:val="1F2937"/>
        </w:rPr>
        <w:t>Login.</w:t>
      </w:r>
    </w:p>
    <w:p>
      <w:pPr>
        <w:pStyle w:val="ListBullet"/>
        <w:numPr>
          <w:ilvl w:val="0"/>
          <w:numId w:val="1"/>
        </w:numPr>
        <w:spacing w:before="0" w:after="60"/>
        <w:contextualSpacing/>
        <w:rPr/>
      </w:pPr>
      <w:r>
        <w:rPr>
          <w:color w:val="1F2937"/>
        </w:rPr>
        <w:t>Consulta de registros.</w:t>
      </w:r>
    </w:p>
    <w:p>
      <w:pPr>
        <w:pStyle w:val="ListBullet"/>
        <w:numPr>
          <w:ilvl w:val="0"/>
          <w:numId w:val="1"/>
        </w:numPr>
        <w:spacing w:before="0" w:after="60"/>
        <w:contextualSpacing/>
        <w:rPr/>
      </w:pPr>
      <w:r>
        <w:rPr>
          <w:color w:val="1F2937"/>
        </w:rPr>
        <w:t>Filtros.</w:t>
      </w:r>
    </w:p>
    <w:p>
      <w:pPr>
        <w:pStyle w:val="ListBullet"/>
        <w:numPr>
          <w:ilvl w:val="0"/>
          <w:numId w:val="1"/>
        </w:numPr>
        <w:spacing w:before="0" w:after="60"/>
        <w:contextualSpacing/>
        <w:rPr/>
      </w:pPr>
      <w:r>
        <w:rPr>
          <w:color w:val="1F2937"/>
        </w:rPr>
        <w:t>Formulario de atención.</w:t>
      </w:r>
    </w:p>
    <w:p>
      <w:pPr>
        <w:pStyle w:val="ListBullet"/>
        <w:numPr>
          <w:ilvl w:val="0"/>
          <w:numId w:val="1"/>
        </w:numPr>
        <w:spacing w:before="0" w:after="60"/>
        <w:contextualSpacing/>
        <w:rPr/>
      </w:pPr>
      <w:r>
        <w:rPr>
          <w:color w:val="1F2937"/>
        </w:rPr>
        <w:t>Descarga de formatos.</w:t>
      </w:r>
    </w:p>
    <w:p>
      <w:pPr>
        <w:pStyle w:val="ListBullet"/>
        <w:numPr>
          <w:ilvl w:val="0"/>
          <w:numId w:val="1"/>
        </w:numPr>
        <w:spacing w:before="0" w:after="60"/>
        <w:contextualSpacing/>
        <w:rPr/>
      </w:pPr>
      <w:r>
        <w:rPr>
          <w:color w:val="1F2937"/>
        </w:rPr>
        <w:t>Logs sin errores críticos.</w:t>
      </w:r>
    </w:p>
    <w:p>
      <w:pPr>
        <w:pStyle w:val="Heading2"/>
        <w:rPr/>
      </w:pPr>
      <w:bookmarkStart w:id="82" w:name="__RefHeading___Toc7085_3389959019"/>
      <w:bookmarkStart w:id="83" w:name="_Toc231224348"/>
      <w:bookmarkEnd w:id="82"/>
      <w:r>
        <w:rPr/>
        <w:t>Pruebas disponibles</w:t>
      </w:r>
      <w:bookmarkEnd w:id="83"/>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890"/>
        <w:gridCol w:w="6690"/>
      </w:tblGrid>
      <w:tr>
        <w:trPr>
          <w:tblHeader w:val="true"/>
        </w:trPr>
        <w:tc>
          <w:tcPr>
            <w:tcW w:w="28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Alcance</w:t>
            </w:r>
          </w:p>
        </w:tc>
        <w:tc>
          <w:tcPr>
            <w:tcW w:w="66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Comando</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QA general</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run qa:smoke</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backend test</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Oracle smoke</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backend run smoke:oracle</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 lectura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backend run test:api</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API escritura controlada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backend run test:api:write</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 lint</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frontend run lint</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 tests</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frontend run test</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PWA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frontend run test -- pwaConfig.test.ts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Reglas de estado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frontend run test -- estadoActuaciones.rules.test.ts evaluateAuroraRules.test.ts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Frontend build</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npm --prefix frontend run build</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Python cargas</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python -m py_compile scripts/cargas_bd/*.py</w:t>
            </w:r>
          </w:p>
        </w:tc>
      </w:tr>
    </w:tbl>
    <w:p>
      <w:pPr>
        <w:pStyle w:val="Normal"/>
        <w:rPr/>
      </w:pPr>
      <w:r>
        <w:rPr/>
      </w:r>
    </w:p>
    <w:p>
      <w:pPr>
        <w:pStyle w:val="Normal"/>
        <w:spacing w:before="0" w:after="60"/>
        <w:rPr>
          <w:lang w:val="es-CO"/>
        </w:rPr>
      </w:pPr>
      <w:r>
        <w:rPr>
          <w:color w:val="1F2937"/>
          <w:sz w:val="18"/>
          <w:lang w:val="es-CO"/>
        </w:rPr>
        <w:t xml:space="preserve">Las pruebas de escritura deben ejecutarse únicamente contra un esquema temporal distinto a </w:t>
      </w:r>
      <w:r>
        <w:rPr>
          <w:rFonts w:eastAsia="Consolas" w:ascii="Consolas" w:hAnsi="Consolas"/>
          <w:color w:val="111827"/>
          <w:sz w:val="16"/>
          <w:lang w:val="es-CO"/>
        </w:rPr>
        <w:t>DNDP</w:t>
      </w:r>
      <w:r>
        <w:rPr>
          <w:color w:val="1F2937"/>
          <w:sz w:val="18"/>
          <w:lang w:val="es-CO"/>
        </w:rPr>
        <w:t>.</w:t>
      </w:r>
    </w:p>
    <w:p>
      <w:pPr>
        <w:pStyle w:val="Heading2"/>
        <w:rPr/>
      </w:pPr>
      <w:bookmarkStart w:id="84" w:name="__RefHeading___Toc7087_3389959019"/>
      <w:bookmarkStart w:id="85" w:name="_Toc231224349"/>
      <w:bookmarkEnd w:id="84"/>
      <w:r>
        <w:rPr/>
        <w:t>Logs y solución de problemas</w:t>
      </w:r>
      <w:bookmarkEnd w:id="85"/>
    </w:p>
    <w:tbl>
      <w:tblPr>
        <w:tblW w:w="9581" w:type="dxa"/>
        <w:jc w:val="center"/>
        <w:tblInd w:w="0" w:type="dxa"/>
        <w:tblLayout w:type="fixed"/>
        <w:tblCellMar>
          <w:top w:w="55" w:type="dxa"/>
          <w:left w:w="55" w:type="dxa"/>
          <w:bottom w:w="55" w:type="dxa"/>
          <w:right w:w="55" w:type="dxa"/>
        </w:tblCellMar>
        <w:tblLook w:val="04a0" w:noHBand="0" w:noVBand="1" w:firstColumn="1" w:lastRow="0" w:lastColumn="0" w:firstRow="1"/>
      </w:tblPr>
      <w:tblGrid>
        <w:gridCol w:w="2890"/>
        <w:gridCol w:w="6690"/>
      </w:tblGrid>
      <w:tr>
        <w:trPr>
          <w:tblHeader w:val="true"/>
        </w:trPr>
        <w:tc>
          <w:tcPr>
            <w:tcW w:w="28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Situación</w:t>
            </w:r>
          </w:p>
        </w:tc>
        <w:tc>
          <w:tcPr>
            <w:tcW w:w="6690" w:type="dxa"/>
            <w:tcBorders>
              <w:top w:val="single" w:sz="4" w:space="0" w:color="98A2B3"/>
              <w:left w:val="single" w:sz="4" w:space="0" w:color="98A2B3"/>
              <w:bottom w:val="single" w:sz="4" w:space="0" w:color="98A2B3"/>
              <w:right w:val="single" w:sz="4" w:space="0" w:color="98A2B3"/>
            </w:tcBorders>
            <w:shd w:color="auto" w:fill="DCEAF7" w:val="clear"/>
          </w:tcPr>
          <w:p>
            <w:pPr>
              <w:pStyle w:val="Normal"/>
              <w:spacing w:before="0" w:after="0"/>
              <w:rPr/>
            </w:pPr>
            <w:r>
              <w:rPr>
                <w:b/>
                <w:color w:val="0B2D52"/>
                <w:sz w:val="14"/>
              </w:rPr>
              <w:t>Acción sugerida</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Backend no inicia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Revisar PORT, variables obligatorias y logs.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Oracle no responde</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Revisar red, service name y credenciales.</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Carga mensual falla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Revisar log en Cargas mensuales, variables ORACLE_*, dependencias Python y formato del Excel.</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Login local falla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Revisar estado de AUTH_LOCAL_ADMIN_ENABLED.</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Azure AD falla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Revisar AZURE_AD_TENANT_ID, AZURE_AD_CLIENT_ID, dominios, grupos, roles, Redirect URI y /api/auth/config.</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Frontend muestra errores de API</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Revisar VITE_API_BASE_URL, CORS y backend.</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Cambio de .env no aplica</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Recrear contenedor con docker compose up -d --force-recreate aurora.</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Puerto 7860 ocupado</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Revisar ss -ltnp | grep ':7860'; liberar puerto o usar HOST_PORT temporal.</w:t>
            </w:r>
          </w:p>
        </w:tc>
      </w:tr>
      <w:tr>
        <w:trPr/>
        <w:tc>
          <w:tcPr>
            <w:tcW w:w="28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pPr>
            <w:r>
              <w:rPr>
                <w:color w:val="1F2937"/>
                <w:sz w:val="14"/>
              </w:rPr>
              <w:t>Navegador local no abre 127.0.0.1</w:t>
            </w:r>
          </w:p>
        </w:tc>
        <w:tc>
          <w:tcPr>
            <w:tcW w:w="6690" w:type="dxa"/>
            <w:tcBorders>
              <w:top w:val="single" w:sz="4" w:space="0" w:color="98A2B3"/>
              <w:left w:val="single" w:sz="4" w:space="0" w:color="98A2B3"/>
              <w:bottom w:val="single" w:sz="4" w:space="0" w:color="98A2B3"/>
              <w:right w:val="single" w:sz="4" w:space="0" w:color="98A2B3"/>
            </w:tcBorders>
            <w:shd w:color="auto" w:fill="FFFFFF" w:val="clear"/>
          </w:tcPr>
          <w:p>
            <w:pPr>
              <w:pStyle w:val="Normal"/>
              <w:spacing w:before="0" w:after="0"/>
              <w:rPr>
                <w:lang w:val="es-CO"/>
              </w:rPr>
            </w:pPr>
            <w:r>
              <w:rPr>
                <w:color w:val="1F2937"/>
                <w:sz w:val="14"/>
                <w:lang w:val="es-CO"/>
              </w:rPr>
              <w:t>Usar IP/DNS del servidor o túnel SSH/VS Code Ports.</w:t>
            </w:r>
          </w:p>
        </w:tc>
      </w:tr>
    </w:tbl>
    <w:p>
      <w:pPr>
        <w:pStyle w:val="Normal"/>
        <w:rPr>
          <w:lang w:val="es-CO"/>
        </w:rPr>
      </w:pPr>
      <w:r>
        <w:rPr>
          <w:lang w:val="es-CO"/>
        </w:rPr>
      </w:r>
    </w:p>
    <w:p>
      <w:pPr>
        <w:pStyle w:val="Heading2"/>
        <w:rPr/>
      </w:pPr>
      <w:bookmarkStart w:id="86" w:name="__RefHeading___Toc7089_3389959019"/>
      <w:bookmarkStart w:id="87" w:name="_Toc231224350"/>
      <w:bookmarkEnd w:id="86"/>
      <w:r>
        <w:rPr/>
        <w:t>Mantenimiento básico</w:t>
      </w:r>
      <w:bookmarkEnd w:id="87"/>
    </w:p>
    <w:p>
      <w:pPr>
        <w:pStyle w:val="ListBullet"/>
        <w:numPr>
          <w:ilvl w:val="0"/>
          <w:numId w:val="1"/>
        </w:numPr>
        <w:spacing w:before="0" w:after="60"/>
        <w:contextualSpacing/>
        <w:rPr>
          <w:lang w:val="es-CO"/>
        </w:rPr>
      </w:pPr>
      <w:r>
        <w:rPr>
          <w:color w:val="1F2937"/>
          <w:lang w:val="es-CO"/>
        </w:rPr>
        <w:t>Mantener dependencias actualizadas con validación previa.</w:t>
      </w:r>
    </w:p>
    <w:p>
      <w:pPr>
        <w:pStyle w:val="ListBullet"/>
        <w:numPr>
          <w:ilvl w:val="0"/>
          <w:numId w:val="1"/>
        </w:numPr>
        <w:spacing w:before="0" w:after="60"/>
        <w:contextualSpacing/>
        <w:rPr>
          <w:lang w:val="es-CO"/>
        </w:rPr>
      </w:pPr>
      <w:r>
        <w:rPr>
          <w:color w:val="1F2937"/>
          <w:lang w:val="es-CO"/>
        </w:rPr>
        <w:t>Ejecutar pruebas antes de desplegar.</w:t>
      </w:r>
    </w:p>
    <w:p>
      <w:pPr>
        <w:pStyle w:val="ListBullet"/>
        <w:numPr>
          <w:ilvl w:val="0"/>
          <w:numId w:val="1"/>
        </w:numPr>
        <w:spacing w:before="0" w:after="60"/>
        <w:contextualSpacing/>
        <w:rPr>
          <w:lang w:val="es-CO"/>
        </w:rPr>
      </w:pPr>
      <w:r>
        <w:rPr>
          <w:color w:val="1F2937"/>
          <w:lang w:val="es-CO"/>
        </w:rPr>
        <w:t>Actualizar documentación cuando cambien rutas o variables.</w:t>
      </w:r>
    </w:p>
    <w:p>
      <w:pPr>
        <w:pStyle w:val="ListBullet"/>
        <w:numPr>
          <w:ilvl w:val="0"/>
          <w:numId w:val="1"/>
        </w:numPr>
        <w:spacing w:before="0" w:after="60"/>
        <w:contextualSpacing/>
        <w:rPr>
          <w:lang w:val="es-CO"/>
        </w:rPr>
      </w:pPr>
      <w:r>
        <w:rPr>
          <w:color w:val="1F2937"/>
          <w:lang w:val="es-CO"/>
        </w:rPr>
        <w:t>Revisar periódicamente datos sensibles versionados.</w:t>
      </w:r>
    </w:p>
    <w:p>
      <w:pPr>
        <w:pStyle w:val="ListBullet"/>
        <w:numPr>
          <w:ilvl w:val="0"/>
          <w:numId w:val="1"/>
        </w:numPr>
        <w:spacing w:before="0" w:after="60"/>
        <w:contextualSpacing/>
        <w:rPr>
          <w:lang w:val="es-CO"/>
        </w:rPr>
      </w:pPr>
      <w:r>
        <w:rPr>
          <w:color w:val="1F2937"/>
          <w:lang w:val="es-CO"/>
        </w:rPr>
        <w:t>Mantener respaldos de base de datos gestionados por DBA.</w:t>
      </w:r>
    </w:p>
    <w:p>
      <w:pPr>
        <w:pStyle w:val="Heading2"/>
        <w:rPr/>
      </w:pPr>
      <w:bookmarkStart w:id="88" w:name="__RefHeading___Toc7091_3389959019"/>
      <w:bookmarkStart w:id="89" w:name="_Toc231224351"/>
      <w:bookmarkEnd w:id="88"/>
      <w:r>
        <w:rPr/>
        <w:t>Recomendaciones técnicas</w:t>
      </w:r>
      <w:bookmarkEnd w:id="89"/>
    </w:p>
    <w:p>
      <w:pPr>
        <w:pStyle w:val="ListBullet"/>
        <w:numPr>
          <w:ilvl w:val="0"/>
          <w:numId w:val="1"/>
        </w:numPr>
        <w:spacing w:before="0" w:after="60"/>
        <w:contextualSpacing/>
        <w:rPr>
          <w:lang w:val="es-CO"/>
        </w:rPr>
      </w:pPr>
      <w:r>
        <w:rPr>
          <w:color w:val="1F2937"/>
          <w:lang w:val="es-CO"/>
        </w:rPr>
        <w:t>Usar Docker para despliegues repetibles.</w:t>
      </w:r>
    </w:p>
    <w:p>
      <w:pPr>
        <w:pStyle w:val="ListBullet"/>
        <w:numPr>
          <w:ilvl w:val="0"/>
          <w:numId w:val="1"/>
        </w:numPr>
        <w:spacing w:before="0" w:after="60"/>
        <w:contextualSpacing/>
        <w:rPr>
          <w:lang w:val="es-CO"/>
        </w:rPr>
      </w:pPr>
      <w:r>
        <w:rPr>
          <w:color w:val="1F2937"/>
          <w:lang w:val="es-CO"/>
        </w:rPr>
        <w:t>Evitar escrituras de prueba sobre producción.</w:t>
      </w:r>
    </w:p>
    <w:p>
      <w:pPr>
        <w:pStyle w:val="ListBullet"/>
        <w:numPr>
          <w:ilvl w:val="0"/>
          <w:numId w:val="1"/>
        </w:numPr>
        <w:spacing w:before="0" w:after="60"/>
        <w:contextualSpacing/>
        <w:rPr>
          <w:lang w:val="es-CO"/>
        </w:rPr>
      </w:pPr>
      <w:r>
        <w:rPr>
          <w:color w:val="1F2937"/>
          <w:lang w:val="es-CO"/>
        </w:rPr>
        <w:t>Configurar Azure AD para acceso institucional.</w:t>
      </w:r>
    </w:p>
    <w:p>
      <w:pPr>
        <w:pStyle w:val="ListBullet"/>
        <w:numPr>
          <w:ilvl w:val="0"/>
          <w:numId w:val="1"/>
        </w:numPr>
        <w:spacing w:before="0" w:after="60"/>
        <w:contextualSpacing/>
        <w:rPr>
          <w:lang w:val="es-CO"/>
        </w:rPr>
      </w:pPr>
      <w:r>
        <w:rPr>
          <w:color w:val="1F2937"/>
          <w:lang w:val="es-CO"/>
        </w:rPr>
        <w:t>Registrar evidencias de cada despliegue.</w:t>
      </w:r>
    </w:p>
    <w:p>
      <w:pPr>
        <w:pStyle w:val="ListBullet"/>
        <w:numPr>
          <w:ilvl w:val="0"/>
          <w:numId w:val="1"/>
        </w:numPr>
        <w:spacing w:before="0" w:after="60"/>
        <w:contextualSpacing/>
        <w:rPr>
          <w:lang w:val="es-CO"/>
        </w:rPr>
      </w:pPr>
      <w:r>
        <w:rPr>
          <w:color w:val="1F2937"/>
          <w:lang w:val="es-CO"/>
        </w:rPr>
        <w:t>Mantener una bitácora de validación por despliegue con fecha, ambiente, responsable, pruebas ejecutadas y resultado.</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widowControl/>
        <w:bidi w:val="0"/>
        <w:spacing w:lineRule="auto" w:line="252" w:before="0" w:after="80"/>
        <w:jc w:val="left"/>
        <w:rPr/>
      </w:pPr>
      <w:r>
        <w:rPr/>
      </w:r>
    </w:p>
    <w:sectPr>
      <w:headerReference w:type="even" r:id="rId5"/>
      <w:headerReference w:type="default" r:id="rId6"/>
      <w:headerReference w:type="first" r:id="rId7"/>
      <w:footerReference w:type="even" r:id="rId8"/>
      <w:footerReference w:type="default" r:id="rId9"/>
      <w:footerReference w:type="first" r:id="rId10"/>
      <w:type w:val="nextPage"/>
      <w:pgSz w:w="12240" w:h="15840"/>
      <w:pgMar w:left="1361" w:right="1247" w:gutter="0" w:header="85" w:top="1757" w:footer="85" w:bottom="141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 w:name="Consolas">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drawing>
        <wp:inline distT="0" distB="0" distL="0" distR="0">
          <wp:extent cx="6480175" cy="1166495"/>
          <wp:effectExtent l="0" t="0" r="0" b="0"/>
          <wp:docPr id="5"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pic:cNvPicPr>
                    <a:picLocks noChangeAspect="1" noChangeArrowheads="1"/>
                  </pic:cNvPicPr>
                </pic:nvPicPr>
                <pic:blipFill>
                  <a:blip r:embed="rId1"/>
                  <a:stretch>
                    <a:fillRect/>
                  </a:stretch>
                </pic:blipFill>
                <pic:spPr bwMode="auto">
                  <a:xfrm>
                    <a:off x="0" y="0"/>
                    <a:ext cx="6480175" cy="1166495"/>
                  </a:xfrm>
                  <a:prstGeom prst="rect">
                    <a:avLst/>
                  </a:prstGeom>
                  <a:noFill/>
                </pic:spPr>
              </pic:pic>
            </a:graphicData>
          </a:graphic>
        </wp:inline>
      </w:drawing>
    </w:r>
  </w:p>
  <w:p>
    <w:pPr>
      <w:pStyle w:val="Normal"/>
      <w:spacing w:before="0" w:after="80"/>
      <w:jc w:val="right"/>
      <w:rPr/>
    </w:pPr>
    <w:r>
      <w:rPr>
        <w:color w:val="0B2D52"/>
        <w:sz w:val="16"/>
      </w:rPr>
      <w:t xml:space="preserve">Página </w:t>
    </w:r>
    <w:r>
      <w:rPr>
        <w:color w:val="0B2D52"/>
        <w:sz w:val="16"/>
      </w:rPr>
      <w:fldChar w:fldCharType="begin"/>
    </w:r>
    <w:r>
      <w:rPr>
        <w:sz w:val="16"/>
        <w:color w:val="0B2D52"/>
      </w:rPr>
      <w:instrText xml:space="preserve"> PAGE </w:instrText>
    </w:r>
    <w:r>
      <w:rPr>
        <w:sz w:val="16"/>
        <w:color w:val="0B2D52"/>
      </w:rPr>
      <w:fldChar w:fldCharType="separate"/>
    </w:r>
    <w:r>
      <w:rPr>
        <w:sz w:val="16"/>
        <w:color w:val="0B2D52"/>
      </w:rPr>
      <w:t>20</w:t>
    </w:r>
    <w:r>
      <w:rPr>
        <w:sz w:val="16"/>
        <w:color w:val="0B2D5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drawing>
        <wp:inline distT="0" distB="0" distL="0" distR="0">
          <wp:extent cx="6480175" cy="127444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1"/>
                  <a:stretch>
                    <a:fillRect/>
                  </a:stretch>
                </pic:blipFill>
                <pic:spPr bwMode="auto">
                  <a:xfrm>
                    <a:off x="0" y="0"/>
                    <a:ext cx="6480175" cy="1274445"/>
                  </a:xfrm>
                  <a:prstGeom prst="rect">
                    <a:avLst/>
                  </a:prstGeom>
                  <a:noFill/>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52" w:before="0" w:after="80"/>
      <w:jc w:val="left"/>
    </w:pPr>
    <w:rPr>
      <w:rFonts w:ascii="Arial" w:hAnsi="Arial" w:eastAsia="Arial" w:cs="" w:cstheme="minorBidi"/>
      <w:color w:val="auto"/>
      <w:kern w:val="0"/>
      <w:sz w:val="19"/>
      <w:szCs w:val="22"/>
      <w:lang w:val="en-US" w:eastAsia="en-US" w:bidi="ar-SA"/>
    </w:rPr>
  </w:style>
  <w:style w:type="paragraph" w:styleId="Heading1">
    <w:name w:val="heading 1"/>
    <w:basedOn w:val="Normal"/>
    <w:next w:val="Normal"/>
    <w:link w:val="Ttulo1Car"/>
    <w:uiPriority w:val="9"/>
    <w:qFormat/>
    <w:rsid w:val="00fc693f"/>
    <w:pPr>
      <w:keepNext w:val="true"/>
      <w:keepLines/>
      <w:spacing w:before="200" w:after="60"/>
      <w:outlineLvl w:val="0"/>
    </w:pPr>
    <w:rPr>
      <w:rFonts w:ascii="Calibri" w:hAnsi="Calibri" w:eastAsia="ＭＳ ゴシック" w:cs="" w:asciiTheme="majorHAnsi" w:cstheme="majorBidi" w:eastAsiaTheme="majorEastAsia" w:hAnsiTheme="majorHAnsi"/>
      <w:b/>
      <w:bCs/>
      <w:color w:val="0B2D52"/>
      <w:sz w:val="30"/>
      <w:szCs w:val="28"/>
    </w:rPr>
  </w:style>
  <w:style w:type="paragraph" w:styleId="Heading2">
    <w:name w:val="heading 2"/>
    <w:basedOn w:val="Normal"/>
    <w:next w:val="Normal"/>
    <w:link w:val="Ttulo2Car"/>
    <w:uiPriority w:val="9"/>
    <w:unhideWhenUsed/>
    <w:qFormat/>
    <w:rsid w:val="00fc693f"/>
    <w:pPr>
      <w:keepNext w:val="true"/>
      <w:keepLines/>
      <w:spacing w:before="120" w:after="60"/>
      <w:outlineLvl w:val="1"/>
    </w:pPr>
    <w:rPr>
      <w:rFonts w:ascii="Calibri" w:hAnsi="Calibri" w:eastAsia="ＭＳ ゴシック" w:cs="" w:asciiTheme="majorHAnsi" w:cstheme="majorBidi" w:eastAsiaTheme="majorEastAsia" w:hAnsiTheme="majorHAnsi"/>
      <w:b/>
      <w:bCs/>
      <w:color w:val="0B2D52"/>
      <w:sz w:val="24"/>
      <w:szCs w:val="26"/>
    </w:rPr>
  </w:style>
  <w:style w:type="paragraph" w:styleId="Heading3">
    <w:name w:val="heading 3"/>
    <w:basedOn w:val="Normal"/>
    <w:next w:val="Normal"/>
    <w:link w:val="Ttulo3Car"/>
    <w:uiPriority w:val="9"/>
    <w:unhideWhenUsed/>
    <w:qFormat/>
    <w:rsid w:val="00fc693f"/>
    <w:pPr>
      <w:keepNext w:val="true"/>
      <w:keepLines/>
      <w:spacing w:before="120" w:after="60"/>
      <w:outlineLvl w:val="2"/>
    </w:pPr>
    <w:rPr>
      <w:rFonts w:ascii="Calibri" w:hAnsi="Calibri" w:eastAsia="ＭＳ ゴシック" w:cs="" w:asciiTheme="majorHAnsi" w:cstheme="majorBidi" w:eastAsiaTheme="majorEastAsia" w:hAnsiTheme="majorHAnsi"/>
      <w:b/>
      <w:bCs/>
      <w:color w:val="0B2D52"/>
      <w:sz w:val="21"/>
    </w:rPr>
  </w:style>
  <w:style w:type="paragraph" w:styleId="Heading4">
    <w:name w:val="heading 4"/>
    <w:basedOn w:val="Normal"/>
    <w:next w:val="Normal"/>
    <w:link w:val="Ttulo4Car"/>
    <w:uiPriority w:val="9"/>
    <w:semiHidden/>
    <w:unhideWhenUsed/>
    <w:qFormat/>
    <w:rsid w:val="00fc693f"/>
    <w:pPr>
      <w:keepNext w:val="true"/>
      <w:keepLines/>
      <w:spacing w:before="120" w:after="60"/>
      <w:outlineLvl w:val="3"/>
    </w:pPr>
    <w:rPr>
      <w:rFonts w:ascii="Calibri" w:hAnsi="Calibri" w:eastAsia="ＭＳ ゴシック" w:cs="" w:asciiTheme="majorHAnsi" w:cstheme="majorBidi" w:eastAsiaTheme="majorEastAsia" w:hAnsiTheme="majorHAnsi"/>
      <w:b/>
      <w:bCs/>
      <w:i/>
      <w:iCs/>
      <w:color w:val="0B2D52"/>
    </w:rPr>
  </w:style>
  <w:style w:type="paragraph" w:styleId="Heading5">
    <w:name w:val="heading 5"/>
    <w:basedOn w:val="Normal"/>
    <w:next w:val="Normal"/>
    <w:link w:val="Ttulo5C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Ttulo6C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Ttulo7C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Ttulo8C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Ttulo9C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link w:val="Header"/>
    <w:uiPriority w:val="99"/>
    <w:qFormat/>
    <w:rsid w:val="00e618bf"/>
    <w:rPr/>
  </w:style>
  <w:style w:type="character" w:styleId="PiedepginaCar" w:customStyle="1">
    <w:name w:val="Pie de página Car"/>
    <w:basedOn w:val="DefaultParagraphFont"/>
    <w:link w:val="Footer"/>
    <w:uiPriority w:val="99"/>
    <w:qFormat/>
    <w:rsid w:val="00e618bf"/>
    <w:rPr/>
  </w:style>
  <w:style w:type="character" w:styleId="Ttulo1Car" w:customStyle="1">
    <w:name w:val="Título 1 C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Ttulo2Car" w:customStyle="1">
    <w:name w:val="Título 2 C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Ttulo3Car" w:customStyle="1">
    <w:name w:val="Título 3 C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tuloCar" w:customStyle="1">
    <w:name w:val="Título C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tuloCar" w:customStyle="1">
    <w:name w:val="Subtítulo C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TextoindependienteCar" w:customStyle="1">
    <w:name w:val="Texto independiente Car"/>
    <w:basedOn w:val="DefaultParagraphFont"/>
    <w:uiPriority w:val="99"/>
    <w:qFormat/>
    <w:rsid w:val="00aa1d8d"/>
    <w:rPr/>
  </w:style>
  <w:style w:type="character" w:styleId="Textoindependiente2Car" w:customStyle="1">
    <w:name w:val="Texto independiente 2 Car"/>
    <w:basedOn w:val="DefaultParagraphFont"/>
    <w:link w:val="BodyText2"/>
    <w:uiPriority w:val="99"/>
    <w:qFormat/>
    <w:rsid w:val="00aa1d8d"/>
    <w:rPr/>
  </w:style>
  <w:style w:type="character" w:styleId="Textoindependiente3Car" w:customStyle="1">
    <w:name w:val="Texto independiente 3 Car"/>
    <w:basedOn w:val="DefaultParagraphFont"/>
    <w:link w:val="BodyText3"/>
    <w:uiPriority w:val="99"/>
    <w:qFormat/>
    <w:rsid w:val="00aa1d8d"/>
    <w:rPr>
      <w:sz w:val="16"/>
      <w:szCs w:val="16"/>
    </w:rPr>
  </w:style>
  <w:style w:type="character" w:styleId="TextomacroCar" w:customStyle="1">
    <w:name w:val="Texto macro Car"/>
    <w:basedOn w:val="DefaultParagraphFont"/>
    <w:link w:val="MacroText"/>
    <w:uiPriority w:val="99"/>
    <w:qFormat/>
    <w:rsid w:val="0029639d"/>
    <w:rPr>
      <w:rFonts w:ascii="Courier" w:hAnsi="Courier"/>
      <w:sz w:val="20"/>
      <w:szCs w:val="20"/>
    </w:rPr>
  </w:style>
  <w:style w:type="character" w:styleId="CitaCar" w:customStyle="1">
    <w:name w:val="Cita Car"/>
    <w:basedOn w:val="DefaultParagraphFont"/>
    <w:link w:val="Quote"/>
    <w:uiPriority w:val="29"/>
    <w:qFormat/>
    <w:rsid w:val="00fc693f"/>
    <w:rPr>
      <w:i/>
      <w:iCs/>
      <w:color w:themeColor="text1" w:val="000000"/>
    </w:rPr>
  </w:style>
  <w:style w:type="character" w:styleId="Ttulo4Car" w:customStyle="1">
    <w:name w:val="Título 4 C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Ttulo5Car" w:customStyle="1">
    <w:name w:val="Título 5 C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Ttulo6Car" w:customStyle="1">
    <w:name w:val="Título 6 C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Ttulo7Car" w:customStyle="1">
    <w:name w:val="Título 7 C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Ttulo8Car" w:customStyle="1">
    <w:name w:val="Título 8 C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Ttulo9Car" w:customStyle="1">
    <w:name w:val="Título 9 C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CitadestacadaCar" w:customStyle="1">
    <w:name w:val="Cita destacada C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4e2c35"/>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uiPriority w:val="99"/>
    <w:unhideWhenUsed/>
    <w:rsid w:val="00aa1d8d"/>
    <w:pPr>
      <w:spacing w:before="0" w:after="120"/>
    </w:pPr>
    <w:rPr/>
  </w:style>
  <w:style w:type="paragraph" w:styleId="List">
    <w:name w:val="List"/>
    <w:basedOn w:val="Normal"/>
    <w:uiPriority w:val="99"/>
    <w:unhideWhenUsed/>
    <w:rsid w:val="00aa1d8d"/>
    <w:pPr>
      <w:spacing w:before="0" w:after="8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EncabezadoC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PiedepginaC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tuloC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tuloC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80"/>
      <w:ind w:left="720"/>
      <w:contextualSpacing/>
    </w:pPr>
    <w:rPr/>
  </w:style>
  <w:style w:type="paragraph" w:styleId="BodyText2">
    <w:name w:val="Body Text 2"/>
    <w:basedOn w:val="Normal"/>
    <w:link w:val="Textoindependiente2Car"/>
    <w:uiPriority w:val="99"/>
    <w:unhideWhenUsed/>
    <w:qFormat/>
    <w:rsid w:val="00aa1d8d"/>
    <w:pPr>
      <w:spacing w:lineRule="auto" w:line="480" w:before="0" w:after="120"/>
    </w:pPr>
    <w:rPr/>
  </w:style>
  <w:style w:type="paragraph" w:styleId="BodyText3">
    <w:name w:val="Body Text 3"/>
    <w:basedOn w:val="Normal"/>
    <w:link w:val="Textoindependiente3C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80"/>
      <w:ind w:hanging="360" w:left="720"/>
      <w:contextualSpacing/>
    </w:pPr>
    <w:rPr/>
  </w:style>
  <w:style w:type="paragraph" w:styleId="List3">
    <w:name w:val="List 3"/>
    <w:basedOn w:val="Normal"/>
    <w:uiPriority w:val="99"/>
    <w:unhideWhenUsed/>
    <w:qFormat/>
    <w:rsid w:val="00326f90"/>
    <w:pPr>
      <w:spacing w:before="0" w:after="8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sz w:val="18"/>
    </w:rPr>
  </w:style>
  <w:style w:type="paragraph" w:styleId="ListBullet2">
    <w:name w:val="List Bullet 2"/>
    <w:basedOn w:val="Normal"/>
    <w:uiPriority w:val="99"/>
    <w:unhideWhenUsed/>
    <w:rsid w:val="00326f90"/>
    <w:pPr>
      <w:numPr>
        <w:ilvl w:val="0"/>
        <w:numId w:val="2"/>
      </w:numPr>
      <w:spacing w:before="0" w:after="80"/>
      <w:contextualSpacing/>
    </w:pPr>
    <w:rPr/>
  </w:style>
  <w:style w:type="paragraph" w:styleId="ListBullet3">
    <w:name w:val="List Bullet 3"/>
    <w:basedOn w:val="Normal"/>
    <w:uiPriority w:val="99"/>
    <w:unhideWhenUsed/>
    <w:rsid w:val="00326f90"/>
    <w:pPr>
      <w:numPr>
        <w:ilvl w:val="0"/>
        <w:numId w:val="3"/>
      </w:numPr>
      <w:spacing w:before="0" w:after="80"/>
      <w:contextualSpacing/>
    </w:pPr>
    <w:rPr/>
  </w:style>
  <w:style w:type="paragraph" w:styleId="ListNumber">
    <w:name w:val="List Number"/>
    <w:basedOn w:val="Normal"/>
    <w:uiPriority w:val="99"/>
    <w:unhideWhenUsed/>
    <w:rsid w:val="00326f90"/>
    <w:pPr>
      <w:numPr>
        <w:ilvl w:val="0"/>
        <w:numId w:val="4"/>
      </w:numPr>
      <w:spacing w:before="0" w:after="40"/>
      <w:contextualSpacing/>
    </w:pPr>
    <w:rPr>
      <w:sz w:val="18"/>
    </w:rPr>
  </w:style>
  <w:style w:type="paragraph" w:styleId="ListNumber2">
    <w:name w:val="List Number 2"/>
    <w:basedOn w:val="Normal"/>
    <w:uiPriority w:val="99"/>
    <w:unhideWhenUsed/>
    <w:rsid w:val="0029639d"/>
    <w:pPr>
      <w:numPr>
        <w:ilvl w:val="0"/>
        <w:numId w:val="5"/>
      </w:numPr>
      <w:spacing w:before="0" w:after="80"/>
      <w:contextualSpacing/>
    </w:pPr>
    <w:rPr/>
  </w:style>
  <w:style w:type="paragraph" w:styleId="ListNumber3">
    <w:name w:val="List Number 3"/>
    <w:basedOn w:val="Normal"/>
    <w:uiPriority w:val="99"/>
    <w:unhideWhenUsed/>
    <w:rsid w:val="0029639d"/>
    <w:pPr>
      <w:numPr>
        <w:ilvl w:val="0"/>
        <w:numId w:val="6"/>
      </w:numPr>
      <w:spacing w:before="0" w:after="8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TextomacroC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CitaCar"/>
    <w:uiPriority w:val="29"/>
    <w:qFormat/>
    <w:rsid w:val="00fc693f"/>
    <w:pPr/>
    <w:rPr>
      <w:i/>
      <w:iCs/>
      <w:color w:themeColor="text1" w:val="000000"/>
    </w:rPr>
  </w:style>
  <w:style w:type="paragraph" w:styleId="IntenseQuote">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CodeBlock" w:customStyle="1">
    <w:name w:val="CodeBlock"/>
    <w:qFormat/>
    <w:pPr>
      <w:widowControl/>
      <w:bidi w:val="0"/>
      <w:spacing w:lineRule="auto" w:line="240" w:before="20" w:after="20"/>
      <w:ind w:left="113" w:right="113"/>
      <w:jc w:val="left"/>
    </w:pPr>
    <w:rPr>
      <w:rFonts w:ascii="Consolas" w:hAnsi="Consolas" w:eastAsia="Consolas" w:cs="" w:cstheme="minorBidi"/>
      <w:color w:val="auto"/>
      <w:kern w:val="0"/>
      <w:sz w:val="14"/>
      <w:szCs w:val="22"/>
      <w:lang w:val="en-US" w:eastAsia="en-US" w:bidi="ar-SA"/>
    </w:rPr>
  </w:style>
  <w:style w:type="paragraph" w:styleId="TOC1">
    <w:name w:val="toc 1"/>
    <w:basedOn w:val="Normal"/>
    <w:next w:val="Normal"/>
    <w:autoRedefine/>
    <w:uiPriority w:val="39"/>
    <w:unhideWhenUsed/>
    <w:rsid w:val="004e2c35"/>
    <w:pPr>
      <w:spacing w:before="0" w:after="100"/>
    </w:pPr>
    <w:rPr/>
  </w:style>
  <w:style w:type="paragraph" w:styleId="TOC2">
    <w:name w:val="toc 2"/>
    <w:basedOn w:val="Normal"/>
    <w:next w:val="Normal"/>
    <w:autoRedefine/>
    <w:uiPriority w:val="39"/>
    <w:unhideWhenUsed/>
    <w:rsid w:val="004e2c35"/>
    <w:pPr>
      <w:spacing w:before="0" w:after="100"/>
      <w:ind w:left="190"/>
    </w:pPr>
    <w:rPr/>
  </w:style>
  <w:style w:type="paragraph" w:styleId="TOC3">
    <w:name w:val="toc 3"/>
    <w:basedOn w:val="Normal"/>
    <w:next w:val="Normal"/>
    <w:autoRedefine/>
    <w:uiPriority w:val="39"/>
    <w:unhideWhenUsed/>
    <w:rsid w:val="004e2c35"/>
    <w:pPr>
      <w:spacing w:before="0" w:after="100"/>
      <w:ind w:left="380"/>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ombreadoclaro">
    <w:name w:val="Light Shading"/>
    <w:basedOn w:val="Tabla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Listamedia1">
    <w:name w:val="Medium List 1"/>
    <w:basedOn w:val="Tabla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Sombreadovistoso-nfasis1">
    <w:name w:val="Colorful Shading Accent 1"/>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Sombreadovistoso-nfasis2">
    <w:name w:val="Colorful Shading Accent 2"/>
    <w:basedOn w:val="Tabla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Sombreadovistoso-nfasis3">
    <w:name w:val="Colorful Shading Accent 3"/>
    <w:basedOn w:val="Tabla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Sombreadovistoso-nfasis5">
    <w:name w:val="Colorful Shading Accent 5"/>
    <w:basedOn w:val="Tabla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Sombreadovistoso-nfasis6">
    <w:name w:val="Colorful Shading Accent 6"/>
    <w:basedOn w:val="Tabla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Listavistosa">
    <w:name w:val="Colorful List"/>
    <w:basedOn w:val="Tablanormal"/>
    <w:uiPriority w:val="72"/>
    <w:rsid w:val="00cb0664"/>
    <w:pPr>
      <w:spacing w:after="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themeColor="text1"/>
    </w:rPr>
    <w:tblPr>
      <w:tblStyleRowBandSize w:val="1"/>
      <w:tblStyleColBandSize w:val="1"/>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themeColor="text1"/>
    </w:rPr>
    <w:tblPr>
      <w:tblStyleRowBandSize w:val="1"/>
      <w:tblStyleColBandSize w:val="1"/>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themeColor="text1"/>
    </w:rPr>
    <w:tblPr>
      <w:tblStyleRowBandSize w:val="1"/>
      <w:tblStyleColBandSize w:val="1"/>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themeColor="text1"/>
    </w:rPr>
    <w:tblPr>
      <w:tblStyleRowBandSize w:val="1"/>
      <w:tblStyleColBandSize w:val="1"/>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themeColor="text1"/>
    </w:rPr>
    <w:tblPr>
      <w:tblStyleRowBandSize w:val="1"/>
      <w:tblStyleColBandSize w:val="1"/>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themeColor="text1"/>
    </w:rPr>
    <w:tblPr>
      <w:tblStyleRowBandSize w:val="1"/>
      <w:tblStyleColBandSize w:val="1"/>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_rels/footer2.xml.rels><?xml version="1.0" encoding="UTF-8"?>
<Relationships xmlns="http://schemas.openxmlformats.org/package/2006/relationships"><Relationship Id="rId1" Type="http://schemas.openxmlformats.org/officeDocument/2006/relationships/image" Target="media/image5.jpeg"/>
</Relationships>
</file>

<file path=word/_rels/header2.xml.rels><?xml version="1.0" encoding="UTF-8"?>
<Relationships xmlns="http://schemas.openxmlformats.org/package/2006/relationships"><Relationship Id="rId1" Type="http://schemas.openxmlformats.org/officeDocument/2006/relationships/image" Target="media/image4.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LibreOffice/25.2.3.2$Linux_X86_64 LibreOffice_project/520$Build-2</Application>
  <AppVersion>15.0000</AppVersion>
  <Pages>20</Pages>
  <Words>5214</Words>
  <Characters>32592</Characters>
  <CharactersWithSpaces>36827</CharactersWithSpaces>
  <Paragraphs>825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2026-06-03T15:58:47Z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