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This Service Agreement is made on 1 March 2026 between Northwind Analytics AS (the Supplier) and Riverbank Logistics Ltd (the Customer).</w:t>
      </w:r>
    </w:p>
    <w:p>
      <w:pPr>
        <w:pStyle w:val="Heading1"/>
      </w:pPr>
      <w:r>
        <w:t>1. Fees and Payment</w:t>
      </w:r>
    </w:p>
    <w:p>
      <w:r>
        <w:t xml:space="preserve">Invoices are payable within </w:t>
      </w:r>
      <w:r>
        <w:rPr>
          <w:b/>
        </w:rPr>
        <w:t>30 days</w:t>
      </w:r>
      <w:r>
        <w:t xml:space="preserve"> of the invoice date.</w:t>
      </w:r>
    </w:p>
    <w:p>
      <w:r>
        <w:t>The Customer pays the monthly fees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Billing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1,200 EUR</w:t>
            </w:r>
          </w:p>
        </w:tc>
        <w:tc>
          <w:tcPr>
            <w:tcW w:type="dxa" w:w="2880"/>
          </w:tcPr>
          <w:p>
            <w:r>
              <w:t>In advance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300 EUR</w:t>
            </w:r>
          </w:p>
        </w:tc>
        <w:tc>
          <w:tcPr>
            <w:tcW w:type="dxa" w:w="2880"/>
          </w:tcPr>
          <w:p>
            <w:r>
              <w:t>In advance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5760"/>
            <w:gridSpan w:val="2"/>
          </w:tcPr>
          <w:p>
            <w:r>
              <w:t>Included in hosting</w:t>
            </w:r>
          </w:p>
        </w:tc>
      </w:tr>
    </w:tbl>
    <w:p>
      <w:pPr>
        <w:pStyle w:val="Heading2"/>
      </w:pPr>
      <w:r>
        <w:t>1.1 Late Payment</w:t>
      </w:r>
    </w:p>
    <w:p>
      <w:pPr>
        <w:pStyle w:val="ListNumber"/>
      </w:pPr>
      <w:r>
        <w:t>Late payments bear interest of 8% per year.</w:t>
      </w:r>
    </w:p>
    <w:p>
      <w:pPr>
        <w:pStyle w:val="ListNumber"/>
      </w:pPr>
      <w:r>
        <w:t>The Supplier may suspend the services:</w:t>
      </w:r>
    </w:p>
    <w:p>
      <w:pPr>
        <w:pStyle w:val="ListNumber2"/>
      </w:pPr>
      <w:r>
        <w:t>after a written reminder;</w:t>
      </w:r>
    </w:p>
    <w:p>
      <w:pPr>
        <w:pStyle w:val="ListNumber2"/>
      </w:pPr>
      <w:r>
        <w:t>if an invoice is 45 days overdue.</w:t>
      </w:r>
    </w:p>
    <w:p>
      <w:pPr>
        <w:pStyle w:val="Heading1"/>
      </w:pPr>
      <w:r>
        <w:t>2. Service Levels</w:t>
      </w:r>
    </w:p>
    <w:p>
      <w:r>
        <w:t>The Supplier monitors the platform around the clock.</w:t>
      </w:r>
    </w:p>
    <w:p>
      <w:r>
        <w:drawing>
          <wp:inline xmlns:a="http://schemas.openxmlformats.org/drawingml/2006/main" xmlns:pic="http://schemas.openxmlformats.org/drawingml/2006/picture">
            <wp:extent cx="22860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Uptime by quarter</w:t>
      </w:r>
    </w:p>
    <w:p>
      <w:pPr>
        <w:pStyle w:val="ListBullet"/>
      </w:pPr>
      <w:r>
        <w:t>Critical incidents are answered within 2 hours.</w:t>
      </w:r>
    </w:p>
    <w:p>
      <w:pPr>
        <w:pStyle w:val="ListBullet"/>
      </w:pPr>
      <w:r>
        <w:t>Other incidents are answered within 1 business day.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Service Agreement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Analytics AS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