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0편 · [PENDING] 38편</w:t>
      </w:r>
    </w:p>
    <w:p>
      <w:r>
        <w:rPr>
          <w:rFonts w:ascii="Malgun Gothic" w:hAnsi="Malgun Gothic" w:eastAsia="Malgun Gothic"/>
        </w:rPr>
        <w:t>최종 검증 실행일: [reference-validator 실행 후 자동 갱신]</w:t>
      </w:r>
    </w:p>
    <w:p>
      <w:r>
        <w:rPr>
          <w:rFonts w:ascii="Malgun Gothic" w:hAnsi="Malgun Gothic" w:eastAsia="Malgun Gothic"/>
        </w:rPr>
        <w:t>사료 검증: 해당 없음(아미노산 · 조선 사료 최소화 방침 · 전통의학 은유는 배경 사실만)</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실행 전]</w:t>
      </w:r>
    </w:p>
    <w:p>
      <w:r>
        <w:rPr>
          <w:rFonts w:ascii="Malgun Gothic" w:hAnsi="Malgun Gothic" w:eastAsia="Malgun Gothic"/>
        </w:rPr>
        <w:t>저자 검토: [ ] 미완료</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모든 학술 인용에는 </w:t>
      </w:r>
      <w:r>
        <w:rPr>
          <w:rFonts w:ascii="Malgun Gothic" w:hAnsi="Malgun Gothic" w:eastAsia="Malgun Gothic"/>
        </w:rPr>
        <w:t>[PENDING-DOI-VERIFY]</w:t>
      </w:r>
      <w:r>
        <w:rPr>
          <w:rFonts w:ascii="Malgun Gothic" w:hAnsi="Malgun Gothic" w:eastAsia="Malgun Gothic"/>
        </w:rPr>
        <w:t xml:space="preserve"> 태그가 부착되어 있으며, reference-validator(단계 ③) 검증 후 </w:t>
      </w:r>
      <w:r>
        <w:rPr>
          <w:rFonts w:ascii="Malgun Gothic" w:hAnsi="Malgun Gothic" w:eastAsia="Malgun Gothic"/>
        </w:rPr>
        <w:t>[DOI-VERIFIED ✓]</w:t>
      </w:r>
      <w:r>
        <w:rPr>
          <w:rFonts w:ascii="Malgun Gothic" w:hAnsi="Malgun Gothic" w:eastAsia="Malgun Gothic"/>
        </w:rPr>
        <w:t>로 전환된다.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 4단계 검증 전까지 </w:t>
      </w:r>
      <w:r>
        <w:rPr>
          <w:rFonts w:ascii="Malgun Gothic" w:hAnsi="Malgun Gothic" w:eastAsia="Malgun Gothic"/>
        </w:rPr>
        <w:t>[PENDING-DOI-VERIFY]</w:t>
      </w:r>
      <w:r>
        <w:rPr>
          <w:rFonts w:ascii="Malgun Gothic" w:hAnsi="Malgun Gothic" w:eastAsia="Malgun Gothic"/>
        </w:rPr>
        <w:t xml:space="preserve"> 상태다.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[PENDING-DOI-VERIFY]</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[PENDING-DOI-VERIFY]</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[PENDING-DOI-VERIFY]</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[PENDING-DOI-VERIFY]</w:t>
      </w:r>
    </w:p>
    <w:p>
      <w:r>
        <w:rPr>
          <w:rFonts w:ascii="Malgun Gothic" w:hAnsi="Malgun Gothic" w:eastAsia="Malgun Gothic"/>
        </w:rPr>
        <w:t>[5] Wang B, Wu G, Zhou Z, et al. Glutamine and intestinal barrier function. Amino Acids. 2015;47(10):2143-2154. doi:10.1007/s00726-014-1773-4. PMID:24965526. URL: https://doi.org/10.1007/s00726-014-1773-4. [PENDING-DOI-VERIFY]</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[PENDING-DOI-VERIFY]</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[PENDING-DOI-VERIFY]</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[PENDING-DOI-VERIFY]</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[PENDING-DOI-VERIFY]</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[PENDING-DOI-VERIFY]</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[PENDING-DOI-VERIFY]</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[PENDING-DOI-VERIFY]</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[PENDING-DOI-VERIFY]</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[PENDING-DOI-VERIFY]</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[PENDING-DOI-VERIFY]</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[PENDING-DOI-VERIFY]</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[PENDING-DOI-VERIFY]</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[PENDING-DOI-VERIFY]</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[PENDING-DOI-VERIFY]</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[PENDING-DOI-VERIFY]</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[PENDING-DOI-VERIFY]</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[PENDING-DOI-VERIFY]</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[PENDING-DOI-VERIFY]</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[PENDING-DOI-VERIFY]</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[PENDING-DOI-VERIFY]</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[PENDING-DOI-VERIFY]</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[PENDING-DOI-VERIFY]</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[PENDING-DOI-VERIFY]</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[PENDING-DOI-VERIFY]</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[PENDING-DOI-VERIFY]</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[PENDING-DOI-VERIFY]</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[PENDING-DOI-VERIFY]</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[PENDING-DOI-VERIFY]</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[PENDING-DOI-VERIFY]</w:t>
      </w:r>
    </w:p>
    <w:p>
      <w:r>
        <w:rPr>
          <w:rFonts w:ascii="Malgun Gothic" w:hAnsi="Malgun Gothic" w:eastAsia="Malgun Gothic"/>
        </w:rPr>
        <w:t>[35] Andersen JV. The Glutamate/GABA-Glutamine Cycle: Insights, Updates, and Advances. Journal of Neurochemistry. 2025;169(3):e70029. doi:10.1111/jnc.70029. PMID:40066661. URL: https://doi.org/10.1111/jnc.70029. [PENDING-DOI-VERIFY]</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[PENDING-DOI-VERIFY]</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[PENDING-DOI-VERIFY]</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[PENDING-DOI-VERIFY]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[PENDING-DOI-VERIFY]</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"부위·조건 의존적 지지 가능성"으로 한정 서술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