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3A5F"/>
        </w:rPr>
        <w:t>Minutes of PLG Management Meeting No. 4/2026</w:t>
      </w:r>
    </w:p>
    <w:tbl>
      <w:tblPr>
        <w:tblStyle w:val="TableGrid"/>
        <w:tblW w:type="auto" w:w="0"/>
        <w:jc w:val="center"/>
        <w:tblLook w:firstColumn="1" w:firstRow="1" w:lastColumn="0" w:lastRow="0" w:noHBand="0" w:noVBand="1" w:val="04A0"/>
      </w:tblPr>
      <w:tblGrid>
        <w:gridCol w:w="4873"/>
        <w:gridCol w:w="4873"/>
      </w:tblGrid>
      <w:tr>
        <w:tc>
          <w:tcPr>
            <w:tcW w:type="dxa" w:w="2835"/>
            <w:shd w:val="clear" w:color="auto" w:fill="D9E2F3"/>
          </w:tcPr>
          <w:p>
            <w:r/>
            <w:r>
              <w:rPr>
                <w:b/>
                <w:sz w:val="18"/>
              </w:rPr>
              <w:t>Item</w:t>
            </w:r>
          </w:p>
        </w:tc>
        <w:tc>
          <w:tcPr>
            <w:tcW w:type="dxa" w:w="6236"/>
            <w:shd w:val="clear" w:color="auto" w:fill="D9E2F3"/>
          </w:tcPr>
          <w:p>
            <w:r/>
            <w:r>
              <w:rPr>
                <w:b/>
                <w:sz w:val="18"/>
              </w:rPr>
              <w:t>Detail</w:t>
            </w:r>
          </w:p>
        </w:tc>
      </w:tr>
      <w:tr>
        <w:tc>
          <w:tcPr>
            <w:tcW w:type="dxa" w:w="2835"/>
          </w:tcPr>
          <w:p>
            <w:r/>
            <w:r>
              <w:rPr>
                <w:sz w:val="18"/>
              </w:rPr>
              <w:t>Meeting</w:t>
            </w:r>
          </w:p>
        </w:tc>
        <w:tc>
          <w:tcPr>
            <w:tcW w:type="dxa" w:w="6236"/>
          </w:tcPr>
          <w:p>
            <w:r/>
            <w:r>
              <w:rPr>
                <w:sz w:val="18"/>
              </w:rPr>
              <w:t>PLG Management Meeting No. 4/2026</w:t>
            </w:r>
          </w:p>
        </w:tc>
      </w:tr>
      <w:tr>
        <w:tc>
          <w:tcPr>
            <w:tcW w:type="dxa" w:w="2835"/>
          </w:tcPr>
          <w:p>
            <w:r/>
            <w:r>
              <w:rPr>
                <w:sz w:val="18"/>
              </w:rPr>
              <w:t>Date / time</w:t>
            </w:r>
          </w:p>
        </w:tc>
        <w:tc>
          <w:tcPr>
            <w:tcW w:type="dxa" w:w="6236"/>
          </w:tcPr>
          <w:p>
            <w:r/>
            <w:r>
              <w:rPr>
                <w:sz w:val="18"/>
              </w:rPr>
              <w:t>15 April 2026, 2.30 pm - 4.45 pm</w:t>
            </w:r>
          </w:p>
        </w:tc>
      </w:tr>
      <w:tr>
        <w:tc>
          <w:tcPr>
            <w:tcW w:type="dxa" w:w="2835"/>
          </w:tcPr>
          <w:p>
            <w:r/>
            <w:r>
              <w:rPr>
                <w:sz w:val="18"/>
              </w:rPr>
              <w:t>Venue</w:t>
            </w:r>
          </w:p>
        </w:tc>
        <w:tc>
          <w:tcPr>
            <w:tcW w:type="dxa" w:w="6236"/>
          </w:tcPr>
          <w:p>
            <w:r/>
            <w:r>
              <w:rPr>
                <w:sz w:val="18"/>
              </w:rPr>
              <w:t>HEB Hub, Meeting Room 7-02</w:t>
            </w:r>
          </w:p>
        </w:tc>
      </w:tr>
      <w:tr>
        <w:tc>
          <w:tcPr>
            <w:tcW w:type="dxa" w:w="2835"/>
          </w:tcPr>
          <w:p>
            <w:r/>
            <w:r>
              <w:rPr>
                <w:sz w:val="18"/>
              </w:rPr>
              <w:t>Chair</w:t>
            </w:r>
          </w:p>
        </w:tc>
        <w:tc>
          <w:tcPr>
            <w:tcW w:type="dxa" w:w="6236"/>
          </w:tcPr>
          <w:p>
            <w:r/>
            <w:r>
              <w:rPr>
                <w:sz w:val="18"/>
              </w:rPr>
              <w:t>Tan Wei Ling</w:t>
            </w:r>
          </w:p>
        </w:tc>
      </w:tr>
      <w:tr>
        <w:tc>
          <w:tcPr>
            <w:tcW w:type="dxa" w:w="2835"/>
          </w:tcPr>
          <w:p>
            <w:r/>
            <w:r>
              <w:rPr>
                <w:sz w:val="18"/>
              </w:rPr>
              <w:t>Present</w:t>
            </w:r>
          </w:p>
        </w:tc>
        <w:tc>
          <w:tcPr>
            <w:tcW w:type="dxa" w:w="6236"/>
          </w:tcPr>
          <w:p>
            <w:r/>
            <w:r>
              <w:rPr>
                <w:sz w:val="18"/>
              </w:rPr>
              <w:t>Rajesh Pillai, Nurul Huda Rahman, Marcus Lim, Priya Menon, Kelvin Goh, Joanne Teo, Benjamin Ho</w:t>
            </w:r>
          </w:p>
        </w:tc>
      </w:tr>
      <w:tr>
        <w:tc>
          <w:tcPr>
            <w:tcW w:type="dxa" w:w="2835"/>
          </w:tcPr>
          <w:p>
            <w:r/>
            <w:r>
              <w:rPr>
                <w:sz w:val="18"/>
              </w:rPr>
              <w:t>Apologies</w:t>
            </w:r>
          </w:p>
        </w:tc>
        <w:tc>
          <w:tcPr>
            <w:tcW w:type="dxa" w:w="6236"/>
          </w:tcPr>
          <w:p>
            <w:r/>
            <w:r>
              <w:rPr>
                <w:sz w:val="18"/>
              </w:rPr>
              <w:t>Daniel Ong</w:t>
            </w:r>
          </w:p>
        </w:tc>
      </w:tr>
      <w:tr>
        <w:tc>
          <w:tcPr>
            <w:tcW w:type="dxa" w:w="2835"/>
          </w:tcPr>
          <w:p>
            <w:r/>
            <w:r>
              <w:rPr>
                <w:sz w:val="18"/>
              </w:rPr>
              <w:t>Secretariat</w:t>
            </w:r>
          </w:p>
        </w:tc>
        <w:tc>
          <w:tcPr>
            <w:tcW w:type="dxa" w:w="6236"/>
          </w:tcPr>
          <w:p>
            <w:r/>
            <w:r>
              <w:rPr>
                <w:sz w:val="18"/>
              </w:rPr>
              <w:t>Siti Aishah Yusof</w:t>
            </w:r>
          </w:p>
        </w:tc>
      </w:tr>
    </w:tbl>
    <w:p/>
    <w:p>
      <w:pPr>
        <w:pStyle w:val="Heading1"/>
      </w:pPr>
      <w:r>
        <w:t>1. Confirmation of Minutes</w:t>
      </w:r>
    </w:p>
    <w:p>
      <w:r>
        <w:t>The minutes of Meeting No. 3/2026 (18 March 2026) were confirmed without amendment.</w:t>
      </w:r>
    </w:p>
    <w:p>
      <w:pPr>
        <w:pStyle w:val="Heading1"/>
      </w:pPr>
      <w:r>
        <w:t>2. Roll-out of Revised Arrears Policy (PLG-POL-003 v2.0)</w:t>
      </w:r>
    </w:p>
    <w:p>
      <w:r>
        <w:t>Priya briefed the meeting on the revised policy, effective 1 April 2026. Main changes: a mandatory hardship call between 31 and 45 days, the Letter of Demand moving from 45 to 60 days, a termination threshold of more than 3 months of arrears, and instalment plans of up to 12 months. Joanne noted that Legal's LOD queue will move accordingly.</w:t>
      </w:r>
    </w:p>
    <w:p>
      <w:r>
        <w:t>Decision: PLG-SOP-014 to be updated to match the policy by 31 May 2026. Training for F&amp;A officers was held on 8 April 2026.</w:t>
      </w:r>
    </w:p>
    <w:p>
      <w:pPr>
        <w:pStyle w:val="Heading1"/>
      </w:pPr>
      <w:r>
        <w:t>3. Definition of Vacant Units in Management Reporting</w:t>
      </w:r>
    </w:p>
    <w:p>
      <w:r>
        <w:t>Kelvin pointed out that the monthly reports and the QBR count vacancy differently. The Director decided that, from the April 2026 report, 'vacant' means units with no active or committed tenancy that are lettable and NOT under tender. Units under tender and units not lettable (earmarked for upgrading or redevelopment) are reported separately. Historical figures are not restated.</w:t>
      </w:r>
    </w:p>
    <w:p>
      <w:r>
        <w:t>Action: Kelvin to update the vacancy report template and the PLG glossary. Rajesh to ensure the QBR deck follows the new definition.</w:t>
      </w:r>
    </w:p>
    <w:p>
      <w:pPr>
        <w:pStyle w:val="Heading1"/>
      </w:pPr>
      <w:r>
        <w:t>4. Display Areas at Neighbourhood Centres</w:t>
      </w:r>
    </w:p>
    <w:p>
      <w:r>
        <w:t>Benjamin and Marcus reported that NC tenants keep asking for more display space, and that enforcing the 0.6 m rule at wide NC walkways is producing a lot of feedback cases. Rajesh proposed piloting 1.0 m at NCs where the walkway is wide enough. Agreed in principle; Rajesh to draft a circular for the Director's approval, targeting 1 August 2026.</w:t>
      </w:r>
    </w:p>
    <w:p>
      <w:pPr>
        <w:pStyle w:val="Heading1"/>
      </w:pPr>
      <w:r>
        <w:t>5. Arrears Position</w:t>
      </w:r>
    </w:p>
    <w:p>
      <w:r>
        <w:t>Priya reported total arrears of S$347,874 as at 31 March 2026. The meeting noted that a few large minimarts and two eating houses make up a significant share.</w:t>
      </w:r>
    </w:p>
    <w:p>
      <w:pPr>
        <w:pStyle w:val="Heading1"/>
      </w:pPr>
      <w:r>
        <w:t>6. Any Other Business</w:t>
      </w:r>
    </w:p>
    <w:p>
      <w:pPr>
        <w:pStyle w:val="ListBullet"/>
      </w:pPr>
      <w:r>
        <w:t>Fire safety: Estate Managers to remind eating-house tenants to clean exhaust ducts quarterly.</w:t>
      </w:r>
    </w:p>
    <w:p>
      <w:pPr>
        <w:pStyle w:val="ListBullet"/>
      </w:pPr>
      <w:r>
        <w:t>Super-librarian AI POC: the Director supported a 4-week POC using synthetic data. Kelvin is the point of contact.</w:t>
      </w:r>
    </w:p>
    <w:p>
      <w:pPr>
        <w:pStyle w:val="Heading1"/>
      </w:pPr>
      <w:r>
        <w:t>Action Items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567"/>
            <w:shd w:val="clear" w:color="auto" w:fill="D9E2F3"/>
          </w:tcPr>
          <w:p>
            <w:r/>
            <w:r>
              <w:rPr>
                <w:b/>
                <w:sz w:val="18"/>
              </w:rPr>
              <w:t>#</w:t>
            </w:r>
          </w:p>
        </w:tc>
        <w:tc>
          <w:tcPr>
            <w:tcW w:type="dxa" w:w="4535"/>
            <w:shd w:val="clear" w:color="auto" w:fill="D9E2F3"/>
          </w:tcPr>
          <w:p>
            <w:r/>
            <w:r>
              <w:rPr>
                <w:b/>
                <w:sz w:val="18"/>
              </w:rPr>
              <w:t>Action</w:t>
            </w:r>
          </w:p>
        </w:tc>
        <w:tc>
          <w:tcPr>
            <w:tcW w:type="dxa" w:w="2268"/>
            <w:shd w:val="clear" w:color="auto" w:fill="D9E2F3"/>
          </w:tcPr>
          <w:p>
            <w:r/>
            <w:r>
              <w:rPr>
                <w:b/>
                <w:sz w:val="18"/>
              </w:rPr>
              <w:t>Owner</w:t>
            </w:r>
          </w:p>
        </w:tc>
        <w:tc>
          <w:tcPr>
            <w:tcW w:type="dxa" w:w="1701"/>
            <w:shd w:val="clear" w:color="auto" w:fill="D9E2F3"/>
          </w:tcPr>
          <w:p>
            <w:r/>
            <w:r>
              <w:rPr>
                <w:b/>
                <w:sz w:val="18"/>
              </w:rPr>
              <w:t>Due</w:t>
            </w:r>
          </w:p>
        </w:tc>
      </w:tr>
      <w:tr>
        <w:tc>
          <w:tcPr>
            <w:tcW w:type="dxa" w:w="567"/>
          </w:tcPr>
          <w:p>
            <w:r/>
            <w:r>
              <w:rPr>
                <w:sz w:val="18"/>
              </w:rPr>
              <w:t>1</w:t>
            </w:r>
          </w:p>
        </w:tc>
        <w:tc>
          <w:tcPr>
            <w:tcW w:type="dxa" w:w="4535"/>
          </w:tcPr>
          <w:p>
            <w:r/>
            <w:r>
              <w:rPr>
                <w:sz w:val="18"/>
              </w:rPr>
              <w:t>Update PLG-SOP-014 to align with POL-003 v2.0</w:t>
            </w:r>
          </w:p>
        </w:tc>
        <w:tc>
          <w:tcPr>
            <w:tcW w:type="dxa" w:w="2268"/>
          </w:tcPr>
          <w:p>
            <w:r/>
            <w:r>
              <w:rPr>
                <w:sz w:val="18"/>
              </w:rPr>
              <w:t>Priya Menon</w:t>
            </w:r>
          </w:p>
        </w:tc>
        <w:tc>
          <w:tcPr>
            <w:tcW w:type="dxa" w:w="1701"/>
          </w:tcPr>
          <w:p>
            <w:r/>
            <w:r>
              <w:rPr>
                <w:sz w:val="18"/>
              </w:rPr>
              <w:t>31 May 2026</w:t>
            </w:r>
          </w:p>
        </w:tc>
      </w:tr>
      <w:tr>
        <w:tc>
          <w:tcPr>
            <w:tcW w:type="dxa" w:w="567"/>
          </w:tcPr>
          <w:p>
            <w:r/>
            <w:r>
              <w:rPr>
                <w:sz w:val="18"/>
              </w:rPr>
              <w:t>2</w:t>
            </w:r>
          </w:p>
        </w:tc>
        <w:tc>
          <w:tcPr>
            <w:tcW w:type="dxa" w:w="4535"/>
          </w:tcPr>
          <w:p>
            <w:r/>
            <w:r>
              <w:rPr>
                <w:sz w:val="18"/>
              </w:rPr>
              <w:t>Update vacancy report template and glossary</w:t>
            </w:r>
          </w:p>
        </w:tc>
        <w:tc>
          <w:tcPr>
            <w:tcW w:type="dxa" w:w="2268"/>
          </w:tcPr>
          <w:p>
            <w:r/>
            <w:r>
              <w:rPr>
                <w:sz w:val="18"/>
              </w:rPr>
              <w:t>Kelvin Goh</w:t>
            </w:r>
          </w:p>
        </w:tc>
        <w:tc>
          <w:tcPr>
            <w:tcW w:type="dxa" w:w="1701"/>
          </w:tcPr>
          <w:p>
            <w:r/>
            <w:r>
              <w:rPr>
                <w:sz w:val="18"/>
              </w:rPr>
              <w:t>30 Apr 2026</w:t>
            </w:r>
          </w:p>
        </w:tc>
      </w:tr>
      <w:tr>
        <w:tc>
          <w:tcPr>
            <w:tcW w:type="dxa" w:w="567"/>
          </w:tcPr>
          <w:p>
            <w:r/>
            <w:r>
              <w:rPr>
                <w:sz w:val="18"/>
              </w:rPr>
              <w:t>3</w:t>
            </w:r>
          </w:p>
        </w:tc>
        <w:tc>
          <w:tcPr>
            <w:tcW w:type="dxa" w:w="4535"/>
          </w:tcPr>
          <w:p>
            <w:r/>
            <w:r>
              <w:rPr>
                <w:sz w:val="18"/>
              </w:rPr>
              <w:t>QBR to adopt new vacancy definition</w:t>
            </w:r>
          </w:p>
        </w:tc>
        <w:tc>
          <w:tcPr>
            <w:tcW w:type="dxa" w:w="2268"/>
          </w:tcPr>
          <w:p>
            <w:r/>
            <w:r>
              <w:rPr>
                <w:sz w:val="18"/>
              </w:rPr>
              <w:t>Rajesh Pillai</w:t>
            </w:r>
          </w:p>
        </w:tc>
        <w:tc>
          <w:tcPr>
            <w:tcW w:type="dxa" w:w="1701"/>
          </w:tcPr>
          <w:p>
            <w:r/>
            <w:r>
              <w:rPr>
                <w:sz w:val="18"/>
              </w:rPr>
              <w:t>Next QBR</w:t>
            </w:r>
          </w:p>
        </w:tc>
      </w:tr>
      <w:tr>
        <w:tc>
          <w:tcPr>
            <w:tcW w:type="dxa" w:w="567"/>
          </w:tcPr>
          <w:p>
            <w:r/>
            <w:r>
              <w:rPr>
                <w:sz w:val="18"/>
              </w:rPr>
              <w:t>4</w:t>
            </w:r>
          </w:p>
        </w:tc>
        <w:tc>
          <w:tcPr>
            <w:tcW w:type="dxa" w:w="4535"/>
          </w:tcPr>
          <w:p>
            <w:r/>
            <w:r>
              <w:rPr>
                <w:sz w:val="18"/>
              </w:rPr>
              <w:t>Draft circular on NC display area pilot</w:t>
            </w:r>
          </w:p>
        </w:tc>
        <w:tc>
          <w:tcPr>
            <w:tcW w:type="dxa" w:w="2268"/>
          </w:tcPr>
          <w:p>
            <w:r/>
            <w:r>
              <w:rPr>
                <w:sz w:val="18"/>
              </w:rPr>
              <w:t>Rajesh Pillai</w:t>
            </w:r>
          </w:p>
        </w:tc>
        <w:tc>
          <w:tcPr>
            <w:tcW w:type="dxa" w:w="1701"/>
          </w:tcPr>
          <w:p>
            <w:r/>
            <w:r>
              <w:rPr>
                <w:sz w:val="18"/>
              </w:rPr>
              <w:t>15 Jul 2026</w:t>
            </w:r>
          </w:p>
        </w:tc>
      </w:tr>
      <w:tr>
        <w:tc>
          <w:tcPr>
            <w:tcW w:type="dxa" w:w="567"/>
          </w:tcPr>
          <w:p>
            <w:r/>
            <w:r>
              <w:rPr>
                <w:sz w:val="18"/>
              </w:rPr>
              <w:t>5</w:t>
            </w:r>
          </w:p>
        </w:tc>
        <w:tc>
          <w:tcPr>
            <w:tcW w:type="dxa" w:w="4535"/>
          </w:tcPr>
          <w:p>
            <w:r/>
            <w:r>
              <w:rPr>
                <w:sz w:val="18"/>
              </w:rPr>
              <w:t>Exhaust duct cleaning reminder to eating houses</w:t>
            </w:r>
          </w:p>
        </w:tc>
        <w:tc>
          <w:tcPr>
            <w:tcW w:type="dxa" w:w="2268"/>
          </w:tcPr>
          <w:p>
            <w:r/>
            <w:r>
              <w:rPr>
                <w:sz w:val="18"/>
              </w:rPr>
              <w:t>Marcus Lim / Benjamin Ho</w:t>
            </w:r>
          </w:p>
        </w:tc>
        <w:tc>
          <w:tcPr>
            <w:tcW w:type="dxa" w:w="1701"/>
          </w:tcPr>
          <w:p>
            <w:r/>
            <w:r>
              <w:rPr>
                <w:sz w:val="18"/>
              </w:rPr>
              <w:t>30 Apr 2026</w:t>
            </w:r>
          </w:p>
        </w:tc>
      </w:tr>
    </w:tbl>
    <w:p/>
    <w:p>
      <w:r>
        <w:rPr>
          <w:i/>
          <w:sz w:val="18"/>
        </w:rPr>
        <w:t>Next meeting: 20 May 2026.</w:t>
      </w:r>
    </w:p>
    <w:sectPr w:rsidR="00FC693F" w:rsidRPr="0006063C" w:rsidSect="00034616">
      <w:headerReference w:type="default" r:id="rId9"/>
      <w:footerReference w:type="default" r:id="rId10"/>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RESTRICTED - FICTIONAL POC DATA    Page </w:t>
    </w:r>
    <w:r>
      <w:rPr>
        <w:sz w:val="16"/>
      </w:rPr>
      <w:fldChar w:fldCharType="begin"/>
      <w:instrText xml:space="preserve">PAGE</w:instrText>
      <w:fldChar w:fldCharType="end"/>
    </w:r>
    <w:r>
      <w:rPr>
        <w:sz w:val="16"/>
      </w:rPr>
      <w:t xml:space="preserve"> of </w:t>
    </w:r>
    <w:r>
      <w:rPr>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66666"/>
        <w:sz w:val="16"/>
      </w:rPr>
      <w:t>Housing &amp; Estates Board | Properties &amp; Land Group</w:t>
      <w:tab/>
      <w:tab/>
      <w:t>PLG-MIN-04/2026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Minutes of PLG Management Meeting No. 4/2026</dc:title>
  <dc:subject>PLG-MIN-04/2026</dc:subject>
  <dc:creator>Siti Aishah Yusof</dc:creator>
  <cp:keywords/>
  <dc:description>generated by python-docx</dc:description>
  <cp:lastModifiedBy>Siti Aishah Yusof</cp:lastModifiedBy>
  <cp:revision>1</cp:revision>
  <dcterms:created xsi:type="dcterms:W3CDTF">2026-04-17T09:00:00Z</dcterms:created>
  <dcterms:modified xsi:type="dcterms:W3CDTF">2026-04-17T09:00:00Z</dcterms:modified>
  <cp:category/>
</cp:coreProperties>
</file>