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color w:val="1F3A5F"/>
        </w:rPr>
        <w:t>PLG-POL-001 Trade Mix &amp; Usage Policy (v3.0)</w:t>
      </w:r>
    </w:p>
    <w:p>
      <w:pPr>
        <w:pStyle w:val="Heading2"/>
      </w:pPr>
      <w:r>
        <w:t>Document Control</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D9E2F3"/>
          </w:tcPr>
          <w:p>
            <w:r/>
            <w:r>
              <w:rPr>
                <w:b/>
                <w:sz w:val="18"/>
              </w:rPr>
              <w:t>Field</w:t>
            </w:r>
          </w:p>
        </w:tc>
        <w:tc>
          <w:tcPr>
            <w:tcW w:type="dxa" w:w="6236"/>
            <w:shd w:val="clear" w:color="auto" w:fill="D9E2F3"/>
          </w:tcPr>
          <w:p>
            <w:r/>
            <w:r>
              <w:rPr>
                <w:b/>
                <w:sz w:val="18"/>
              </w:rPr>
              <w:t>Value</w:t>
            </w:r>
          </w:p>
        </w:tc>
      </w:tr>
      <w:tr>
        <w:tc>
          <w:tcPr>
            <w:tcW w:type="dxa" w:w="2835"/>
          </w:tcPr>
          <w:p>
            <w:r/>
            <w:r>
              <w:rPr>
                <w:sz w:val="18"/>
              </w:rPr>
              <w:t>Document ID</w:t>
            </w:r>
          </w:p>
        </w:tc>
        <w:tc>
          <w:tcPr>
            <w:tcW w:type="dxa" w:w="6236"/>
          </w:tcPr>
          <w:p>
            <w:r/>
            <w:r>
              <w:rPr>
                <w:sz w:val="18"/>
              </w:rPr>
              <w:t>PLG-POL-001</w:t>
            </w:r>
          </w:p>
        </w:tc>
      </w:tr>
      <w:tr>
        <w:tc>
          <w:tcPr>
            <w:tcW w:type="dxa" w:w="2835"/>
          </w:tcPr>
          <w:p>
            <w:r/>
            <w:r>
              <w:rPr>
                <w:sz w:val="18"/>
              </w:rPr>
              <w:t>Version</w:t>
            </w:r>
          </w:p>
        </w:tc>
        <w:tc>
          <w:tcPr>
            <w:tcW w:type="dxa" w:w="6236"/>
          </w:tcPr>
          <w:p>
            <w:r/>
            <w:r>
              <w:rPr>
                <w:sz w:val="18"/>
              </w:rPr>
              <w:t>3.0</w:t>
            </w:r>
          </w:p>
        </w:tc>
      </w:tr>
      <w:tr>
        <w:tc>
          <w:tcPr>
            <w:tcW w:type="dxa" w:w="2835"/>
          </w:tcPr>
          <w:p>
            <w:r/>
            <w:r>
              <w:rPr>
                <w:sz w:val="18"/>
              </w:rPr>
              <w:t>Effective date</w:t>
            </w:r>
          </w:p>
        </w:tc>
        <w:tc>
          <w:tcPr>
            <w:tcW w:type="dxa" w:w="6236"/>
          </w:tcPr>
          <w:p>
            <w:r/>
            <w:r>
              <w:rPr>
                <w:sz w:val="18"/>
              </w:rPr>
              <w:t>1 July 2025</w:t>
            </w:r>
          </w:p>
        </w:tc>
      </w:tr>
      <w:tr>
        <w:tc>
          <w:tcPr>
            <w:tcW w:type="dxa" w:w="2835"/>
          </w:tcPr>
          <w:p>
            <w:r/>
            <w:r>
              <w:rPr>
                <w:sz w:val="18"/>
              </w:rPr>
              <w:t>Owner</w:t>
            </w:r>
          </w:p>
        </w:tc>
        <w:tc>
          <w:tcPr>
            <w:tcW w:type="dxa" w:w="6236"/>
          </w:tcPr>
          <w:p>
            <w:r/>
            <w:r>
              <w:rPr>
                <w:sz w:val="18"/>
              </w:rPr>
              <w:t>Leasing Policy &amp; Planning</w:t>
            </w:r>
          </w:p>
        </w:tc>
      </w:tr>
      <w:tr>
        <w:tc>
          <w:tcPr>
            <w:tcW w:type="dxa" w:w="2835"/>
          </w:tcPr>
          <w:p>
            <w:r/>
            <w:r>
              <w:rPr>
                <w:sz w:val="18"/>
              </w:rPr>
              <w:t>Approved by</w:t>
            </w:r>
          </w:p>
        </w:tc>
        <w:tc>
          <w:tcPr>
            <w:tcW w:type="dxa" w:w="6236"/>
          </w:tcPr>
          <w:p>
            <w:r/>
            <w:r>
              <w:rPr>
                <w:sz w:val="18"/>
              </w:rPr>
              <w:t>Tan Wei Ling</w:t>
            </w:r>
          </w:p>
        </w:tc>
      </w:tr>
      <w:tr>
        <w:tc>
          <w:tcPr>
            <w:tcW w:type="dxa" w:w="2835"/>
          </w:tcPr>
          <w:p>
            <w:r/>
            <w:r>
              <w:rPr>
                <w:sz w:val="18"/>
              </w:rPr>
              <w:t>Next review</w:t>
            </w:r>
          </w:p>
        </w:tc>
        <w:tc>
          <w:tcPr>
            <w:tcW w:type="dxa" w:w="6236"/>
          </w:tcPr>
          <w:p>
            <w:r/>
            <w:r>
              <w:rPr>
                <w:sz w:val="18"/>
              </w:rPr>
              <w:t>1 July 2027</w:t>
            </w:r>
          </w:p>
        </w:tc>
      </w:tr>
      <w:tr>
        <w:tc>
          <w:tcPr>
            <w:tcW w:type="dxa" w:w="2835"/>
          </w:tcPr>
          <w:p>
            <w:r/>
            <w:r>
              <w:rPr>
                <w:sz w:val="18"/>
              </w:rPr>
              <w:t>Status</w:t>
            </w:r>
          </w:p>
        </w:tc>
        <w:tc>
          <w:tcPr>
            <w:tcW w:type="dxa" w:w="6236"/>
          </w:tcPr>
          <w:p>
            <w:r/>
            <w:r>
              <w:rPr>
                <w:sz w:val="18"/>
              </w:rPr>
              <w:t>In force</w:t>
            </w:r>
          </w:p>
        </w:tc>
      </w:tr>
      <w:tr>
        <w:tc>
          <w:tcPr>
            <w:tcW w:type="dxa" w:w="2835"/>
          </w:tcPr>
          <w:p>
            <w:r/>
            <w:r>
              <w:rPr>
                <w:sz w:val="18"/>
              </w:rPr>
              <w:t>Supersedes</w:t>
            </w:r>
          </w:p>
        </w:tc>
        <w:tc>
          <w:tcPr>
            <w:tcW w:type="dxa" w:w="6236"/>
          </w:tcPr>
          <w:p>
            <w:r/>
            <w:r>
              <w:rPr>
                <w:sz w:val="18"/>
              </w:rPr>
              <w:t>v2.2 (2022)</w:t>
            </w:r>
          </w:p>
        </w:tc>
      </w:tr>
      <w:tr>
        <w:tc>
          <w:tcPr>
            <w:tcW w:type="dxa" w:w="2835"/>
          </w:tcPr>
          <w:p>
            <w:r/>
            <w:r>
              <w:rPr>
                <w:sz w:val="18"/>
              </w:rPr>
              <w:t>Classification</w:t>
            </w:r>
          </w:p>
        </w:tc>
        <w:tc>
          <w:tcPr>
            <w:tcW w:type="dxa" w:w="6236"/>
          </w:tcPr>
          <w:p>
            <w:r/>
            <w:r>
              <w:rPr>
                <w:sz w:val="18"/>
              </w:rPr>
              <w:t>Restricted (fictional POC data)</w:t>
            </w:r>
          </w:p>
        </w:tc>
      </w:tr>
    </w:tbl>
    <w:p/>
    <w:p>
      <w:pPr>
        <w:pStyle w:val="Heading2"/>
      </w:pPr>
      <w:r>
        <w:t>Revision History</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1134"/>
            <w:shd w:val="clear" w:color="auto" w:fill="D9E2F3"/>
          </w:tcPr>
          <w:p>
            <w:r/>
            <w:r>
              <w:rPr>
                <w:b/>
                <w:sz w:val="18"/>
              </w:rPr>
              <w:t>Version</w:t>
            </w:r>
          </w:p>
        </w:tc>
        <w:tc>
          <w:tcPr>
            <w:tcW w:type="dxa" w:w="1587"/>
            <w:shd w:val="clear" w:color="auto" w:fill="D9E2F3"/>
          </w:tcPr>
          <w:p>
            <w:r/>
            <w:r>
              <w:rPr>
                <w:b/>
                <w:sz w:val="18"/>
              </w:rPr>
              <w:t>Date</w:t>
            </w:r>
          </w:p>
        </w:tc>
        <w:tc>
          <w:tcPr>
            <w:tcW w:type="dxa" w:w="1984"/>
            <w:shd w:val="clear" w:color="auto" w:fill="D9E2F3"/>
          </w:tcPr>
          <w:p>
            <w:r/>
            <w:r>
              <w:rPr>
                <w:b/>
                <w:sz w:val="18"/>
              </w:rPr>
              <w:t>Author</w:t>
            </w:r>
          </w:p>
        </w:tc>
        <w:tc>
          <w:tcPr>
            <w:tcW w:type="dxa" w:w="4535"/>
            <w:shd w:val="clear" w:color="auto" w:fill="D9E2F3"/>
          </w:tcPr>
          <w:p>
            <w:r/>
            <w:r>
              <w:rPr>
                <w:b/>
                <w:sz w:val="18"/>
              </w:rPr>
              <w:t>Summary of changes</w:t>
            </w:r>
          </w:p>
        </w:tc>
      </w:tr>
      <w:tr>
        <w:tc>
          <w:tcPr>
            <w:tcW w:type="dxa" w:w="1134"/>
          </w:tcPr>
          <w:p>
            <w:r/>
            <w:r>
              <w:rPr>
                <w:sz w:val="18"/>
              </w:rPr>
              <w:t>2.2</w:t>
            </w:r>
          </w:p>
        </w:tc>
        <w:tc>
          <w:tcPr>
            <w:tcW w:type="dxa" w:w="1587"/>
          </w:tcPr>
          <w:p>
            <w:r/>
            <w:r>
              <w:rPr>
                <w:sz w:val="18"/>
              </w:rPr>
              <w:t>2022-08-01</w:t>
            </w:r>
          </w:p>
        </w:tc>
        <w:tc>
          <w:tcPr>
            <w:tcW w:type="dxa" w:w="1984"/>
          </w:tcPr>
          <w:p>
            <w:r/>
            <w:r>
              <w:rPr>
                <w:sz w:val="18"/>
              </w:rPr>
              <w:t>PLG Policy</w:t>
            </w:r>
          </w:p>
        </w:tc>
        <w:tc>
          <w:tcPr>
            <w:tcW w:type="dxa" w:w="4535"/>
          </w:tcPr>
          <w:p>
            <w:r/>
            <w:r>
              <w:rPr>
                <w:sz w:val="18"/>
              </w:rPr>
              <w:t>Added eldercare trades</w:t>
            </w:r>
          </w:p>
        </w:tc>
      </w:tr>
      <w:tr>
        <w:tc>
          <w:tcPr>
            <w:tcW w:type="dxa" w:w="1134"/>
          </w:tcPr>
          <w:p>
            <w:r/>
            <w:r>
              <w:rPr>
                <w:sz w:val="18"/>
              </w:rPr>
              <w:t>3.0</w:t>
            </w:r>
          </w:p>
        </w:tc>
        <w:tc>
          <w:tcPr>
            <w:tcW w:type="dxa" w:w="1587"/>
          </w:tcPr>
          <w:p>
            <w:r/>
            <w:r>
              <w:rPr>
                <w:sz w:val="18"/>
              </w:rPr>
              <w:t>2025-06-10</w:t>
            </w:r>
          </w:p>
        </w:tc>
        <w:tc>
          <w:tcPr>
            <w:tcW w:type="dxa" w:w="1984"/>
          </w:tcPr>
          <w:p>
            <w:r/>
            <w:r>
              <w:rPr>
                <w:sz w:val="18"/>
              </w:rPr>
              <w:t>Rajesh Pillai</w:t>
            </w:r>
          </w:p>
        </w:tc>
        <w:tc>
          <w:tcPr>
            <w:tcW w:type="dxa" w:w="4535"/>
          </w:tcPr>
          <w:p>
            <w:r/>
            <w:r>
              <w:rPr>
                <w:sz w:val="18"/>
              </w:rPr>
              <w:t>Concentration limit 2 per NC (3 minimarts in large NCs); enforcement table; appeals</w:t>
            </w:r>
          </w:p>
        </w:tc>
      </w:tr>
    </w:tbl>
    <w:p/>
    <w:p>
      <w:pPr>
        <w:pStyle w:val="Heading1"/>
      </w:pPr>
      <w:r>
        <w:t>1. Purpose</w:t>
      </w:r>
    </w:p>
    <w:p>
      <w:r>
        <w:t>This policy guides how PLG plans the trade mix in HEB commercial premises and controls how those premises are used. HEB commercial premises exist primarily to meet residents' daily needs within walking distance and to keep neighbourhood centres vibrant. Trade mix decisions therefore balance resident needs, commercial viability and fair competition between tenants.</w:t>
      </w:r>
    </w:p>
    <w:p>
      <w:pPr>
        <w:pStyle w:val="Heading1"/>
      </w:pPr>
      <w:r>
        <w:t>2. Objectives</w:t>
      </w:r>
    </w:p>
    <w:p>
      <w:pPr>
        <w:pStyle w:val="ListNumber"/>
      </w:pPr>
      <w:r>
        <w:t>Ensure every NC and void-deck cluster offers essential daily needs (food, groceries, healthcare).</w:t>
      </w:r>
    </w:p>
    <w:p>
      <w:pPr>
        <w:pStyle w:val="ListNumber"/>
      </w:pPr>
      <w:r>
        <w:t>Avoid over-concentration of any single trade that would undermine tenant viability.</w:t>
      </w:r>
    </w:p>
    <w:p>
      <w:pPr>
        <w:pStyle w:val="ListNumber"/>
      </w:pPr>
      <w:r>
        <w:t>Support new trades that respond to changing resident demographics, such as eldercare, childcare and enrichment.</w:t>
      </w:r>
    </w:p>
    <w:p>
      <w:pPr>
        <w:pStyle w:val="ListNumber"/>
      </w:pPr>
      <w:r>
        <w:t>Keep common areas safe, clean and accessible.</w:t>
      </w:r>
    </w:p>
    <w:p>
      <w:pPr>
        <w:pStyle w:val="Heading1"/>
      </w:pPr>
      <w:r>
        <w:t>3. Definitions</w:t>
      </w:r>
    </w:p>
    <w:tbl>
      <w:tblPr>
        <w:tblStyle w:val="TableGrid"/>
        <w:tblW w:type="auto" w:w="0"/>
        <w:jc w:val="center"/>
        <w:tblLook w:firstColumn="1" w:firstRow="1" w:lastColumn="0" w:lastRow="0" w:noHBand="0" w:noVBand="1" w:val="04A0"/>
      </w:tblPr>
      <w:tblGrid>
        <w:gridCol w:w="4873"/>
        <w:gridCol w:w="4873"/>
      </w:tblGrid>
      <w:tr>
        <w:tc>
          <w:tcPr>
            <w:tcW w:type="dxa" w:w="2551"/>
            <w:shd w:val="clear" w:color="auto" w:fill="D9E2F3"/>
          </w:tcPr>
          <w:p>
            <w:r/>
            <w:r>
              <w:rPr>
                <w:b/>
                <w:sz w:val="18"/>
              </w:rPr>
              <w:t>Term</w:t>
            </w:r>
          </w:p>
        </w:tc>
        <w:tc>
          <w:tcPr>
            <w:tcW w:type="dxa" w:w="6520"/>
            <w:shd w:val="clear" w:color="auto" w:fill="D9E2F3"/>
          </w:tcPr>
          <w:p>
            <w:r/>
            <w:r>
              <w:rPr>
                <w:b/>
                <w:sz w:val="18"/>
              </w:rPr>
              <w:t>Definition</w:t>
            </w:r>
          </w:p>
        </w:tc>
      </w:tr>
      <w:tr>
        <w:tc>
          <w:tcPr>
            <w:tcW w:type="dxa" w:w="2551"/>
          </w:tcPr>
          <w:p>
            <w:r/>
            <w:r>
              <w:rPr>
                <w:sz w:val="18"/>
              </w:rPr>
              <w:t>Neighbourhood Centre (NC)</w:t>
            </w:r>
          </w:p>
        </w:tc>
        <w:tc>
          <w:tcPr>
            <w:tcW w:type="dxa" w:w="6520"/>
          </w:tcPr>
          <w:p>
            <w:r/>
            <w:r>
              <w:rPr>
                <w:sz w:val="18"/>
              </w:rPr>
              <w:t>A cluster of commercial premises serving a neighbourhood of about 4,000 to 6,000 households, designated in PLG's NC register.</w:t>
            </w:r>
          </w:p>
        </w:tc>
      </w:tr>
      <w:tr>
        <w:tc>
          <w:tcPr>
            <w:tcW w:type="dxa" w:w="2551"/>
          </w:tcPr>
          <w:p>
            <w:r/>
            <w:r>
              <w:rPr>
                <w:sz w:val="18"/>
              </w:rPr>
              <w:t>Void-deck shop</w:t>
            </w:r>
          </w:p>
        </w:tc>
        <w:tc>
          <w:tcPr>
            <w:tcW w:type="dxa" w:w="6520"/>
          </w:tcPr>
          <w:p>
            <w:r/>
            <w:r>
              <w:rPr>
                <w:sz w:val="18"/>
              </w:rPr>
              <w:t>A commercial unit at the ground floor of a residential block outside a designated NC.</w:t>
            </w:r>
          </w:p>
        </w:tc>
      </w:tr>
      <w:tr>
        <w:tc>
          <w:tcPr>
            <w:tcW w:type="dxa" w:w="2551"/>
          </w:tcPr>
          <w:p>
            <w:r/>
            <w:r>
              <w:rPr>
                <w:sz w:val="18"/>
              </w:rPr>
              <w:t>Trade</w:t>
            </w:r>
          </w:p>
        </w:tc>
        <w:tc>
          <w:tcPr>
            <w:tcW w:type="dxa" w:w="6520"/>
          </w:tcPr>
          <w:p>
            <w:r/>
            <w:r>
              <w:rPr>
                <w:sz w:val="18"/>
              </w:rPr>
              <w:t>The approved business activity specified in the tenancy agreement (Annex A).</w:t>
            </w:r>
          </w:p>
        </w:tc>
      </w:tr>
      <w:tr>
        <w:tc>
          <w:tcPr>
            <w:tcW w:type="dxa" w:w="2551"/>
          </w:tcPr>
          <w:p>
            <w:r/>
            <w:r>
              <w:rPr>
                <w:sz w:val="18"/>
              </w:rPr>
              <w:t>Trade group</w:t>
            </w:r>
          </w:p>
        </w:tc>
        <w:tc>
          <w:tcPr>
            <w:tcW w:type="dxa" w:w="6520"/>
          </w:tcPr>
          <w:p>
            <w:r/>
            <w:r>
              <w:rPr>
                <w:sz w:val="18"/>
              </w:rPr>
              <w:t>A grouping of related trades used for trade-mix assessment (Annex A).</w:t>
            </w:r>
          </w:p>
        </w:tc>
      </w:tr>
      <w:tr>
        <w:tc>
          <w:tcPr>
            <w:tcW w:type="dxa" w:w="2551"/>
          </w:tcPr>
          <w:p>
            <w:r/>
            <w:r>
              <w:rPr>
                <w:sz w:val="18"/>
              </w:rPr>
              <w:t>Essential trade</w:t>
            </w:r>
          </w:p>
        </w:tc>
        <w:tc>
          <w:tcPr>
            <w:tcW w:type="dxa" w:w="6520"/>
          </w:tcPr>
          <w:p>
            <w:r/>
            <w:r>
              <w:rPr>
                <w:sz w:val="18"/>
              </w:rPr>
              <w:t>Minimart / provision shop, coffeeshop, GP clinic, pharmacy.</w:t>
            </w:r>
          </w:p>
        </w:tc>
      </w:tr>
      <w:tr>
        <w:tc>
          <w:tcPr>
            <w:tcW w:type="dxa" w:w="2551"/>
          </w:tcPr>
          <w:p>
            <w:r/>
            <w:r>
              <w:rPr>
                <w:sz w:val="18"/>
              </w:rPr>
              <w:t>Shopfront line</w:t>
            </w:r>
          </w:p>
        </w:tc>
        <w:tc>
          <w:tcPr>
            <w:tcW w:type="dxa" w:w="6520"/>
          </w:tcPr>
          <w:p>
            <w:r/>
            <w:r>
              <w:rPr>
                <w:sz w:val="18"/>
              </w:rPr>
              <w:t>The line of the shop's front wall or roller shutter as shown in the approved layout plan.</w:t>
            </w:r>
          </w:p>
        </w:tc>
      </w:tr>
    </w:tbl>
    <w:p/>
    <w:p>
      <w:pPr>
        <w:pStyle w:val="Heading1"/>
      </w:pPr>
      <w:r>
        <w:t>4. Essential Trades</w:t>
      </w:r>
    </w:p>
    <w:p>
      <w:r>
        <w:t>Each NC shall have at least one minimart or provision shop, one coffeeshop and one GP clinic. When an essential trade unit falls vacant, it shall be re-tendered for the same trade unless the Deputy Director, Leasing Policy &amp; Planning approves otherwise.</w:t>
      </w:r>
    </w:p>
    <w:p>
      <w:pPr>
        <w:pStyle w:val="Heading1"/>
      </w:pPr>
      <w:r>
        <w:t>5. Trade Mix Rules</w:t>
      </w:r>
    </w:p>
    <w:p>
      <w:pPr>
        <w:pStyle w:val="Heading2"/>
      </w:pPr>
      <w:r>
        <w:t>5.1 Concentration limit</w:t>
      </w:r>
    </w:p>
    <w:p>
      <w:r>
        <w:t>No more than two (2) units in the same NC may operate the same trade. For NCs with more than 40 units the limit for minimarts is three (3). Food &amp; beverage trades other than coffeeshops shall not exceed 30% of units in an NC.</w:t>
      </w:r>
    </w:p>
    <w:p>
      <w:pPr>
        <w:pStyle w:val="Heading2"/>
      </w:pPr>
      <w:r>
        <w:t>5.2 Void-deck clusters</w:t>
      </w:r>
    </w:p>
    <w:p>
      <w:r>
        <w:t>Void-deck clusters of five or more units should include at least one essential trade.</w:t>
      </w:r>
    </w:p>
    <w:p>
      <w:pPr>
        <w:pStyle w:val="Heading2"/>
      </w:pPr>
      <w:r>
        <w:t>5.3 Prohibited trades</w:t>
      </w:r>
    </w:p>
    <w:p>
      <w:pPr>
        <w:pStyle w:val="ListBullet"/>
      </w:pPr>
      <w:r>
        <w:t>Massage establishments (other than licensed healthcare)</w:t>
      </w:r>
    </w:p>
    <w:p>
      <w:pPr>
        <w:pStyle w:val="ListBullet"/>
      </w:pPr>
      <w:r>
        <w:t>Pawnbroking</w:t>
      </w:r>
    </w:p>
    <w:p>
      <w:pPr>
        <w:pStyle w:val="ListBullet"/>
      </w:pPr>
      <w:r>
        <w:t>Gaming arcades and jackpot operations</w:t>
      </w:r>
    </w:p>
    <w:p>
      <w:pPr>
        <w:pStyle w:val="ListBullet"/>
      </w:pPr>
      <w:r>
        <w:t>Sale of e-vaporisers or other prohibited items</w:t>
      </w:r>
    </w:p>
    <w:p>
      <w:pPr>
        <w:pStyle w:val="ListBullet"/>
      </w:pPr>
      <w:r>
        <w:t>Any trade requiring a licence the tenant is unable to obtain</w:t>
      </w:r>
    </w:p>
    <w:p>
      <w:pPr>
        <w:pStyle w:val="Heading1"/>
      </w:pPr>
      <w:r>
        <w:t>6. Change or Addition of Trade</w:t>
      </w:r>
    </w:p>
    <w:p>
      <w:pPr>
        <w:pStyle w:val="Heading2"/>
      </w:pPr>
      <w:r>
        <w:t>6.1 Eligibility</w:t>
      </w:r>
    </w:p>
    <w:p>
      <w:pPr>
        <w:pStyle w:val="ListBullet"/>
      </w:pPr>
      <w:r>
        <w:t>Tenancy has at least 12 months remaining.</w:t>
      </w:r>
    </w:p>
    <w:p>
      <w:pPr>
        <w:pStyle w:val="ListBullet"/>
      </w:pPr>
      <w:r>
        <w:t>No arrears exceeding one month's rent.</w:t>
      </w:r>
    </w:p>
    <w:p>
      <w:pPr>
        <w:pStyle w:val="ListBullet"/>
      </w:pPr>
      <w:r>
        <w:t>No major breach in the past 12 months.</w:t>
      </w:r>
    </w:p>
    <w:p>
      <w:pPr>
        <w:pStyle w:val="ListBullet"/>
      </w:pPr>
      <w:r>
        <w:t>The proposed trade complies with clause 5 and any licensing requirements.</w:t>
      </w:r>
    </w:p>
    <w:p>
      <w:pPr>
        <w:pStyle w:val="Heading2"/>
      </w:pPr>
      <w:r>
        <w:t>6.2 Evaluation criteria</w:t>
      </w:r>
    </w:p>
    <w:p>
      <w:r>
        <w:t>Officers shall assess (a) impact on trade mix, using the Trade Mix Assessment Worksheet in Annex B; (b) resident feedback and demand indicators; (c) the tenant's compliance and payment record; and (d) relevant precedents in the PLG Precedent Case Compendium. Where the proposed trade would exceed the concentration limit in clause 5.1, the application should normally be rejected unless there is clear evidence of unmet demand. Examples include an NC serving more than 6,000 households, or an existing outlet that has given notice to terminate.</w:t>
      </w:r>
    </w:p>
    <w:p>
      <w:pPr>
        <w:pStyle w:val="Heading2"/>
      </w:pPr>
      <w:r>
        <w:t>6.3 Fees and rent revision</w:t>
      </w:r>
    </w:p>
    <w:p>
      <w:r>
        <w:t>A non-refundable processing fee of S$300 (before GST) applies. If approved, rent is revised to the market rent for the new trade, as assessed by PLG's appointed valuer, from the date the new trade starts.</w:t>
      </w:r>
    </w:p>
    <w:p>
      <w:pPr>
        <w:pStyle w:val="Heading2"/>
      </w:pPr>
      <w:r>
        <w:t>6.4 Approval authority</w:t>
      </w:r>
    </w:p>
    <w:tbl>
      <w:tblPr>
        <w:tblStyle w:val="TableGrid"/>
        <w:tblW w:type="auto" w:w="0"/>
        <w:jc w:val="center"/>
        <w:tblLook w:firstColumn="1" w:firstRow="1" w:lastColumn="0" w:lastRow="0" w:noHBand="0" w:noVBand="1" w:val="04A0"/>
      </w:tblPr>
      <w:tblGrid>
        <w:gridCol w:w="4873"/>
        <w:gridCol w:w="4873"/>
      </w:tblGrid>
      <w:tr>
        <w:tc>
          <w:tcPr>
            <w:tcW w:type="dxa" w:w="5669"/>
            <w:shd w:val="clear" w:color="auto" w:fill="D9E2F3"/>
          </w:tcPr>
          <w:p>
            <w:r/>
            <w:r>
              <w:rPr>
                <w:b/>
                <w:sz w:val="18"/>
              </w:rPr>
              <w:t>Case</w:t>
            </w:r>
          </w:p>
        </w:tc>
        <w:tc>
          <w:tcPr>
            <w:tcW w:type="dxa" w:w="3402"/>
            <w:shd w:val="clear" w:color="auto" w:fill="D9E2F3"/>
          </w:tcPr>
          <w:p>
            <w:r/>
            <w:r>
              <w:rPr>
                <w:b/>
                <w:sz w:val="18"/>
              </w:rPr>
              <w:t>Approving officer</w:t>
            </w:r>
          </w:p>
        </w:tc>
      </w:tr>
      <w:tr>
        <w:tc>
          <w:tcPr>
            <w:tcW w:type="dxa" w:w="5669"/>
          </w:tcPr>
          <w:p>
            <w:r/>
            <w:r>
              <w:rPr>
                <w:sz w:val="18"/>
              </w:rPr>
              <w:t>Within same trade group, within concentration limit</w:t>
            </w:r>
          </w:p>
        </w:tc>
        <w:tc>
          <w:tcPr>
            <w:tcW w:type="dxa" w:w="3402"/>
          </w:tcPr>
          <w:p>
            <w:r/>
            <w:r>
              <w:rPr>
                <w:sz w:val="18"/>
              </w:rPr>
              <w:t>Senior Manager, Tenancy Management</w:t>
            </w:r>
          </w:p>
        </w:tc>
      </w:tr>
      <w:tr>
        <w:tc>
          <w:tcPr>
            <w:tcW w:type="dxa" w:w="5669"/>
          </w:tcPr>
          <w:p>
            <w:r/>
            <w:r>
              <w:rPr>
                <w:sz w:val="18"/>
              </w:rPr>
              <w:t>Different trade group, within concentration limit</w:t>
            </w:r>
          </w:p>
        </w:tc>
        <w:tc>
          <w:tcPr>
            <w:tcW w:type="dxa" w:w="3402"/>
          </w:tcPr>
          <w:p>
            <w:r/>
            <w:r>
              <w:rPr>
                <w:sz w:val="18"/>
              </w:rPr>
              <w:t>Deputy Director, Leasing Policy &amp; Planning</w:t>
            </w:r>
          </w:p>
        </w:tc>
      </w:tr>
      <w:tr>
        <w:tc>
          <w:tcPr>
            <w:tcW w:type="dxa" w:w="5669"/>
          </w:tcPr>
          <w:p>
            <w:r/>
            <w:r>
              <w:rPr>
                <w:sz w:val="18"/>
              </w:rPr>
              <w:t>Exceeds concentration limit / essential trade unit</w:t>
            </w:r>
          </w:p>
        </w:tc>
        <w:tc>
          <w:tcPr>
            <w:tcW w:type="dxa" w:w="3402"/>
          </w:tcPr>
          <w:p>
            <w:r/>
            <w:r>
              <w:rPr>
                <w:sz w:val="18"/>
              </w:rPr>
              <w:t>Director, PLG</w:t>
            </w:r>
          </w:p>
        </w:tc>
      </w:tr>
    </w:tbl>
    <w:p/>
    <w:p>
      <w:pPr>
        <w:pStyle w:val="Heading1"/>
      </w:pPr>
      <w:r>
        <w:t>7. Usage Rules</w:t>
      </w:r>
    </w:p>
    <w:p>
      <w:pPr>
        <w:pStyle w:val="Heading2"/>
      </w:pPr>
      <w:r>
        <w:t>7.1 Approved trade only</w:t>
      </w:r>
    </w:p>
    <w:p>
      <w:r>
        <w:t>Tenants shall use the premises only for the approved trade. Selling incidental items up to 20% of display area is permitted if related to the approved trade.</w:t>
      </w:r>
    </w:p>
    <w:p>
      <w:pPr>
        <w:pStyle w:val="Heading2"/>
      </w:pPr>
      <w:r>
        <w:t>7.2 Subletting and sharing</w:t>
      </w:r>
    </w:p>
    <w:p>
      <w:r>
        <w:t>Subletting, licensing or sharing any part of the premises with another business is prohibited without PLG's prior written approval. Partial subletting (e.g. a partitioned corner operated by a third party) is treated as unauthorised subletting.</w:t>
      </w:r>
    </w:p>
    <w:p>
      <w:pPr>
        <w:pStyle w:val="Heading2"/>
      </w:pPr>
      <w:r>
        <w:t>7.3 Display area beyond shopfront</w:t>
      </w:r>
    </w:p>
    <w:p>
      <w:r>
        <w:t>Tenants may display goods up to 0.6 m beyond the shopfront line, provided a clear walkway of at least 1.2 m is maintained at all times and goods are removed outside operating hours. Tables and chairs may not be placed outside the shopfront line except at eating houses with an approved outdoor refreshment area (ORA).</w:t>
      </w:r>
    </w:p>
    <w:p>
      <w:pPr>
        <w:pStyle w:val="Heading2"/>
      </w:pPr>
      <w:r>
        <w:t>7.4 Operating hours</w:t>
      </w:r>
    </w:p>
    <w:p>
      <w:r>
        <w:t>Premises below residential units shall not operate noisy activities between 10.30 pm and 7.00 am.</w:t>
      </w:r>
    </w:p>
    <w:p>
      <w:pPr>
        <w:pStyle w:val="Heading1"/>
      </w:pPr>
      <w:r>
        <w:t>8. Enforcement</w:t>
      </w:r>
    </w:p>
    <w:tbl>
      <w:tblPr>
        <w:tblStyle w:val="TableGrid"/>
        <w:tblW w:type="auto" w:w="0"/>
        <w:jc w:val="center"/>
        <w:tblLook w:firstColumn="1" w:firstRow="1" w:lastColumn="0" w:lastRow="0" w:noHBand="0" w:noVBand="1" w:val="04A0"/>
      </w:tblPr>
      <w:tblGrid>
        <w:gridCol w:w="2436"/>
        <w:gridCol w:w="2436"/>
        <w:gridCol w:w="2436"/>
        <w:gridCol w:w="2436"/>
      </w:tblGrid>
      <w:tr>
        <w:tc>
          <w:tcPr>
            <w:tcW w:type="dxa" w:w="2381"/>
            <w:shd w:val="clear" w:color="auto" w:fill="D9E2F3"/>
          </w:tcPr>
          <w:p>
            <w:r/>
            <w:r>
              <w:rPr>
                <w:b/>
                <w:sz w:val="18"/>
              </w:rPr>
              <w:t>Breach</w:t>
            </w:r>
          </w:p>
        </w:tc>
        <w:tc>
          <w:tcPr>
            <w:tcW w:type="dxa" w:w="2041"/>
            <w:shd w:val="clear" w:color="auto" w:fill="D9E2F3"/>
          </w:tcPr>
          <w:p>
            <w:r/>
            <w:r>
              <w:rPr>
                <w:b/>
                <w:sz w:val="18"/>
              </w:rPr>
              <w:t>1st occurrence</w:t>
            </w:r>
          </w:p>
        </w:tc>
        <w:tc>
          <w:tcPr>
            <w:tcW w:type="dxa" w:w="2494"/>
            <w:shd w:val="clear" w:color="auto" w:fill="D9E2F3"/>
          </w:tcPr>
          <w:p>
            <w:r/>
            <w:r>
              <w:rPr>
                <w:b/>
                <w:sz w:val="18"/>
              </w:rPr>
              <w:t>2nd occurrence (within 12 months)</w:t>
            </w:r>
          </w:p>
        </w:tc>
        <w:tc>
          <w:tcPr>
            <w:tcW w:type="dxa" w:w="2154"/>
            <w:shd w:val="clear" w:color="auto" w:fill="D9E2F3"/>
          </w:tcPr>
          <w:p>
            <w:r/>
            <w:r>
              <w:rPr>
                <w:b/>
                <w:sz w:val="18"/>
              </w:rPr>
              <w:t>3rd occurrence</w:t>
            </w:r>
          </w:p>
        </w:tc>
      </w:tr>
      <w:tr>
        <w:tc>
          <w:tcPr>
            <w:tcW w:type="dxa" w:w="2381"/>
          </w:tcPr>
          <w:p>
            <w:r/>
            <w:r>
              <w:rPr>
                <w:sz w:val="18"/>
              </w:rPr>
              <w:t>Display beyond permitted area</w:t>
            </w:r>
          </w:p>
        </w:tc>
        <w:tc>
          <w:tcPr>
            <w:tcW w:type="dxa" w:w="2041"/>
          </w:tcPr>
          <w:p>
            <w:r/>
            <w:r>
              <w:rPr>
                <w:sz w:val="18"/>
              </w:rPr>
              <w:t>Warning letter</w:t>
            </w:r>
          </w:p>
        </w:tc>
        <w:tc>
          <w:tcPr>
            <w:tcW w:type="dxa" w:w="2494"/>
          </w:tcPr>
          <w:p>
            <w:r/>
            <w:r>
              <w:rPr>
                <w:sz w:val="18"/>
              </w:rPr>
              <w:t>Composition fee S$200</w:t>
            </w:r>
          </w:p>
        </w:tc>
        <w:tc>
          <w:tcPr>
            <w:tcW w:type="dxa" w:w="2154"/>
          </w:tcPr>
          <w:p>
            <w:r/>
            <w:r>
              <w:rPr>
                <w:sz w:val="18"/>
              </w:rPr>
              <w:t>Composition fee S$500 and review of tenancy</w:t>
            </w:r>
          </w:p>
        </w:tc>
      </w:tr>
      <w:tr>
        <w:tc>
          <w:tcPr>
            <w:tcW w:type="dxa" w:w="2381"/>
          </w:tcPr>
          <w:p>
            <w:r/>
            <w:r>
              <w:rPr>
                <w:sz w:val="18"/>
              </w:rPr>
              <w:t>Unauthorised trade</w:t>
            </w:r>
          </w:p>
        </w:tc>
        <w:tc>
          <w:tcPr>
            <w:tcW w:type="dxa" w:w="2041"/>
          </w:tcPr>
          <w:p>
            <w:r/>
            <w:r>
              <w:rPr>
                <w:sz w:val="18"/>
              </w:rPr>
              <w:t>Warning; cease within 14 days</w:t>
            </w:r>
          </w:p>
        </w:tc>
        <w:tc>
          <w:tcPr>
            <w:tcW w:type="dxa" w:w="2494"/>
          </w:tcPr>
          <w:p>
            <w:r/>
            <w:r>
              <w:rPr>
                <w:sz w:val="18"/>
              </w:rPr>
              <w:t>Composition fee S$500</w:t>
            </w:r>
          </w:p>
        </w:tc>
        <w:tc>
          <w:tcPr>
            <w:tcW w:type="dxa" w:w="2154"/>
          </w:tcPr>
          <w:p>
            <w:r/>
            <w:r>
              <w:rPr>
                <w:sz w:val="18"/>
              </w:rPr>
              <w:t>Termination considered</w:t>
            </w:r>
          </w:p>
        </w:tc>
      </w:tr>
      <w:tr>
        <w:tc>
          <w:tcPr>
            <w:tcW w:type="dxa" w:w="2381"/>
          </w:tcPr>
          <w:p>
            <w:r/>
            <w:r>
              <w:rPr>
                <w:sz w:val="18"/>
              </w:rPr>
              <w:t>Unauthorised subletting</w:t>
            </w:r>
          </w:p>
        </w:tc>
        <w:tc>
          <w:tcPr>
            <w:tcW w:type="dxa" w:w="2041"/>
          </w:tcPr>
          <w:p>
            <w:r/>
            <w:r>
              <w:rPr>
                <w:sz w:val="18"/>
              </w:rPr>
              <w:t>Composition fee S$500; regularise within 14 days</w:t>
            </w:r>
          </w:p>
        </w:tc>
        <w:tc>
          <w:tcPr>
            <w:tcW w:type="dxa" w:w="2494"/>
          </w:tcPr>
          <w:p>
            <w:r/>
            <w:r>
              <w:rPr>
                <w:sz w:val="18"/>
              </w:rPr>
              <w:t>Termination considered</w:t>
            </w:r>
          </w:p>
        </w:tc>
        <w:tc>
          <w:tcPr>
            <w:tcW w:type="dxa" w:w="2154"/>
          </w:tcPr>
          <w:p>
            <w:r/>
            <w:r>
              <w:rPr>
                <w:sz w:val="18"/>
              </w:rPr>
              <w:t>-</w:t>
            </w:r>
          </w:p>
        </w:tc>
      </w:tr>
      <w:tr>
        <w:tc>
          <w:tcPr>
            <w:tcW w:type="dxa" w:w="2381"/>
          </w:tcPr>
          <w:p>
            <w:r/>
            <w:r>
              <w:rPr>
                <w:sz w:val="18"/>
              </w:rPr>
              <w:t>Unapproved A&amp;A works</w:t>
            </w:r>
          </w:p>
        </w:tc>
        <w:tc>
          <w:tcPr>
            <w:tcW w:type="dxa" w:w="2041"/>
          </w:tcPr>
          <w:p>
            <w:r/>
            <w:r>
              <w:rPr>
                <w:sz w:val="18"/>
              </w:rPr>
              <w:t>Reinstate within 30 days</w:t>
            </w:r>
          </w:p>
        </w:tc>
        <w:tc>
          <w:tcPr>
            <w:tcW w:type="dxa" w:w="2494"/>
          </w:tcPr>
          <w:p>
            <w:r/>
            <w:r>
              <w:rPr>
                <w:sz w:val="18"/>
              </w:rPr>
              <w:t>Composition fee S$500 + reinstatement</w:t>
            </w:r>
          </w:p>
        </w:tc>
        <w:tc>
          <w:tcPr>
            <w:tcW w:type="dxa" w:w="2154"/>
          </w:tcPr>
          <w:p>
            <w:r/>
            <w:r>
              <w:rPr>
                <w:sz w:val="18"/>
              </w:rPr>
              <w:t>Termination considered</w:t>
            </w:r>
          </w:p>
        </w:tc>
      </w:tr>
      <w:tr>
        <w:tc>
          <w:tcPr>
            <w:tcW w:type="dxa" w:w="2381"/>
          </w:tcPr>
          <w:p>
            <w:r/>
            <w:r>
              <w:rPr>
                <w:sz w:val="18"/>
              </w:rPr>
              <w:t>Noise / hygiene</w:t>
            </w:r>
          </w:p>
        </w:tc>
        <w:tc>
          <w:tcPr>
            <w:tcW w:type="dxa" w:w="2041"/>
          </w:tcPr>
          <w:p>
            <w:r/>
            <w:r>
              <w:rPr>
                <w:sz w:val="18"/>
              </w:rPr>
              <w:t>Warning letter</w:t>
            </w:r>
          </w:p>
        </w:tc>
        <w:tc>
          <w:tcPr>
            <w:tcW w:type="dxa" w:w="2494"/>
          </w:tcPr>
          <w:p>
            <w:r/>
            <w:r>
              <w:rPr>
                <w:sz w:val="18"/>
              </w:rPr>
              <w:t>Composition fee S$200</w:t>
            </w:r>
          </w:p>
        </w:tc>
        <w:tc>
          <w:tcPr>
            <w:tcW w:type="dxa" w:w="2154"/>
          </w:tcPr>
          <w:p>
            <w:r/>
            <w:r>
              <w:rPr>
                <w:sz w:val="18"/>
              </w:rPr>
              <w:t>Composition fee S$500</w:t>
            </w:r>
          </w:p>
        </w:tc>
      </w:tr>
    </w:tbl>
    <w:p/>
    <w:p>
      <w:pPr>
        <w:pStyle w:val="Heading1"/>
      </w:pPr>
      <w:r>
        <w:t>9. Appeals</w:t>
      </w:r>
    </w:p>
    <w:p>
      <w:r>
        <w:t>Tenants may appeal in writing within 14 days of a decision. Appeals are reviewed by an officer at least one grade above the original approving officer, and that officer was not involved in the original decision.</w:t>
      </w:r>
    </w:p>
    <w:p>
      <w:r>
        <w:br w:type="page"/>
      </w:r>
    </w:p>
    <w:p>
      <w:pPr>
        <w:pStyle w:val="Heading1"/>
      </w:pPr>
      <w:r>
        <w:t>Annex A - Trade Groups</w:t>
      </w:r>
    </w:p>
    <w:tbl>
      <w:tblPr>
        <w:tblStyle w:val="TableGrid"/>
        <w:tblW w:type="auto" w:w="0"/>
        <w:jc w:val="center"/>
        <w:tblLook w:firstColumn="1" w:firstRow="1" w:lastColumn="0" w:lastRow="0" w:noHBand="0" w:noVBand="1" w:val="04A0"/>
      </w:tblPr>
      <w:tblGrid>
        <w:gridCol w:w="4873"/>
        <w:gridCol w:w="4873"/>
      </w:tblGrid>
      <w:tr>
        <w:tc>
          <w:tcPr>
            <w:tcW w:type="dxa" w:w="2835"/>
            <w:shd w:val="clear" w:color="auto" w:fill="D9E2F3"/>
          </w:tcPr>
          <w:p>
            <w:r/>
            <w:r>
              <w:rPr>
                <w:b/>
                <w:sz w:val="18"/>
              </w:rPr>
              <w:t>Trade group</w:t>
            </w:r>
          </w:p>
        </w:tc>
        <w:tc>
          <w:tcPr>
            <w:tcW w:type="dxa" w:w="6236"/>
            <w:shd w:val="clear" w:color="auto" w:fill="D9E2F3"/>
          </w:tcPr>
          <w:p>
            <w:r/>
            <w:r>
              <w:rPr>
                <w:b/>
                <w:sz w:val="18"/>
              </w:rPr>
              <w:t>Trades</w:t>
            </w:r>
          </w:p>
        </w:tc>
      </w:tr>
      <w:tr>
        <w:tc>
          <w:tcPr>
            <w:tcW w:type="dxa" w:w="2835"/>
          </w:tcPr>
          <w:p>
            <w:r/>
            <w:r>
              <w:rPr>
                <w:sz w:val="18"/>
              </w:rPr>
              <w:t>Daily Necessities</w:t>
            </w:r>
          </w:p>
        </w:tc>
        <w:tc>
          <w:tcPr>
            <w:tcW w:type="dxa" w:w="6236"/>
          </w:tcPr>
          <w:p>
            <w:r/>
            <w:r>
              <w:rPr>
                <w:sz w:val="18"/>
              </w:rPr>
              <w:t>Fruit Shop, Minimart, Provision Shop</w:t>
            </w:r>
          </w:p>
        </w:tc>
      </w:tr>
      <w:tr>
        <w:tc>
          <w:tcPr>
            <w:tcW w:type="dxa" w:w="2835"/>
          </w:tcPr>
          <w:p>
            <w:r/>
            <w:r>
              <w:rPr>
                <w:sz w:val="18"/>
              </w:rPr>
              <w:t>Education</w:t>
            </w:r>
          </w:p>
        </w:tc>
        <w:tc>
          <w:tcPr>
            <w:tcW w:type="dxa" w:w="6236"/>
          </w:tcPr>
          <w:p>
            <w:r/>
            <w:r>
              <w:rPr>
                <w:sz w:val="18"/>
              </w:rPr>
              <w:t>Childcare Centre, Tuition Centre</w:t>
            </w:r>
          </w:p>
        </w:tc>
      </w:tr>
      <w:tr>
        <w:tc>
          <w:tcPr>
            <w:tcW w:type="dxa" w:w="2835"/>
          </w:tcPr>
          <w:p>
            <w:r/>
            <w:r>
              <w:rPr>
                <w:sz w:val="18"/>
              </w:rPr>
              <w:t>Financial Services</w:t>
            </w:r>
          </w:p>
        </w:tc>
        <w:tc>
          <w:tcPr>
            <w:tcW w:type="dxa" w:w="6236"/>
          </w:tcPr>
          <w:p>
            <w:r/>
            <w:r>
              <w:rPr>
                <w:sz w:val="18"/>
              </w:rPr>
              <w:t>Remittance &amp; Money Changer</w:t>
            </w:r>
          </w:p>
        </w:tc>
      </w:tr>
      <w:tr>
        <w:tc>
          <w:tcPr>
            <w:tcW w:type="dxa" w:w="2835"/>
          </w:tcPr>
          <w:p>
            <w:r/>
            <w:r>
              <w:rPr>
                <w:sz w:val="18"/>
              </w:rPr>
              <w:t>Food &amp; Beverage</w:t>
            </w:r>
          </w:p>
        </w:tc>
        <w:tc>
          <w:tcPr>
            <w:tcW w:type="dxa" w:w="6236"/>
          </w:tcPr>
          <w:p>
            <w:r/>
            <w:r>
              <w:rPr>
                <w:sz w:val="18"/>
              </w:rPr>
              <w:t>Bakery &amp; Confectionery, Bubble Tea, Coffeeshop, Restaurant, Snack Kiosk</w:t>
            </w:r>
          </w:p>
        </w:tc>
      </w:tr>
      <w:tr>
        <w:tc>
          <w:tcPr>
            <w:tcW w:type="dxa" w:w="2835"/>
          </w:tcPr>
          <w:p>
            <w:r/>
            <w:r>
              <w:rPr>
                <w:sz w:val="18"/>
              </w:rPr>
              <w:t>Healthcare</w:t>
            </w:r>
          </w:p>
        </w:tc>
        <w:tc>
          <w:tcPr>
            <w:tcW w:type="dxa" w:w="6236"/>
          </w:tcPr>
          <w:p>
            <w:r/>
            <w:r>
              <w:rPr>
                <w:sz w:val="18"/>
              </w:rPr>
              <w:t>Dental Clinic, GP Clinic, Pharmacy, TCM Clinic</w:t>
            </w:r>
          </w:p>
        </w:tc>
      </w:tr>
      <w:tr>
        <w:tc>
          <w:tcPr>
            <w:tcW w:type="dxa" w:w="2835"/>
          </w:tcPr>
          <w:p>
            <w:r/>
            <w:r>
              <w:rPr>
                <w:sz w:val="18"/>
              </w:rPr>
              <w:t>Personal Services</w:t>
            </w:r>
          </w:p>
        </w:tc>
        <w:tc>
          <w:tcPr>
            <w:tcW w:type="dxa" w:w="6236"/>
          </w:tcPr>
          <w:p>
            <w:r/>
            <w:r>
              <w:rPr>
                <w:sz w:val="18"/>
              </w:rPr>
              <w:t>Hair Salon, Key Cutting &amp; Shoe Repair, Laundry</w:t>
            </w:r>
          </w:p>
        </w:tc>
      </w:tr>
      <w:tr>
        <w:tc>
          <w:tcPr>
            <w:tcW w:type="dxa" w:w="2835"/>
          </w:tcPr>
          <w:p>
            <w:r/>
            <w:r>
              <w:rPr>
                <w:sz w:val="18"/>
              </w:rPr>
              <w:t>Professional Services</w:t>
            </w:r>
          </w:p>
        </w:tc>
        <w:tc>
          <w:tcPr>
            <w:tcW w:type="dxa" w:w="6236"/>
          </w:tcPr>
          <w:p>
            <w:r/>
            <w:r>
              <w:rPr>
                <w:sz w:val="18"/>
              </w:rPr>
              <w:t>Professional Services Office</w:t>
            </w:r>
          </w:p>
        </w:tc>
      </w:tr>
      <w:tr>
        <w:tc>
          <w:tcPr>
            <w:tcW w:type="dxa" w:w="2835"/>
          </w:tcPr>
          <w:p>
            <w:r/>
            <w:r>
              <w:rPr>
                <w:sz w:val="18"/>
              </w:rPr>
              <w:t>Retail</w:t>
            </w:r>
          </w:p>
        </w:tc>
        <w:tc>
          <w:tcPr>
            <w:tcW w:type="dxa" w:w="6236"/>
          </w:tcPr>
          <w:p>
            <w:r/>
            <w:r>
              <w:rPr>
                <w:sz w:val="18"/>
              </w:rPr>
              <w:t>Florist, Hardware, Mobile Phone &amp; Accessories, Optical, Pet Shop, Stationery &amp; Books</w:t>
            </w:r>
          </w:p>
        </w:tc>
      </w:tr>
    </w:tbl>
    <w:p/>
    <w:p>
      <w:pPr>
        <w:pStyle w:val="Heading1"/>
      </w:pPr>
      <w:r>
        <w:t>Annex B - Trade Mix Assessment Worksheet</w:t>
      </w:r>
    </w:p>
    <w:tbl>
      <w:tblPr>
        <w:tblStyle w:val="TableGrid"/>
        <w:tblW w:type="auto" w:w="0"/>
        <w:jc w:val="center"/>
        <w:tblLook w:firstColumn="1" w:firstRow="1" w:lastColumn="0" w:lastRow="0" w:noHBand="0" w:noVBand="1" w:val="04A0"/>
      </w:tblPr>
      <w:tblGrid>
        <w:gridCol w:w="3249"/>
        <w:gridCol w:w="3249"/>
        <w:gridCol w:w="3249"/>
      </w:tblGrid>
      <w:tr>
        <w:tc>
          <w:tcPr>
            <w:tcW w:type="dxa" w:w="680"/>
            <w:shd w:val="clear" w:color="auto" w:fill="D9E2F3"/>
          </w:tcPr>
          <w:p>
            <w:r/>
            <w:r>
              <w:rPr>
                <w:b/>
                <w:sz w:val="18"/>
              </w:rPr>
              <w:t>Step</w:t>
            </w:r>
          </w:p>
        </w:tc>
        <w:tc>
          <w:tcPr>
            <w:tcW w:type="dxa" w:w="5102"/>
            <w:shd w:val="clear" w:color="auto" w:fill="D9E2F3"/>
          </w:tcPr>
          <w:p>
            <w:r/>
            <w:r>
              <w:rPr>
                <w:b/>
                <w:sz w:val="18"/>
              </w:rPr>
              <w:t>Check</w:t>
            </w:r>
          </w:p>
        </w:tc>
        <w:tc>
          <w:tcPr>
            <w:tcW w:type="dxa" w:w="3288"/>
            <w:shd w:val="clear" w:color="auto" w:fill="D9E2F3"/>
          </w:tcPr>
          <w:p>
            <w:r/>
            <w:r>
              <w:rPr>
                <w:b/>
                <w:sz w:val="18"/>
              </w:rPr>
              <w:t>Source</w:t>
            </w:r>
          </w:p>
        </w:tc>
      </w:tr>
      <w:tr>
        <w:tc>
          <w:tcPr>
            <w:tcW w:type="dxa" w:w="680"/>
          </w:tcPr>
          <w:p>
            <w:r/>
            <w:r>
              <w:rPr>
                <w:sz w:val="18"/>
              </w:rPr>
              <w:t>1</w:t>
            </w:r>
          </w:p>
        </w:tc>
        <w:tc>
          <w:tcPr>
            <w:tcW w:type="dxa" w:w="5102"/>
          </w:tcPr>
          <w:p>
            <w:r/>
            <w:r>
              <w:rPr>
                <w:sz w:val="18"/>
              </w:rPr>
              <w:t>Count active units of the proposed trade in the NC / cluster</w:t>
            </w:r>
          </w:p>
        </w:tc>
        <w:tc>
          <w:tcPr>
            <w:tcW w:type="dxa" w:w="3288"/>
          </w:tcPr>
          <w:p>
            <w:r/>
            <w:r>
              <w:rPr>
                <w:sz w:val="18"/>
              </w:rPr>
              <w:t>PLG Records - tenancies; Trade_Mix_Analysis_by_NC.xlsx</w:t>
            </w:r>
          </w:p>
        </w:tc>
      </w:tr>
      <w:tr>
        <w:tc>
          <w:tcPr>
            <w:tcW w:type="dxa" w:w="680"/>
          </w:tcPr>
          <w:p>
            <w:r/>
            <w:r>
              <w:rPr>
                <w:sz w:val="18"/>
              </w:rPr>
              <w:t>2</w:t>
            </w:r>
          </w:p>
        </w:tc>
        <w:tc>
          <w:tcPr>
            <w:tcW w:type="dxa" w:w="5102"/>
          </w:tcPr>
          <w:p>
            <w:r/>
            <w:r>
              <w:rPr>
                <w:sz w:val="18"/>
              </w:rPr>
              <w:t>Compare against the clause 5.1 limit</w:t>
            </w:r>
          </w:p>
        </w:tc>
        <w:tc>
          <w:tcPr>
            <w:tcW w:type="dxa" w:w="3288"/>
          </w:tcPr>
          <w:p>
            <w:r/>
            <w:r>
              <w:rPr>
                <w:sz w:val="18"/>
              </w:rPr>
              <w:t>This policy</w:t>
            </w:r>
          </w:p>
        </w:tc>
      </w:tr>
      <w:tr>
        <w:tc>
          <w:tcPr>
            <w:tcW w:type="dxa" w:w="680"/>
          </w:tcPr>
          <w:p>
            <w:r/>
            <w:r>
              <w:rPr>
                <w:sz w:val="18"/>
              </w:rPr>
              <w:t>3</w:t>
            </w:r>
          </w:p>
        </w:tc>
        <w:tc>
          <w:tcPr>
            <w:tcW w:type="dxa" w:w="5102"/>
          </w:tcPr>
          <w:p>
            <w:r/>
            <w:r>
              <w:rPr>
                <w:sz w:val="18"/>
              </w:rPr>
              <w:t>Check F&amp;B share if proposed trade is F&amp;B</w:t>
            </w:r>
          </w:p>
        </w:tc>
        <w:tc>
          <w:tcPr>
            <w:tcW w:type="dxa" w:w="3288"/>
          </w:tcPr>
          <w:p>
            <w:r/>
            <w:r>
              <w:rPr>
                <w:sz w:val="18"/>
              </w:rPr>
              <w:t>PLG Records</w:t>
            </w:r>
          </w:p>
        </w:tc>
      </w:tr>
      <w:tr>
        <w:tc>
          <w:tcPr>
            <w:tcW w:type="dxa" w:w="680"/>
          </w:tcPr>
          <w:p>
            <w:r/>
            <w:r>
              <w:rPr>
                <w:sz w:val="18"/>
              </w:rPr>
              <w:t>4</w:t>
            </w:r>
          </w:p>
        </w:tc>
        <w:tc>
          <w:tcPr>
            <w:tcW w:type="dxa" w:w="5102"/>
          </w:tcPr>
          <w:p>
            <w:r/>
            <w:r>
              <w:rPr>
                <w:sz w:val="18"/>
              </w:rPr>
              <w:t>Review resident feedback in past 12 months</w:t>
            </w:r>
          </w:p>
        </w:tc>
        <w:tc>
          <w:tcPr>
            <w:tcW w:type="dxa" w:w="3288"/>
          </w:tcPr>
          <w:p>
            <w:r/>
            <w:r>
              <w:rPr>
                <w:sz w:val="18"/>
              </w:rPr>
              <w:t>CRM feedback export</w:t>
            </w:r>
          </w:p>
        </w:tc>
      </w:tr>
      <w:tr>
        <w:tc>
          <w:tcPr>
            <w:tcW w:type="dxa" w:w="680"/>
          </w:tcPr>
          <w:p>
            <w:r/>
            <w:r>
              <w:rPr>
                <w:sz w:val="18"/>
              </w:rPr>
              <w:t>5</w:t>
            </w:r>
          </w:p>
        </w:tc>
        <w:tc>
          <w:tcPr>
            <w:tcW w:type="dxa" w:w="5102"/>
          </w:tcPr>
          <w:p>
            <w:r/>
            <w:r>
              <w:rPr>
                <w:sz w:val="18"/>
              </w:rPr>
              <w:t>Check tenant arrears and breach history</w:t>
            </w:r>
          </w:p>
        </w:tc>
        <w:tc>
          <w:tcPr>
            <w:tcW w:type="dxa" w:w="3288"/>
          </w:tcPr>
          <w:p>
            <w:r/>
            <w:r>
              <w:rPr>
                <w:sz w:val="18"/>
              </w:rPr>
              <w:t>Arrears ageing report; inspections</w:t>
            </w:r>
          </w:p>
        </w:tc>
      </w:tr>
      <w:tr>
        <w:tc>
          <w:tcPr>
            <w:tcW w:type="dxa" w:w="680"/>
          </w:tcPr>
          <w:p>
            <w:r/>
            <w:r>
              <w:rPr>
                <w:sz w:val="18"/>
              </w:rPr>
              <w:t>6</w:t>
            </w:r>
          </w:p>
        </w:tc>
        <w:tc>
          <w:tcPr>
            <w:tcW w:type="dxa" w:w="5102"/>
          </w:tcPr>
          <w:p>
            <w:r/>
            <w:r>
              <w:rPr>
                <w:sz w:val="18"/>
              </w:rPr>
              <w:t>Search precedents for similar trade / NC</w:t>
            </w:r>
          </w:p>
        </w:tc>
        <w:tc>
          <w:tcPr>
            <w:tcW w:type="dxa" w:w="3288"/>
          </w:tcPr>
          <w:p>
            <w:r/>
            <w:r>
              <w:rPr>
                <w:sz w:val="18"/>
              </w:rPr>
              <w:t>PLG Precedent Case Compendium</w:t>
            </w:r>
          </w:p>
        </w:tc>
      </w:tr>
      <w:tr>
        <w:tc>
          <w:tcPr>
            <w:tcW w:type="dxa" w:w="680"/>
          </w:tcPr>
          <w:p>
            <w:r/>
            <w:r>
              <w:rPr>
                <w:sz w:val="18"/>
              </w:rPr>
              <w:t>7</w:t>
            </w:r>
          </w:p>
        </w:tc>
        <w:tc>
          <w:tcPr>
            <w:tcW w:type="dxa" w:w="5102"/>
          </w:tcPr>
          <w:p>
            <w:r/>
            <w:r>
              <w:rPr>
                <w:sz w:val="18"/>
              </w:rPr>
              <w:t>Recommend and route to approving officer per clause 6.4</w:t>
            </w:r>
          </w:p>
        </w:tc>
        <w:tc>
          <w:tcPr>
            <w:tcW w:type="dxa" w:w="3288"/>
          </w:tcPr>
          <w:p>
            <w:r/>
            <w:r>
              <w:rPr>
                <w:sz w:val="18"/>
              </w:rPr>
              <w:t>-</w:t>
            </w:r>
          </w:p>
        </w:tc>
      </w:tr>
    </w:tbl>
    <w:p/>
    <w:sectPr w:rsidR="00FC693F" w:rsidRPr="0006063C" w:rsidSect="00034616">
      <w:headerReference w:type="default" r:id="rId9"/>
      <w:footerReference w:type="default" r:id="rId10"/>
      <w:pgSz w:w="12240" w:h="15840"/>
      <w:pgMar w:top="1440" w:right="1247" w:bottom="144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rPr>
        <w:sz w:val="16"/>
      </w:rPr>
      <w:t xml:space="preserve">RESTRICTED - FICTIONAL POC DATA    Page </w:t>
    </w:r>
    <w:r>
      <w:rPr>
        <w:sz w:val="16"/>
      </w:rPr>
      <w:fldChar w:fldCharType="begin"/>
      <w:instrText xml:space="preserve">PAGE</w:instrText>
      <w:fldChar w:fldCharType="end"/>
    </w:r>
    <w:r>
      <w:rPr>
        <w:sz w:val="16"/>
      </w:rPr>
      <w:t xml:space="preserve"> of </w:t>
    </w:r>
    <w:r>
      <w:rPr>
        <w:sz w:val="16"/>
      </w:rPr>
      <w:fldChar w:fldCharType="begin"/>
      <w:instrText xml:space="preserve">NUMPAGES</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666666"/>
        <w:sz w:val="16"/>
      </w:rPr>
      <w:t>Housing &amp; Estates Board | Properties &amp; Land Group</w:t>
      <w:tab/>
      <w:tab/>
      <w:t>PLG-POL-001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PLG-POL-001 Trade Mix &amp; Usage Policy (v3.0)</dc:title>
  <dc:subject>PLG-POL-001</dc:subject>
  <dc:creator>Rajesh Pillai</dc:creator>
  <cp:keywords/>
  <dc:description>generated by python-docx</dc:description>
  <cp:lastModifiedBy>Rajesh Pillai</cp:lastModifiedBy>
  <cp:revision>1</cp:revision>
  <dcterms:created xsi:type="dcterms:W3CDTF">2025-06-10T09:00:00Z</dcterms:created>
  <dcterms:modified xsi:type="dcterms:W3CDTF">2025-06-10T09:00:00Z</dcterms:modified>
  <cp:category/>
</cp:coreProperties>
</file>